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aaoi_8k.htm"/>
      <w:bookmarkStart w:id="1" w:name="ksaaoi_8k"/>
      <w:bookmarkEnd w:id="0"/>
      <w:bookmarkEnd w:id="1"/>
      <w: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1105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November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9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1105"/>
            <w:bookmarkEnd w:id="6"/>
            <w:r>
              <w:rPr>
                <w:rFonts w:ascii="Times New Roman;Times;Serif" w:hAnsi="Times New Roman;Times;Serif"/>
                <w:b/>
                <w:i w:val="false"/>
                <w:caps w:val="false"/>
                <w:smallCaps w:val="false"/>
                <w:sz w:val="20"/>
              </w:rPr>
              <w:t>001-36083</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76-0533927</w:t>
            </w:r>
          </w:p>
        </w:tc>
      </w:tr>
      <w:t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13139 Jess Pirtle Blvd.</w:t>
        <w:br/>
      </w:r>
      <w:bookmarkStart w:id="9" w:name="xdx_903_edei--EntityAddressCityOrTown_c2"/>
      <w:bookmarkEnd w:id="9"/>
      <w:r>
        <w:rPr>
          <w:rFonts w:ascii="Times New Roman;Times;Serif" w:hAnsi="Times New Roman;Times;Serif"/>
          <w:b/>
          <w:i w:val="false"/>
          <w:caps w:val="false"/>
          <w:smallCaps w:val="false"/>
          <w:sz w:val="20"/>
        </w:rPr>
        <w:t xml:space="preserve">Sugar Land, </w:t>
      </w:r>
      <w:bookmarkStart w:id="10" w:name="xdx_902_edei--EntityAddressStateOrProvin"/>
      <w:bookmarkEnd w:id="10"/>
      <w:r>
        <w:rPr>
          <w:rFonts w:ascii="Times New Roman;Times;Serif" w:hAnsi="Times New Roman;Times;Serif"/>
          <w:b/>
          <w:i w:val="false"/>
          <w:caps w:val="false"/>
          <w:smallCaps w:val="false"/>
          <w:sz w:val="20"/>
        </w:rPr>
        <w:t xml:space="preserve">Texas </w:t>
      </w:r>
      <w:bookmarkStart w:id="11" w:name="xdx_902_edei--EntityAddressPostalZipCode"/>
      <w:bookmarkEnd w:id="11"/>
      <w:r>
        <w:rPr>
          <w:rFonts w:ascii="Times New Roman;Times;Serif" w:hAnsi="Times New Roman;Times;Serif"/>
          <w:b/>
          <w:i w:val="false"/>
          <w:caps w:val="false"/>
          <w:smallCaps w:val="false"/>
          <w:sz w:val="20"/>
        </w:rPr>
        <w:t>77478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1105__20"/>
      <w:bookmarkEnd w:id="12"/>
      <w:r>
        <w:rPr>
          <w:rFonts w:ascii="Times New Roman;Times;Serif" w:hAnsi="Times New Roman;Times;Serif"/>
          <w:b/>
          <w:i w:val="false"/>
          <w:caps w:val="false"/>
          <w:smallCaps w:val="false"/>
          <w:sz w:val="20"/>
        </w:rPr>
        <w:t xml:space="preserve">281) </w:t>
      </w:r>
      <w:bookmarkStart w:id="13" w:name="xdx_900_edei--LocalPhoneNumber_c20261105"/>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pPr>
            <w:bookmarkStart w:id="14" w:name="xdx_905_edei--WrittenCommunications_c202"/>
            <w:bookmarkEnd w:id="14"/>
            <w:r>
              <w:t>☐</w:t>
            </w:r>
          </w:p>
        </w:tc>
        <w:tc>
          <w:tcPr>
            <w:tcW w:w="8525" w:type="dxa"/>
            <w:tcBorders/>
            <w:vAlign w:val="center"/>
          </w:tcPr>
          <w:p>
            <w:pPr>
              <w:pStyle w:val="TableContents"/>
              <w:bidi w:val="0"/>
              <w:spacing w:before="0" w:after="283"/>
              <w:jc w:val="both"/>
            </w:pPr>
            <w:r>
              <w:t>Written communications pursuant to Rule 425 under the Securities Act (17 CFR 230.425)</w:t>
            </w:r>
          </w:p>
        </w:tc>
      </w:tr>
    </w:tbl>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pPr>
            <w:bookmarkStart w:id="15" w:name="xdx_90A_edei--SolicitingMaterial_c202611"/>
            <w:bookmarkEnd w:id="15"/>
            <w:r>
              <w:t>☐</w:t>
            </w:r>
          </w:p>
        </w:tc>
        <w:tc>
          <w:tcPr>
            <w:tcW w:w="8555" w:type="dxa"/>
            <w:tcBorders/>
            <w:vAlign w:val="center"/>
          </w:tcPr>
          <w:p>
            <w:pPr>
              <w:pStyle w:val="TableContents"/>
              <w:bidi w:val="0"/>
              <w:spacing w:before="0" w:after="283"/>
              <w:jc w:val="both"/>
            </w:pPr>
            <w:r>
              <w:t>Soliciting material pursuant to Rule 14a-12 under the Exchange Act (17 CFR 240.14a-12)</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pPr>
            <w:bookmarkStart w:id="16" w:name="xdx_90A_edei--PreCommencementTenderOffer"/>
            <w:bookmarkEnd w:id="16"/>
            <w:r>
              <w:t>☐</w:t>
            </w:r>
          </w:p>
        </w:tc>
        <w:tc>
          <w:tcPr>
            <w:tcW w:w="9937" w:type="dxa"/>
            <w:tcBorders/>
            <w:vAlign w:val="center"/>
          </w:tcPr>
          <w:p>
            <w:pPr>
              <w:pStyle w:val="TableContents"/>
              <w:bidi w:val="0"/>
              <w:spacing w:before="0" w:after="283"/>
              <w:jc w:val="both"/>
            </w:pPr>
            <w:r>
              <w:t>Pre-commencement communications pursuant to Rule 14d-2(b) under the Exchange Act (17 CFR 240.14d-2(b))</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pPr>
            <w:bookmarkStart w:id="17" w:name="xdx_90F_edei--PreCommencementIssuerTende"/>
            <w:bookmarkEnd w:id="17"/>
            <w:r>
              <w:t>☐</w:t>
            </w:r>
          </w:p>
        </w:tc>
        <w:tc>
          <w:tcPr>
            <w:tcW w:w="9937" w:type="dxa"/>
            <w:tcBorders/>
            <w:vAlign w:val="center"/>
          </w:tcPr>
          <w:p>
            <w:pPr>
              <w:pStyle w:val="TableContents"/>
              <w:bidi w:val="0"/>
              <w:spacing w:before="0" w:after="283"/>
              <w:jc w:val="both"/>
            </w:pPr>
            <w: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2750"/>
        <w:gridCol w:w="1610"/>
        <w:gridCol w:w="3710"/>
      </w:tblGrid>
      <w:t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1_edei--Security12bTitle_c20261105"/>
            <w:bookmarkEnd w:id="18"/>
            <w:r>
              <w:rPr>
                <w:rFonts w:ascii="Times New Roman;Times;Serif" w:hAnsi="Times New Roman;Times;Serif"/>
                <w:sz w:val="20"/>
              </w:rPr>
              <w:t>Common Stock, Par value $0.001</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TradingSymbol_c20261105__2"/>
            <w:bookmarkEnd w:id="19"/>
            <w:r>
              <w:rPr>
                <w:rFonts w:ascii="Times New Roman;Times;Serif" w:hAnsi="Times New Roman;Times;Serif"/>
                <w:sz w:val="20"/>
              </w:rPr>
              <w:t>AAOI</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SecurityExchangeName_c2026"/>
            <w:bookmarkEnd w:id="20"/>
            <w:r>
              <w:rPr>
                <w:rFonts w:ascii="Times New Roman;Times;Serif" w:hAnsi="Times New Roman;Times;Serif"/>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c>
          <w:tcPr>
            <w:tcW w:w="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center"/>
            </w:pPr>
            <w:r>
              <w:t> </w:t>
            </w:r>
          </w:p>
        </w:tc>
        <w:tc>
          <w:tcPr>
            <w:tcW w:w="75" w:type="dxa"/>
            <w:tcBorders/>
            <w:vAlign w:val="center"/>
          </w:tcPr>
          <w:p>
            <w:pPr>
              <w:pStyle w:val="TableContents"/>
              <w:bidi w:val="0"/>
              <w:spacing w:before="0" w:after="283"/>
              <w:jc w:val="right"/>
            </w:pPr>
            <w:r>
              <w:t> </w:t>
            </w:r>
          </w:p>
        </w:tc>
      </w:tr>
    </w:tbl>
    <w:p>
      <w:pPr>
        <w:pStyle w:val="TextBody"/>
        <w:bidi w:val="0"/>
        <w:spacing w:before="0" w:after="0"/>
        <w:ind w:left="0" w:right="0" w:hanging="0"/>
        <w:jc w:val="left"/>
      </w:pPr>
      <w:r>
        <w:t> </w:t>
      </w:r>
    </w:p>
    <w:p>
      <w:pPr>
        <w:pStyle w:val="TextBody"/>
        <w:bidi w:val="0"/>
        <w:spacing w:before="0" w:after="0"/>
        <w:ind w:left="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205"/>
        <w:gridCol w:w="6815"/>
      </w:tblGrid>
      <w:t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b/>
              </w:rPr>
            </w:pPr>
            <w:r>
              <w:rPr>
                <w:b/>
              </w:rPr>
              <w:t>ITEM 2.02.</w:t>
            </w:r>
          </w:p>
        </w:tc>
        <w:tc>
          <w:tcPr>
            <w:tcW w:w="681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2026 Applied Optoelectronics, Inc. (the “Company”) issued a press release regarding the Company’s financial results for the third quarter ended September 30, 2026. A copy of the Company’s press release is attached as Exhibit 99.1 to this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furnished in this Current Report under this Item 2.02 and the exhibits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w:t>
      </w:r>
    </w:p>
    <w:p>
      <w:pPr>
        <w:pStyle w:val="TextBody"/>
        <w:bidi w:val="0"/>
        <w:spacing w:before="0" w:after="0"/>
        <w:ind w:left="0" w:right="0" w:hanging="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145"/>
        <w:gridCol w:w="4835"/>
      </w:tblGrid>
      <w:t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pPr>
            <w:r>
              <w:t>ITEM 9.01.</w:t>
            </w:r>
          </w:p>
        </w:tc>
        <w:tc>
          <w:tcPr>
            <w:tcW w:w="4835" w:type="dxa"/>
            <w:tcBorders/>
            <w:vAlign w:val="center"/>
          </w:tcPr>
          <w:p>
            <w:pPr>
              <w:pStyle w:val="TableContents"/>
              <w:bidi w:val="0"/>
              <w:spacing w:before="0" w:after="283"/>
              <w:jc w:val="left"/>
            </w:pPr>
            <w: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28" w:type="dxa"/>
          <w:right w:w="0" w:type="dxa"/>
        </w:tblCellMar>
      </w:tblPr>
      <w:tblGrid>
        <w:gridCol w:w="995"/>
        <w:gridCol w:w="60"/>
        <w:gridCol w:w="7625"/>
      </w:tblGrid>
      <w:t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pPr>
            <w:r>
              <w:t> </w:t>
            </w:r>
          </w:p>
        </w:tc>
        <w:tc>
          <w:tcPr>
            <w:tcW w:w="7625"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c>
          <w:tcPr>
            <w:tcW w:w="995" w:type="dxa"/>
            <w:tcBorders/>
            <w:tcMar>
              <w:bottom w:w="0" w:type="dxa"/>
            </w:tcMar>
            <w:vAlign w:val="center"/>
          </w:tcPr>
          <w:p>
            <w:pPr>
              <w:pStyle w:val="TableContents"/>
              <w:bidi w:val="0"/>
              <w:spacing w:before="0" w:after="283"/>
              <w:jc w:val="left"/>
              <w:rPr>
                <w:sz w:val="20"/>
              </w:rPr>
            </w:pPr>
            <w:r>
              <w:rPr>
                <w:sz w:val="20"/>
              </w:rPr>
              <w:t>99.1</w:t>
            </w:r>
          </w:p>
        </w:tc>
        <w:tc>
          <w:tcPr>
            <w:tcW w:w="60" w:type="dxa"/>
            <w:tcBorders/>
            <w:tcMar>
              <w:bottom w:w="0" w:type="dxa"/>
            </w:tcMar>
            <w:vAlign w:val="center"/>
          </w:tcPr>
          <w:p>
            <w:pPr>
              <w:pStyle w:val="TableContents"/>
              <w:bidi w:val="0"/>
              <w:spacing w:before="0" w:after="283"/>
              <w:jc w:val="left"/>
            </w:pPr>
            <w:r>
              <w:t> </w:t>
            </w:r>
          </w:p>
        </w:tc>
        <w:tc>
          <w:tcPr>
            <w:tcW w:w="7625" w:type="dxa"/>
            <w:tcBorders/>
            <w:tcMar>
              <w:bottom w:w="0" w:type="dxa"/>
            </w:tcMar>
            <w:vAlign w:val="center"/>
          </w:tcPr>
          <w:p>
            <w:pPr>
              <w:pStyle w:val="TableContents"/>
              <w:bidi w:val="0"/>
              <w:spacing w:before="0" w:after="0"/>
              <w:ind w:left="360" w:right="0" w:hanging="360"/>
              <w:jc w:val="left"/>
            </w:pPr>
            <w:hyperlink w:anchor="aaoi_ex9901.htm">
              <w:r>
                <w:rPr>
                  <w:rStyle w:val="InternetLink"/>
                  <w:rFonts w:ascii="Times New Roman;Times;Serif" w:hAnsi="Times New Roman;Times;Serif"/>
                  <w:b w:val="false"/>
                  <w:i w:val="false"/>
                  <w:caps w:val="false"/>
                  <w:smallCaps w:val="false"/>
                  <w:sz w:val="20"/>
                </w:rPr>
                <w:t>Press release dated November 5, 2026, issued by Applied Optoelectronics, Inc., filed herewith.</w:t>
              </w:r>
            </w:hyperlink>
          </w:p>
        </w:tc>
      </w:tr>
      <w:t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pPr>
            <w:r>
              <w:t> </w:t>
            </w:r>
          </w:p>
        </w:tc>
        <w:tc>
          <w:tcPr>
            <w:tcW w:w="7625"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c>
          <w:tcPr>
            <w:tcW w:w="75" w:type="dxa"/>
            <w:tcBorders/>
            <w:vAlign w:val="center"/>
          </w:tcPr>
          <w:p>
            <w:pPr>
              <w:pStyle w:val="TableContents"/>
              <w:bidi w:val="0"/>
              <w:spacing w:before="0" w:after="283"/>
              <w:jc w:val="left"/>
            </w:pPr>
            <w:r>
              <w:t> </w:t>
            </w:r>
          </w:p>
        </w:tc>
        <w:tc>
          <w:tcPr>
            <w:tcW w:w="140" w:type="dxa"/>
            <w:tcBorders/>
            <w:vAlign w:val="center"/>
          </w:tcPr>
          <w:p>
            <w:pPr>
              <w:pStyle w:val="TableContents"/>
              <w:bidi w:val="0"/>
              <w:spacing w:before="0" w:after="283"/>
              <w:jc w:val="center"/>
            </w:pPr>
            <w:r>
              <w:t>2</w:t>
            </w:r>
          </w:p>
        </w:tc>
        <w:tc>
          <w:tcPr>
            <w:tcW w:w="75" w:type="dxa"/>
            <w:tcBorders/>
            <w:vAlign w:val="center"/>
          </w:tcPr>
          <w:p>
            <w:pPr>
              <w:pStyle w:val="TableContents"/>
              <w:bidi w:val="0"/>
              <w:spacing w:before="0" w:after="283"/>
              <w:jc w:val="right"/>
            </w:pPr>
            <w:r>
              <w:t> </w:t>
            </w:r>
          </w:p>
        </w:tc>
      </w:tr>
    </w:tbl>
    <w:p>
      <w:pPr>
        <w:pStyle w:val="TextBody"/>
        <w:bidi w:val="0"/>
        <w:spacing w:before="0" w:after="0"/>
        <w:ind w:left="0" w:right="0" w:hanging="0"/>
        <w:jc w:val="left"/>
      </w:pPr>
      <w: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829" w:type="dxa"/>
        <w:jc w:val="left"/>
        <w:tblInd w:w="0" w:type="dxa"/>
        <w:tblLayout w:type="fixed"/>
        <w:tblCellMar>
          <w:top w:w="0" w:type="dxa"/>
          <w:left w:w="0" w:type="dxa"/>
          <w:bottom w:w="0" w:type="dxa"/>
          <w:right w:w="0" w:type="dxa"/>
        </w:tblCellMar>
      </w:tblPr>
      <w:tblGrid>
        <w:gridCol w:w="2390"/>
        <w:gridCol w:w="709"/>
        <w:gridCol w:w="2655"/>
        <w:gridCol w:w="75"/>
      </w:tblGrid>
      <w:tr>
        <w:tc>
          <w:tcPr>
            <w:tcW w:w="2390" w:type="dxa"/>
            <w:tcBorders/>
            <w:vAlign w:val="center"/>
          </w:tcPr>
          <w:p>
            <w:pPr>
              <w:pStyle w:val="TableContents"/>
              <w:bidi w:val="0"/>
              <w:spacing w:before="0" w:after="283"/>
              <w:jc w:val="left"/>
            </w:pPr>
            <w:r>
              <w:t>Date: November 5, 2026</w:t>
            </w:r>
          </w:p>
        </w:tc>
        <w:tc>
          <w:tcPr>
            <w:tcW w:w="3364" w:type="dxa"/>
            <w:gridSpan w:val="2"/>
            <w:tcBorders/>
            <w:vAlign w:val="center"/>
          </w:tcPr>
          <w:p>
            <w:pPr>
              <w:pStyle w:val="TableContents"/>
              <w:bidi w:val="0"/>
              <w:spacing w:before="0" w:after="283"/>
              <w:jc w:val="left"/>
              <w:rPr>
                <w:b/>
                <w:sz w:val="20"/>
              </w:rPr>
            </w:pPr>
            <w:r>
              <w:rPr>
                <w:b/>
                <w:sz w:val="20"/>
              </w:rPr>
              <w:t>APPLIED OPTOELECTRONICS, INC.</w:t>
            </w:r>
          </w:p>
        </w:tc>
        <w:tc>
          <w:tcPr>
            <w:tcW w:w="75" w:type="dxa"/>
            <w:tcBorders/>
            <w:vAlign w:val="center"/>
          </w:tcPr>
          <w:p>
            <w:pPr>
              <w:pStyle w:val="TableContents"/>
              <w:bidi w:val="0"/>
              <w:spacing w:before="0" w:after="283"/>
              <w:jc w:val="left"/>
            </w:pPr>
            <w:r>
              <w:t> </w:t>
            </w:r>
          </w:p>
        </w:tc>
      </w:tr>
      <w:tr>
        <w:tc>
          <w:tcPr>
            <w:tcW w:w="2390" w:type="dxa"/>
            <w:tcBorders/>
            <w:vAlign w:val="center"/>
          </w:tcPr>
          <w:p>
            <w:pPr>
              <w:pStyle w:val="TableContents"/>
              <w:bidi w:val="0"/>
              <w:spacing w:before="0" w:after="283"/>
              <w:jc w:val="left"/>
            </w:pPr>
            <w:r>
              <w:t> </w:t>
            </w:r>
          </w:p>
        </w:tc>
        <w:tc>
          <w:tcPr>
            <w:tcW w:w="709" w:type="dxa"/>
            <w:tcBorders/>
            <w:vAlign w:val="center"/>
          </w:tcPr>
          <w:p>
            <w:pPr>
              <w:pStyle w:val="TableContents"/>
              <w:bidi w:val="0"/>
              <w:spacing w:before="0" w:after="283"/>
              <w:jc w:val="left"/>
            </w:pPr>
            <w:r>
              <w:t> </w:t>
            </w:r>
          </w:p>
        </w:tc>
        <w:tc>
          <w:tcPr>
            <w:tcW w:w="2655" w:type="dxa"/>
            <w:tcBorders/>
            <w:vAlign w:val="center"/>
          </w:tcPr>
          <w:p>
            <w:pPr>
              <w:pStyle w:val="TableContents"/>
              <w:bidi w:val="0"/>
              <w:spacing w:before="0" w:after="283"/>
              <w:jc w:val="left"/>
            </w:pPr>
            <w:r>
              <w:t> </w:t>
            </w:r>
          </w:p>
        </w:tc>
        <w:tc>
          <w:tcPr>
            <w:tcW w:w="75" w:type="dxa"/>
            <w:tcBorders/>
            <w:vAlign w:val="center"/>
          </w:tcPr>
          <w:p>
            <w:pPr>
              <w:pStyle w:val="TableContents"/>
              <w:bidi w:val="0"/>
              <w:spacing w:before="0" w:after="283"/>
              <w:jc w:val="left"/>
            </w:pPr>
            <w:r>
              <w:t> </w:t>
            </w:r>
          </w:p>
        </w:tc>
      </w:tr>
      <w:tr>
        <w:tc>
          <w:tcPr>
            <w:tcW w:w="2390" w:type="dxa"/>
            <w:tcBorders/>
            <w:vAlign w:val="center"/>
          </w:tcPr>
          <w:p>
            <w:pPr>
              <w:pStyle w:val="TableContents"/>
              <w:bidi w:val="0"/>
              <w:spacing w:before="0" w:after="283"/>
              <w:jc w:val="left"/>
            </w:pPr>
            <w:r>
              <w:t> </w:t>
            </w:r>
          </w:p>
        </w:tc>
        <w:tc>
          <w:tcPr>
            <w:tcW w:w="709" w:type="dxa"/>
            <w:tcBorders/>
            <w:vAlign w:val="center"/>
          </w:tcPr>
          <w:p>
            <w:pPr>
              <w:pStyle w:val="TableContents"/>
              <w:bidi w:val="0"/>
              <w:spacing w:before="0" w:after="283"/>
              <w:jc w:val="left"/>
            </w:pPr>
            <w:r>
              <w:t> </w:t>
            </w:r>
          </w:p>
        </w:tc>
        <w:tc>
          <w:tcPr>
            <w:tcW w:w="2655" w:type="dxa"/>
            <w:tcBorders/>
            <w:vAlign w:val="center"/>
          </w:tcPr>
          <w:p>
            <w:pPr>
              <w:pStyle w:val="TableContents"/>
              <w:bidi w:val="0"/>
              <w:spacing w:before="0" w:after="283"/>
              <w:jc w:val="left"/>
            </w:pPr>
            <w:r>
              <w:t> </w:t>
            </w:r>
          </w:p>
        </w:tc>
        <w:tc>
          <w:tcPr>
            <w:tcW w:w="75" w:type="dxa"/>
            <w:tcBorders/>
            <w:vAlign w:val="center"/>
          </w:tcPr>
          <w:p>
            <w:pPr>
              <w:pStyle w:val="TableContents"/>
              <w:bidi w:val="0"/>
              <w:spacing w:before="0" w:after="283"/>
              <w:jc w:val="left"/>
            </w:pPr>
            <w:r>
              <w:t> </w:t>
            </w:r>
          </w:p>
        </w:tc>
      </w:tr>
      <w:tr>
        <w:tc>
          <w:tcPr>
            <w:tcW w:w="2390" w:type="dxa"/>
            <w:tcBorders/>
            <w:vAlign w:val="center"/>
          </w:tcPr>
          <w:p>
            <w:pPr>
              <w:pStyle w:val="TableContents"/>
              <w:bidi w:val="0"/>
              <w:spacing w:before="0" w:after="283"/>
              <w:jc w:val="left"/>
            </w:pPr>
            <w:r>
              <w:t> </w:t>
            </w:r>
          </w:p>
        </w:tc>
        <w:tc>
          <w:tcPr>
            <w:tcW w:w="709" w:type="dxa"/>
            <w:tcBorders/>
            <w:vAlign w:val="center"/>
          </w:tcPr>
          <w:p>
            <w:pPr>
              <w:pStyle w:val="TableContents"/>
              <w:bidi w:val="0"/>
              <w:spacing w:before="0" w:after="283"/>
              <w:jc w:val="left"/>
            </w:pPr>
            <w:r>
              <w:t>By:</w:t>
            </w:r>
          </w:p>
        </w:tc>
        <w:tc>
          <w:tcPr>
            <w:tcW w:w="2655" w:type="dxa"/>
            <w:tcBorders>
              <w:bottom w:val="single" w:sz="8" w:space="0" w:color="000000"/>
            </w:tcBorders>
            <w:tcMar>
              <w:bottom w:w="28" w:type="dxa"/>
            </w:tcMar>
            <w:vAlign w:val="center"/>
          </w:tcPr>
          <w:p>
            <w:pPr>
              <w:pStyle w:val="TableContents"/>
              <w:bidi w:val="0"/>
              <w:spacing w:before="0" w:after="283"/>
              <w:jc w:val="left"/>
            </w:pPr>
            <w:r>
              <w:t xml:space="preserve">/s/ </w:t>
            </w:r>
            <w:r>
              <w:rPr>
                <w:smallCaps/>
              </w:rPr>
              <w:t>Stefan J. Murry</w:t>
            </w:r>
          </w:p>
        </w:tc>
        <w:tc>
          <w:tcPr>
            <w:tcW w:w="75" w:type="dxa"/>
            <w:tcBorders/>
            <w:vAlign w:val="center"/>
          </w:tcPr>
          <w:p>
            <w:pPr>
              <w:pStyle w:val="TableContents"/>
              <w:bidi w:val="0"/>
              <w:spacing w:before="0" w:after="283"/>
              <w:jc w:val="left"/>
            </w:pPr>
            <w:r>
              <w:t> </w:t>
            </w:r>
          </w:p>
        </w:tc>
      </w:tr>
      <w:tr>
        <w:tc>
          <w:tcPr>
            <w:tcW w:w="2390" w:type="dxa"/>
            <w:tcBorders/>
            <w:vAlign w:val="center"/>
          </w:tcPr>
          <w:p>
            <w:pPr>
              <w:pStyle w:val="TableContents"/>
              <w:bidi w:val="0"/>
              <w:spacing w:before="0" w:after="283"/>
              <w:jc w:val="left"/>
            </w:pPr>
            <w:r>
              <w:t> </w:t>
            </w:r>
          </w:p>
        </w:tc>
        <w:tc>
          <w:tcPr>
            <w:tcW w:w="709" w:type="dxa"/>
            <w:tcBorders/>
            <w:vAlign w:val="center"/>
          </w:tcPr>
          <w:p>
            <w:pPr>
              <w:pStyle w:val="TableContents"/>
              <w:bidi w:val="0"/>
              <w:spacing w:before="0" w:after="283"/>
              <w:jc w:val="left"/>
            </w:pPr>
            <w:r>
              <w:t>Name</w:t>
            </w:r>
          </w:p>
        </w:tc>
        <w:tc>
          <w:tcPr>
            <w:tcW w:w="2655" w:type="dxa"/>
            <w:tcBorders/>
            <w:vAlign w:val="center"/>
          </w:tcPr>
          <w:p>
            <w:pPr>
              <w:pStyle w:val="TableContents"/>
              <w:bidi w:val="0"/>
              <w:spacing w:before="0" w:after="283"/>
              <w:jc w:val="left"/>
              <w:rPr>
                <w:smallCaps/>
              </w:rPr>
            </w:pPr>
            <w:r>
              <w:rPr>
                <w:smallCaps/>
              </w:rPr>
              <w:t>Stefan J. Murry</w:t>
            </w:r>
          </w:p>
        </w:tc>
        <w:tc>
          <w:tcPr>
            <w:tcW w:w="75" w:type="dxa"/>
            <w:tcBorders/>
            <w:vAlign w:val="center"/>
          </w:tcPr>
          <w:p>
            <w:pPr>
              <w:pStyle w:val="TableContents"/>
              <w:bidi w:val="0"/>
              <w:spacing w:before="0" w:after="283"/>
              <w:jc w:val="left"/>
            </w:pPr>
            <w:r>
              <w:t> </w:t>
            </w:r>
          </w:p>
        </w:tc>
      </w:tr>
      <w:tr>
        <w:tc>
          <w:tcPr>
            <w:tcW w:w="2390" w:type="dxa"/>
            <w:tcBorders/>
            <w:vAlign w:val="center"/>
          </w:tcPr>
          <w:p>
            <w:pPr>
              <w:pStyle w:val="TableContents"/>
              <w:bidi w:val="0"/>
              <w:spacing w:before="0" w:after="283"/>
              <w:jc w:val="left"/>
            </w:pPr>
            <w:r>
              <w:t> </w:t>
            </w:r>
          </w:p>
        </w:tc>
        <w:tc>
          <w:tcPr>
            <w:tcW w:w="709" w:type="dxa"/>
            <w:tcBorders/>
            <w:vAlign w:val="center"/>
          </w:tcPr>
          <w:p>
            <w:pPr>
              <w:pStyle w:val="TableContents"/>
              <w:bidi w:val="0"/>
              <w:spacing w:before="0" w:after="283"/>
              <w:jc w:val="left"/>
            </w:pPr>
            <w:r>
              <w:t>Title:</w:t>
            </w:r>
          </w:p>
        </w:tc>
        <w:tc>
          <w:tcPr>
            <w:tcW w:w="2655" w:type="dxa"/>
            <w:tcBorders/>
            <w:vAlign w:val="center"/>
          </w:tcPr>
          <w:p>
            <w:pPr>
              <w:pStyle w:val="TableContents"/>
              <w:bidi w:val="0"/>
              <w:spacing w:before="0" w:after="0"/>
              <w:ind w:left="0" w:right="0" w:hanging="0"/>
              <w:jc w:val="left"/>
            </w:pPr>
            <w:r>
              <w:t>Chief Financial Officer</w:t>
            </w:r>
          </w:p>
        </w:tc>
        <w:tc>
          <w:tcPr>
            <w:tcW w:w="75"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c>
          <w:tcPr>
            <w:tcW w:w="75" w:type="dxa"/>
            <w:tcBorders/>
            <w:vAlign w:val="center"/>
          </w:tcPr>
          <w:p>
            <w:pPr>
              <w:pStyle w:val="TableContents"/>
              <w:bidi w:val="0"/>
              <w:spacing w:before="0" w:after="283"/>
              <w:jc w:val="left"/>
            </w:pPr>
            <w:r>
              <w:t> </w:t>
            </w:r>
          </w:p>
        </w:tc>
        <w:tc>
          <w:tcPr>
            <w:tcW w:w="140" w:type="dxa"/>
            <w:tcBorders/>
            <w:vAlign w:val="center"/>
          </w:tcPr>
          <w:p>
            <w:pPr>
              <w:pStyle w:val="TableContents"/>
              <w:bidi w:val="0"/>
              <w:spacing w:before="0" w:after="283"/>
              <w:jc w:val="center"/>
            </w:pPr>
            <w:r>
              <w:t>3</w:t>
            </w:r>
          </w:p>
        </w:tc>
        <w:tc>
          <w:tcPr>
            <w:tcW w:w="75" w:type="dxa"/>
            <w:tcBorders/>
            <w:vAlign w:val="center"/>
          </w:tcPr>
          <w:p>
            <w:pPr>
              <w:pStyle w:val="TableContents"/>
              <w:bidi w:val="0"/>
              <w:spacing w:before="0" w:after="283"/>
              <w:jc w:val="righ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aaoi_ex9901.htm"/>
      <w:bookmarkStart w:id="23" w:name="ksaaoi_ex9901"/>
      <w:bookmarkEnd w:id="22"/>
      <w:bookmarkEnd w:id="23"/>
      <w:r>
        <w:rPr>
          <w:b/>
        </w:rPr>
        <w:t>Exhibit 99.1</w:t>
      </w:r>
      <w:r>
        <w:br w:type="page"/>
      </w:r>
    </w:p>
    <w:p>
      <w:pPr>
        <w:pStyle w:val="TextBody"/>
        <w:bidi w:val="0"/>
        <w:jc w:val="right"/>
      </w:pPr>
      <w: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287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68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Applied Optoelectronics Reports Third Quarter 2026 Results</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Sugar Land, Texas, November 5, 2026 – Applied Optoelectronics, Inc. (NASDAQ: AAOI) (“AOI”),</w:t>
      </w:r>
      <w:r>
        <w:rPr>
          <w:rFonts w:ascii="Times New Roman;Times;Serif" w:hAnsi="Times New Roman;Times;Serif"/>
          <w:b w:val="false"/>
          <w:i w:val="false"/>
          <w:caps w:val="false"/>
          <w:smallCaps w:val="false"/>
          <w:sz w:val="20"/>
        </w:rPr>
        <w:t xml:space="preserve"> a leading provider of advanced optical and HFC networking products that power AI, today announced financial results for its third quarter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have generated record revenue for our sixth consecutive quarter and to have returned to GAAP profitability in Q3,” said Dr. Thompson Lin, AOI’s Founder, President and Chief Executive Officer. “We have made meaningful progress in scaling our manufacturing capabilities, particularly for our 800G and 1.6T products, to address demand for AI-related optical technologies that we believe is accelerating. We have recently secured a multi-year strategic agreement with a Tier 1 hyperscale datacenter customer, which we think provides us with improved long-term visibility and reinforces our confidence in the opportunity ahead as demand for high-bandwidth, energy-efficient optical connectivity products continues to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delivered another solid quarter, including accelerating revenue growth and improving profitability, driven by robust demand and manufacturing expansion in both our datacenter and CATV businesses,” said Dr. Stefan Murry, AOI’s Chief Financial Officer and Chief Strategy Officer. “We currently have a total manufacturing equipment capacity approaching 330,000 units per month. We expect our 2027 capacity expansion plan in the US to take longer to complete due to longer than expected time to obtain necessary electrical power among other construction related issues. As we work through these construction issues, we now expect by the end of 2026 that we will have sufficient manufacturing equipment installed to produce over 500,000 pieces of 800G and 1.6 Tb products per month and we expect to grow our manufacturing capacity to over 1 million pieces of 800G and 1.6 Tb transceivers per month by the end of 2027. We remain focused on executing on our capacity expansion plans and believe we are well positioned to support the next phase of AI datacenter deployment.”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2026 Financial Summary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revenue was $269.9 million, compared with $118.6 million in the third quarter of 2025 and $191.9 million in the second quarter of 2026.</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gross margin was 28.2%, compared with 28.0% in the third quarter of 2025 and 27.7% in the second quarter of 2026. Non-GAAP gross margin was 28.7%, compared with 31.0% in the third quarter of 2025 and 29.8% in the second quarter of 2026.</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net income was $6.3 million, or $0.07 per basic share, compared with net loss of $17.9 million, or $0.28 per basic share in the third quarter of 2025, and a net loss of $22.8 million, or $0.28 per basic share in the second quarter of 2026.</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Non-GAAP net income was $14.8 million, or $0.17 per diluted share, compared with non-GAAP net loss of $5.4 million, or $0.09 per basic share in the third quarter of 2025, and a non-GAAP net income of $5.5 million, or $0.06 per diluted share in the second quarter of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all GAAP and non-GAAP information referenced above is contained in the tables below. Please also refer to “Non-GAAP Financial Measures” below for a description of these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c>
          <w:tcPr>
            <w:tcW w:w="75" w:type="dxa"/>
            <w:tcBorders/>
            <w:vAlign w:val="center"/>
          </w:tcPr>
          <w:p>
            <w:pPr>
              <w:pStyle w:val="TableContents"/>
              <w:bidi w:val="0"/>
              <w:spacing w:before="0" w:after="283"/>
              <w:jc w:val="left"/>
            </w:pPr>
            <w:r>
              <w:t> </w:t>
            </w:r>
          </w:p>
        </w:tc>
        <w:tc>
          <w:tcPr>
            <w:tcW w:w="140" w:type="dxa"/>
            <w:tcBorders/>
            <w:vAlign w:val="center"/>
          </w:tcPr>
          <w:p>
            <w:pPr>
              <w:pStyle w:val="TableContents"/>
              <w:bidi w:val="0"/>
              <w:spacing w:before="0" w:after="283"/>
              <w:jc w:val="center"/>
            </w:pPr>
            <w:r>
              <w:t>1</w:t>
            </w:r>
          </w:p>
        </w:tc>
        <w:tc>
          <w:tcPr>
            <w:tcW w:w="75" w:type="dxa"/>
            <w:tcBorders/>
            <w:vAlign w:val="center"/>
          </w:tcPr>
          <w:p>
            <w:pPr>
              <w:pStyle w:val="TableContents"/>
              <w:bidi w:val="0"/>
              <w:spacing w:before="0" w:after="283"/>
              <w:jc w:val="right"/>
            </w:pPr>
            <w:r>
              <w:t> </w:t>
            </w:r>
          </w:p>
        </w:tc>
      </w:tr>
    </w:tbl>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Fourth Quarter 2026 Business Outlook </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fourth quarter of 2026, the company currently expects: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in the range of $385 million to $420 million.</w:t>
            </w:r>
          </w:p>
        </w:tc>
      </w:tr>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gross margin in the range of 29.5% to 31%.</w:t>
            </w:r>
          </w:p>
        </w:tc>
      </w:tr>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Non-GAAP net income in the range of $45.9 million to $60.4 million, and non-GAAP income per share in the range of $0.48 to $0.63 using approximately 96 million shares.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Please refer to the note below on forward-looking statements and the risks involved with such statements as well as the note on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and webcast for analysts and investors today, November 5, 2026 to discuss its third quarter 2026 financial results and outlook for its fourth quarter 2026 at 4:30 p.m. Eastern time / 3:30 p.m. Central time. This call will be open to the public, and investors may access the call by dialing 888-880-3330 (domestic) or 646-357-8766 (international). A live audio webcast of the conference call along with supplemental financial information will also be accessible on the company's website at investors.ao-inc.com. Following the webcast, an archived version will be available on the website for one year. A telephonic replay of the call will be available one hour after the call and will run for five business days and may be accessed by dialing (800) 770-2030 (domestic) or (609) 800-9909 (international) and entering passcode 4754976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 some cases, you can identify forward-looking statements by terminology such as "believe," "may," "estimate," "continue," "anticipate," "intend," "should," "could," "would," "target," "seek," "aim," "predicts," "think," "objectives," "optimistic," "new," "goal," “priorities,” "strategy," "potential," "is likely," "will," "expect," “momentum,” "plan" "project," "permit," “positions” or by other similar expressions that convey uncertainty of future events or outcomes. These statements include management’s beliefs and expectations related to our outlook for the fourth quarter of 2026 and the remainder of the year. Such forward-looking statements reflect the views of management at the time such statements are made.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potential pricing pressure; a decline in demand for our customers' products or their rate of deployment of their products; general conditions in the internet datacenter, cable television (CATV) broadband, telecom, or fiber-to-the-home (FTTH) markets; changes in the world economy (particularly in the United States and China); changes in the regulation and taxation of international trade, including the imposition of tariffs; changes in currency exchange rates; the negative effects of seasonality; and other risks and uncertainties described more fully in the company's documents filed with or furnished to the Securities and Exchange Commission, including our Annual Report on Form 10-K for the year ended December 31, 2025 and our Quarterly report on Form 10-Q for the quarter ended September 30, 2026. More information about these and other risks that may impact the company's business are set forth in the "Risk Factors" section of the company's quarterly and annual reports on file with the Securities and Exchange Commission. You should not rely on forward-looking statements as predictions of future events. All forward-looking statements in this press release are based upon information available to us as of the date hereof, and qualified in their entirety by this cautionary statement. Except as required by law, we assume no obligation to update forward-looking statements for any reason after the date of this press release to conform these statements to actual results or to changes in the company's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c>
          <w:tcPr>
            <w:tcW w:w="75" w:type="dxa"/>
            <w:tcBorders/>
            <w:vAlign w:val="center"/>
          </w:tcPr>
          <w:p>
            <w:pPr>
              <w:pStyle w:val="TableContents"/>
              <w:bidi w:val="0"/>
              <w:spacing w:before="0" w:after="283"/>
              <w:jc w:val="left"/>
            </w:pPr>
            <w:r>
              <w:t> </w:t>
            </w:r>
          </w:p>
        </w:tc>
        <w:tc>
          <w:tcPr>
            <w:tcW w:w="140" w:type="dxa"/>
            <w:tcBorders/>
            <w:vAlign w:val="center"/>
          </w:tcPr>
          <w:p>
            <w:pPr>
              <w:pStyle w:val="TableContents"/>
              <w:bidi w:val="0"/>
              <w:spacing w:before="0" w:after="283"/>
              <w:jc w:val="center"/>
            </w:pPr>
            <w:r>
              <w:t>2</w:t>
            </w:r>
          </w:p>
        </w:tc>
        <w:tc>
          <w:tcPr>
            <w:tcW w:w="75" w:type="dxa"/>
            <w:tcBorders/>
            <w:vAlign w:val="center"/>
          </w:tcPr>
          <w:p>
            <w:pPr>
              <w:pStyle w:val="TableContents"/>
              <w:bidi w:val="0"/>
              <w:spacing w:before="0" w:after="283"/>
              <w:jc w:val="right"/>
            </w:pPr>
            <w:r>
              <w:t> </w:t>
            </w:r>
          </w:p>
        </w:tc>
      </w:tr>
    </w:tbl>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non-GAAP gross margin, non-GAAP net income (loss), and non-GAAP earnings (loss) per share, and non-GAAP Adjusted EBITDA to eliminate the impact of items that we do not consider indicative of our overall operating performance. To arrive at our non-GAAP gross margin, we exclude stock-based compensation expenses, expenses associated with discontinued products, and non-recurring (income) expenses, if any, from our GAAP gross margin. To arrive at our non-GAAP net income (loss), we exclude all amortization of intangible assets, stock-based compensation expense, expenses associated with discontinued products, non-cash expenses associated with discontinued products and non-recurring (income) expenses, unrealized foreign exchange loss (gain), and non-GAAP tax benefit (expenses) from our GAAP net income (loss). Included in our non-recurring expenses in Q3 2026 and Q3 2025 are employee severance expenses (if any) and legal expenses associated with litigation and certain legal and advisory expenses associated with purchase termination or patent protection. In computing our non-GAAP income tax benefit (expense), we have applied an estimate of our annual effective income tax rate and applied it to our net income before income taxes. Our non-GAAP Adjusted EBITDA is calculated by excluding depreciation expense, non-GAAP tax benefit (expense), and interest (income) expense, as well as the items excluded from non-GAAP net income (loss), from our GAAP net income (loss). Our non-GAAP diluted net earnings (loss) per share is calculated by dividing our non-GAAP net gain (loss) by the fully diluted share count (for periods in which non-GAAP net income is positive) or basic share count (for periods in which our non-GAAP net income is negative).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non-GAAP measures are useful to investors in evaluating our operating performance for the following reasons: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c>
          <w:tcPr>
            <w:tcW w:w="75"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believe that elimination of items such as amortization of intangible assets, stock-based compensation expense, non-recurring revenue and expenses, losses from the disposal of idle assets, unrealized foreign exchange gain or loss, and depreciation on certain equipment undergoing reconfiguration is appropriate because treatment of these items may vary for reasons unrelated to our overall operating performance;</w:t>
            </w:r>
          </w:p>
        </w:tc>
      </w:tr>
      <w:tr>
        <w:tc>
          <w:tcPr>
            <w:tcW w:w="75"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believe that elimination of expenses associated with discontinued products, including depreciation and inventory obsolescence is appropriate because these expenses are not indicative of our ongoing operations;</w:t>
            </w:r>
          </w:p>
        </w:tc>
      </w:tr>
      <w:tr>
        <w:tc>
          <w:tcPr>
            <w:tcW w:w="75"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believe that estimating non-GAAP income taxes allows comparison with prior periods and provides additional information regarding the generation of potential future deferred tax assets;</w:t>
            </w:r>
          </w:p>
        </w:tc>
      </w:tr>
      <w:tr>
        <w:tc>
          <w:tcPr>
            <w:tcW w:w="75"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believe that non-GAAP measures provide better comparability with our past financial performance, period-to-period results and with our peer companies, many of which also use similar non-GAAP financial measures; and</w:t>
            </w:r>
          </w:p>
        </w:tc>
      </w:tr>
      <w:tr>
        <w:tc>
          <w:tcPr>
            <w:tcW w:w="75"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anticipate that investors and securities analysts will utilize non-GAAP measures as a supplement to GAAP measures to evaluate our overall operating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our GAAP net income (loss), GAAP total gross profit, GAAP earnings (loss), and GAAP earnings (loss) per share for Q3 2026 to our non-GAAP net income (loss), non-GAAP total gross profit, Adjusted EBITDA, and earnings (loss) per share, respectively, is provided below, together with corresponding reconciliations for Q3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as an alternative to gross profit, net income (loss), earnings (loss) per share, or any other measure of financial performance calculated and presented in accordance with GAAP. Our non-GAAP measures may not be comparable to similarly titled measures of other organizations because other organizations may not calculate such other non-GAAP measures in the same manner. We have not reconciled the non-GAAP measures included in our guidance to the appropriate GAAP financial measures because the GAAP measures are not readily determinable on a forward-looking basis. GAAP measures that impact our non-GAAP financial measures may include stock-based compensation expense, non-recurring expenses, amortization of intangible assets, unrealized exchange loss (gain), asset impairment charges, loss (gain) from disposal of idle assets, and changes in the fair value of our convertible notes. These GAAP measures cannot be reasonably predicted and may directly impact our non-GAAP gross margin, our non-GAAP net income and our non-GAAP fully-diluted earnings per share, although changes with respect to certain of these measures may offset other changes. In addition, certain of these measures are out of our control. Accordingly, a reconciliation of the non-GAAP financial measure guidance to the corresponding GAAP measures is not available without unreasonable effort.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c>
          <w:tcPr>
            <w:tcW w:w="75" w:type="dxa"/>
            <w:tcBorders/>
            <w:vAlign w:val="center"/>
          </w:tcPr>
          <w:p>
            <w:pPr>
              <w:pStyle w:val="TableContents"/>
              <w:bidi w:val="0"/>
              <w:spacing w:before="0" w:after="283"/>
              <w:jc w:val="left"/>
            </w:pPr>
            <w:r>
              <w:t> </w:t>
            </w:r>
          </w:p>
        </w:tc>
        <w:tc>
          <w:tcPr>
            <w:tcW w:w="140" w:type="dxa"/>
            <w:tcBorders/>
            <w:vAlign w:val="center"/>
          </w:tcPr>
          <w:p>
            <w:pPr>
              <w:pStyle w:val="TableContents"/>
              <w:bidi w:val="0"/>
              <w:spacing w:before="0" w:after="283"/>
              <w:jc w:val="center"/>
            </w:pPr>
            <w:r>
              <w:t>3</w:t>
            </w:r>
          </w:p>
        </w:tc>
        <w:tc>
          <w:tcPr>
            <w:tcW w:w="75" w:type="dxa"/>
            <w:tcBorders/>
            <w:vAlign w:val="center"/>
          </w:tcPr>
          <w:p>
            <w:pPr>
              <w:pStyle w:val="TableContents"/>
              <w:bidi w:val="0"/>
              <w:spacing w:before="0" w:after="283"/>
              <w:jc w:val="right"/>
            </w:pPr>
            <w:r>
              <w:t> </w:t>
            </w:r>
          </w:p>
        </w:tc>
      </w:tr>
    </w:tbl>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Applied Optoelectronics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Applied Optoelectronics, Inc. (AOI) is a leading developer and manufacturer of advanced optical and HFC networking products that serve as the critical building blocks for AI datacenters, CATV and broadband fiber access networks worldwide. AOI supplies these critical infrastructure products to tier-one customers across cloud computing, CATV broadband, telecommunications, and FTTH markets. The company has R&amp;D facilities in Atlanta, GA, and engineering and manufacturing facilities at its corporate headquarters in Sugar Land, TX, as well as in Taipei, Taiwan and Ningbo, China. For additional information, visit www.ao-inc.com.  </w:t>
      </w: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Blueshirt Group,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Savarese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+1-212-331-8417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ir@ao-inc.com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c>
          <w:tcPr>
            <w:tcW w:w="75" w:type="dxa"/>
            <w:tcBorders/>
            <w:vAlign w:val="center"/>
          </w:tcPr>
          <w:p>
            <w:pPr>
              <w:pStyle w:val="TableContents"/>
              <w:bidi w:val="0"/>
              <w:spacing w:before="0" w:after="283"/>
              <w:jc w:val="left"/>
            </w:pPr>
            <w:r>
              <w:t> </w:t>
            </w:r>
          </w:p>
        </w:tc>
        <w:tc>
          <w:tcPr>
            <w:tcW w:w="140" w:type="dxa"/>
            <w:tcBorders/>
            <w:vAlign w:val="center"/>
          </w:tcPr>
          <w:p>
            <w:pPr>
              <w:pStyle w:val="TableContents"/>
              <w:bidi w:val="0"/>
              <w:spacing w:before="0" w:after="283"/>
              <w:jc w:val="center"/>
            </w:pPr>
            <w:r>
              <w:t>4</w:t>
            </w:r>
          </w:p>
        </w:tc>
        <w:tc>
          <w:tcPr>
            <w:tcW w:w="75" w:type="dxa"/>
            <w:tcBorders/>
            <w:vAlign w:val="center"/>
          </w:tcPr>
          <w:p>
            <w:pPr>
              <w:pStyle w:val="TableContents"/>
              <w:bidi w:val="0"/>
              <w:spacing w:before="0" w:after="283"/>
              <w:jc w:val="right"/>
            </w:pPr>
            <w:r>
              <w:t> </w:t>
            </w:r>
          </w:p>
        </w:tc>
      </w:tr>
    </w:tbl>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pPr>
      <w:r>
        <w:t> </w:t>
      </w:r>
    </w:p>
    <w:tbl>
      <w:tblPr>
        <w:tblW w:w="9548" w:type="dxa"/>
        <w:jc w:val="left"/>
        <w:tblInd w:w="0" w:type="dxa"/>
        <w:tblLayout w:type="fixed"/>
        <w:tblCellMar>
          <w:top w:w="0" w:type="dxa"/>
          <w:left w:w="0" w:type="dxa"/>
          <w:bottom w:w="0" w:type="dxa"/>
          <w:right w:w="0" w:type="dxa"/>
        </w:tblCellMar>
      </w:tblPr>
      <w:tblGrid>
        <w:gridCol w:w="6215"/>
        <w:gridCol w:w="60"/>
        <w:gridCol w:w="191"/>
        <w:gridCol w:w="1343"/>
        <w:gridCol w:w="95"/>
        <w:gridCol w:w="60"/>
        <w:gridCol w:w="184"/>
        <w:gridCol w:w="1290"/>
        <w:gridCol w:w="110"/>
      </w:tblGrid>
      <w:tr>
        <w:tc>
          <w:tcPr>
            <w:tcW w:w="621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September 30, </w:t>
              <w:br/>
              <w:t>2026</w:t>
            </w:r>
          </w:p>
        </w:tc>
        <w:tc>
          <w:tcPr>
            <w:tcW w:w="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rPr>
                <w:b/>
              </w:rPr>
            </w:pPr>
            <w:r>
              <w:rPr>
                <w:b/>
              </w:rPr>
              <w:t>ASSETS</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 </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 </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Cash, Cash Equivalents and Restricted Cash</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w:t>
            </w:r>
          </w:p>
        </w:tc>
        <w:tc>
          <w:tcPr>
            <w:tcW w:w="1343" w:type="dxa"/>
            <w:tcBorders/>
            <w:shd w:fill="EEEEEE" w:val="clear"/>
            <w:vAlign w:val="center"/>
          </w:tcPr>
          <w:p>
            <w:pPr>
              <w:pStyle w:val="TableContents"/>
              <w:bidi w:val="0"/>
              <w:spacing w:before="0" w:after="283"/>
              <w:jc w:val="right"/>
            </w:pPr>
            <w:r>
              <w:t>621,457</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w:t>
            </w:r>
          </w:p>
        </w:tc>
        <w:tc>
          <w:tcPr>
            <w:tcW w:w="1290" w:type="dxa"/>
            <w:tcBorders/>
            <w:shd w:fill="EEEEEE" w:val="clear"/>
            <w:vAlign w:val="center"/>
          </w:tcPr>
          <w:p>
            <w:pPr>
              <w:pStyle w:val="TableContents"/>
              <w:bidi w:val="0"/>
              <w:spacing w:before="0" w:after="283"/>
              <w:jc w:val="right"/>
            </w:pPr>
            <w:r>
              <w:t>216,035</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Accounts Receivable, Net</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413,760</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244,404</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Inventories</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377,991</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183,105</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Prepaid Expenses and Other Current Assets</w:t>
            </w:r>
          </w:p>
        </w:tc>
        <w:tc>
          <w:tcPr>
            <w:tcW w:w="60" w:type="dxa"/>
            <w:tcBorders/>
            <w:shd w:fill="FFFFFF" w:val="clear"/>
            <w:vAlign w:val="center"/>
          </w:tcPr>
          <w:p>
            <w:pPr>
              <w:pStyle w:val="TableContents"/>
              <w:bidi w:val="0"/>
              <w:spacing w:before="0" w:after="283"/>
              <w:jc w:val="left"/>
            </w:pPr>
            <w: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pPr>
            <w:r>
              <w:t>131,557</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pPr>
            <w:r>
              <w:t>32,183</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rPr>
                <w:b/>
              </w:rPr>
            </w:pPr>
            <w:r>
              <w:rPr>
                <w:b/>
              </w:rPr>
              <w:t>Total Current Assets</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rPr>
                <w:b/>
              </w:rPr>
            </w:pPr>
            <w:r>
              <w:rPr>
                <w:b/>
              </w:rPr>
              <w:t>1,544,765</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rPr>
                <w:b/>
              </w:rPr>
            </w:pPr>
            <w:r>
              <w:rPr>
                <w:b/>
              </w:rPr>
              <w:t>675,727</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 </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Property, Plant And Equipment, Net</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1,043,993</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376,050</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Land Use Rights, Net</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4,940</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4,825</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Operating Right of Use Asset</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70,509</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49,697</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Intangible Assets, Net</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3,692</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3,623</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Other Assets</w:t>
            </w:r>
          </w:p>
        </w:tc>
        <w:tc>
          <w:tcPr>
            <w:tcW w:w="60" w:type="dxa"/>
            <w:tcBorders/>
            <w:shd w:fill="EEEEEE" w:val="clear"/>
            <w:vAlign w:val="center"/>
          </w:tcPr>
          <w:p>
            <w:pPr>
              <w:pStyle w:val="TableContents"/>
              <w:bidi w:val="0"/>
              <w:spacing w:before="0" w:after="283"/>
              <w:jc w:val="left"/>
            </w:pPr>
            <w:r>
              <w:t> </w:t>
            </w:r>
          </w:p>
        </w:tc>
        <w:tc>
          <w:tcPr>
            <w:tcW w:w="191"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343" w:type="dxa"/>
            <w:tcBorders>
              <w:bottom w:val="single" w:sz="8" w:space="0" w:color="000000"/>
            </w:tcBorders>
            <w:shd w:fill="EEEEEE" w:val="clear"/>
            <w:tcMar>
              <w:bottom w:w="28" w:type="dxa"/>
            </w:tcMar>
            <w:vAlign w:val="center"/>
          </w:tcPr>
          <w:p>
            <w:pPr>
              <w:pStyle w:val="TableContents"/>
              <w:bidi w:val="0"/>
              <w:spacing w:before="0" w:after="283"/>
              <w:jc w:val="right"/>
            </w:pPr>
            <w:r>
              <w:t>467,727</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290" w:type="dxa"/>
            <w:tcBorders>
              <w:bottom w:val="single" w:sz="8" w:space="0" w:color="000000"/>
            </w:tcBorders>
            <w:shd w:fill="EEEEEE" w:val="clear"/>
            <w:tcMar>
              <w:bottom w:w="28" w:type="dxa"/>
            </w:tcMar>
            <w:vAlign w:val="center"/>
          </w:tcPr>
          <w:p>
            <w:pPr>
              <w:pStyle w:val="TableContents"/>
              <w:bidi w:val="0"/>
              <w:spacing w:before="0" w:after="283"/>
              <w:jc w:val="right"/>
            </w:pPr>
            <w:r>
              <w:t>58,501</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pPr>
            <w: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4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3,135,626</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1,168,423</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 </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 </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rPr>
                <w:b/>
              </w:rPr>
            </w:pPr>
            <w:r>
              <w:rPr>
                <w:b/>
              </w:rPr>
              <w:t>CURRENT LIABILITIES</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 </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Accounts Payable</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w:t>
            </w:r>
          </w:p>
        </w:tc>
        <w:tc>
          <w:tcPr>
            <w:tcW w:w="1343" w:type="dxa"/>
            <w:tcBorders/>
            <w:shd w:fill="FFFFFF" w:val="clear"/>
            <w:vAlign w:val="center"/>
          </w:tcPr>
          <w:p>
            <w:pPr>
              <w:pStyle w:val="TableContents"/>
              <w:bidi w:val="0"/>
              <w:spacing w:before="0" w:after="283"/>
              <w:jc w:val="right"/>
            </w:pPr>
            <w:r>
              <w:t>494,279</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w:t>
            </w:r>
          </w:p>
        </w:tc>
        <w:tc>
          <w:tcPr>
            <w:tcW w:w="1290" w:type="dxa"/>
            <w:tcBorders/>
            <w:shd w:fill="FFFFFF" w:val="clear"/>
            <w:vAlign w:val="center"/>
          </w:tcPr>
          <w:p>
            <w:pPr>
              <w:pStyle w:val="TableContents"/>
              <w:bidi w:val="0"/>
              <w:spacing w:before="0" w:after="283"/>
              <w:jc w:val="right"/>
            </w:pPr>
            <w:r>
              <w:t>143,932</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Bank Acceptance Payable</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51,509</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33,363</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Accrued Expenses</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49,794</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42,491</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Current Lease Liability-Operating</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5,182</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3,522</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Current Portion of Notes Payable and Long Term Debt</w:t>
            </w:r>
          </w:p>
        </w:tc>
        <w:tc>
          <w:tcPr>
            <w:tcW w:w="60" w:type="dxa"/>
            <w:tcBorders/>
            <w:shd w:fill="FFFFFF" w:val="clear"/>
            <w:vAlign w:val="center"/>
          </w:tcPr>
          <w:p>
            <w:pPr>
              <w:pStyle w:val="TableContents"/>
              <w:bidi w:val="0"/>
              <w:spacing w:before="0" w:after="283"/>
              <w:jc w:val="left"/>
            </w:pPr>
            <w: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pPr>
            <w:r>
              <w:t>59,990</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pPr>
            <w:r>
              <w:t>33,975</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rPr>
                <w:b/>
              </w:rPr>
            </w:pPr>
            <w:r>
              <w:rPr>
                <w:b/>
              </w:rPr>
              <w:t>Total Current Liabilities</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rPr>
                <w:b/>
              </w:rPr>
            </w:pPr>
            <w:r>
              <w:rPr>
                <w:b/>
              </w:rPr>
              <w:t>660,754</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rPr>
                <w:b/>
              </w:rPr>
            </w:pPr>
            <w:r>
              <w:rPr>
                <w:b/>
              </w:rPr>
              <w:t>257,283</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Convertible Senior Notes</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128,836</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129,829</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Other Long-Term Liabilities</w:t>
            </w:r>
          </w:p>
        </w:tc>
        <w:tc>
          <w:tcPr>
            <w:tcW w:w="60" w:type="dxa"/>
            <w:tcBorders/>
            <w:shd w:fill="EEEEEE" w:val="clear"/>
            <w:vAlign w:val="center"/>
          </w:tcPr>
          <w:p>
            <w:pPr>
              <w:pStyle w:val="TableContents"/>
              <w:bidi w:val="0"/>
              <w:spacing w:before="0" w:after="283"/>
              <w:jc w:val="left"/>
            </w:pPr>
            <w:r>
              <w:t> </w:t>
            </w:r>
          </w:p>
        </w:tc>
        <w:tc>
          <w:tcPr>
            <w:tcW w:w="191"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343" w:type="dxa"/>
            <w:tcBorders>
              <w:bottom w:val="single" w:sz="8" w:space="0" w:color="000000"/>
            </w:tcBorders>
            <w:shd w:fill="EEEEEE" w:val="clear"/>
            <w:tcMar>
              <w:bottom w:w="28" w:type="dxa"/>
            </w:tcMar>
            <w:vAlign w:val="center"/>
          </w:tcPr>
          <w:p>
            <w:pPr>
              <w:pStyle w:val="TableContents"/>
              <w:bidi w:val="0"/>
              <w:spacing w:before="0" w:after="283"/>
              <w:jc w:val="right"/>
            </w:pPr>
            <w:r>
              <w:t>104,688</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290" w:type="dxa"/>
            <w:tcBorders>
              <w:bottom w:val="single" w:sz="8" w:space="0" w:color="000000"/>
            </w:tcBorders>
            <w:shd w:fill="EEEEEE" w:val="clear"/>
            <w:tcMar>
              <w:bottom w:w="28" w:type="dxa"/>
            </w:tcMar>
            <w:vAlign w:val="center"/>
          </w:tcPr>
          <w:p>
            <w:pPr>
              <w:pStyle w:val="TableContents"/>
              <w:bidi w:val="0"/>
              <w:spacing w:before="0" w:after="283"/>
              <w:jc w:val="right"/>
            </w:pPr>
            <w:r>
              <w:t>47,393</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rPr>
                <w:b/>
              </w:rPr>
            </w:pPr>
            <w:r>
              <w:rPr>
                <w:b/>
              </w:rPr>
              <w:t>894,278</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rPr>
                <w:b/>
              </w:rPr>
            </w:pPr>
            <w:r>
              <w:rPr>
                <w:b/>
              </w:rPr>
              <w:t>434,505</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 </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 </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Common Stock</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90</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75</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Additional Paid-in Capital</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jc w:val="left"/>
            </w:pPr>
            <w:r>
              <w:t> </w:t>
            </w:r>
          </w:p>
        </w:tc>
        <w:tc>
          <w:tcPr>
            <w:tcW w:w="1343" w:type="dxa"/>
            <w:tcBorders/>
            <w:shd w:fill="FFFFFF" w:val="clear"/>
            <w:vAlign w:val="center"/>
          </w:tcPr>
          <w:p>
            <w:pPr>
              <w:pStyle w:val="TableContents"/>
              <w:bidi w:val="0"/>
              <w:spacing w:before="0" w:after="283"/>
              <w:jc w:val="right"/>
            </w:pPr>
            <w:r>
              <w:t>2,757,548</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jc w:val="left"/>
            </w:pPr>
            <w:r>
              <w:t> </w:t>
            </w:r>
          </w:p>
        </w:tc>
        <w:tc>
          <w:tcPr>
            <w:tcW w:w="1290" w:type="dxa"/>
            <w:tcBorders/>
            <w:shd w:fill="FFFFFF" w:val="clear"/>
            <w:vAlign w:val="center"/>
          </w:tcPr>
          <w:p>
            <w:pPr>
              <w:pStyle w:val="TableContents"/>
              <w:bidi w:val="0"/>
              <w:spacing w:before="0" w:after="283"/>
              <w:jc w:val="right"/>
            </w:pPr>
            <w:r>
              <w:t>1,224,538</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pPr>
            <w:r>
              <w:t>Cumulative Translation Adjustment</w:t>
            </w:r>
          </w:p>
        </w:tc>
        <w:tc>
          <w:tcPr>
            <w:tcW w:w="60" w:type="dxa"/>
            <w:tcBorders/>
            <w:shd w:fill="EEEEEE" w:val="clear"/>
            <w:vAlign w:val="center"/>
          </w:tcPr>
          <w:p>
            <w:pPr>
              <w:pStyle w:val="TableContents"/>
              <w:bidi w:val="0"/>
              <w:spacing w:before="0" w:after="283"/>
              <w:jc w:val="left"/>
            </w:pPr>
            <w:r>
              <w:t> </w:t>
            </w:r>
          </w:p>
        </w:tc>
        <w:tc>
          <w:tcPr>
            <w:tcW w:w="191" w:type="dxa"/>
            <w:tcBorders/>
            <w:shd w:fill="EEEEEE" w:val="clear"/>
            <w:vAlign w:val="center"/>
          </w:tcPr>
          <w:p>
            <w:pPr>
              <w:pStyle w:val="TableContents"/>
              <w:bidi w:val="0"/>
              <w:spacing w:before="0" w:after="283"/>
              <w:jc w:val="left"/>
            </w:pPr>
            <w:r>
              <w:t> </w:t>
            </w:r>
          </w:p>
        </w:tc>
        <w:tc>
          <w:tcPr>
            <w:tcW w:w="1343" w:type="dxa"/>
            <w:tcBorders/>
            <w:shd w:fill="EEEEEE" w:val="clear"/>
            <w:vAlign w:val="center"/>
          </w:tcPr>
          <w:p>
            <w:pPr>
              <w:pStyle w:val="TableContents"/>
              <w:bidi w:val="0"/>
              <w:spacing w:before="0" w:after="283"/>
              <w:jc w:val="right"/>
            </w:pPr>
            <w:r>
              <w:t>4,551</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shd w:fill="EEEEEE" w:val="clear"/>
            <w:vAlign w:val="center"/>
          </w:tcPr>
          <w:p>
            <w:pPr>
              <w:pStyle w:val="TableContents"/>
              <w:bidi w:val="0"/>
              <w:spacing w:before="0" w:after="283"/>
              <w:jc w:val="left"/>
            </w:pPr>
            <w:r>
              <w:t> </w:t>
            </w:r>
          </w:p>
        </w:tc>
        <w:tc>
          <w:tcPr>
            <w:tcW w:w="1290" w:type="dxa"/>
            <w:tcBorders/>
            <w:shd w:fill="EEEEEE" w:val="clear"/>
            <w:vAlign w:val="center"/>
          </w:tcPr>
          <w:p>
            <w:pPr>
              <w:pStyle w:val="TableContents"/>
              <w:bidi w:val="0"/>
              <w:spacing w:before="0" w:after="283"/>
              <w:jc w:val="right"/>
            </w:pPr>
            <w:r>
              <w:t>(617</w:t>
            </w:r>
          </w:p>
        </w:tc>
        <w:tc>
          <w:tcPr>
            <w:tcW w:w="110" w:type="dxa"/>
            <w:tcBorders/>
            <w:shd w:fill="EEEEEE" w:val="clear"/>
            <w:vAlign w:val="center"/>
          </w:tcPr>
          <w:p>
            <w:pPr>
              <w:pStyle w:val="TableContents"/>
              <w:bidi w:val="0"/>
              <w:spacing w:before="0" w:after="283"/>
              <w:jc w:val="left"/>
            </w:pPr>
            <w:r>
              <w:t>)</w:t>
            </w:r>
          </w:p>
        </w:tc>
      </w:tr>
      <w:tr>
        <w:tc>
          <w:tcPr>
            <w:tcW w:w="6215" w:type="dxa"/>
            <w:tcBorders/>
            <w:shd w:fill="FFFFFF" w:val="clear"/>
            <w:vAlign w:val="center"/>
          </w:tcPr>
          <w:p>
            <w:pPr>
              <w:pStyle w:val="TableContents"/>
              <w:bidi w:val="0"/>
              <w:spacing w:before="0" w:after="283"/>
              <w:jc w:val="left"/>
            </w:pPr>
            <w:r>
              <w:t>Retained Earnings</w:t>
            </w:r>
          </w:p>
        </w:tc>
        <w:tc>
          <w:tcPr>
            <w:tcW w:w="60" w:type="dxa"/>
            <w:tcBorders/>
            <w:shd w:fill="FFFFFF" w:val="clear"/>
            <w:vAlign w:val="center"/>
          </w:tcPr>
          <w:p>
            <w:pPr>
              <w:pStyle w:val="TableContents"/>
              <w:bidi w:val="0"/>
              <w:spacing w:before="0" w:after="283"/>
              <w:jc w:val="left"/>
            </w:pPr>
            <w: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pPr>
            <w:r>
              <w:t>(520,841</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pPr>
            <w:r>
              <w:t>(490,078</w:t>
            </w:r>
          </w:p>
        </w:tc>
        <w:tc>
          <w:tcPr>
            <w:tcW w:w="110" w:type="dxa"/>
            <w:tcBorders/>
            <w:shd w:fill="FFFFFF" w:val="clear"/>
            <w:vAlign w:val="center"/>
          </w:tcPr>
          <w:p>
            <w:pPr>
              <w:pStyle w:val="TableContents"/>
              <w:bidi w:val="0"/>
              <w:spacing w:before="0" w:after="283"/>
              <w:jc w:val="left"/>
            </w:pPr>
            <w:r>
              <w:t>)</w:t>
            </w:r>
          </w:p>
        </w:tc>
      </w:tr>
      <w:tr>
        <w:tc>
          <w:tcPr>
            <w:tcW w:w="6215" w:type="dxa"/>
            <w:tcBorders/>
            <w:shd w:fill="EEEEEE" w:val="clear"/>
            <w:vAlign w:val="center"/>
          </w:tcPr>
          <w:p>
            <w:pPr>
              <w:pStyle w:val="TableContents"/>
              <w:bidi w:val="0"/>
              <w:spacing w:before="0" w:after="283"/>
              <w:jc w:val="left"/>
              <w:rPr>
                <w:b/>
              </w:rPr>
            </w:pPr>
            <w:r>
              <w:rPr>
                <w:b/>
              </w:rPr>
              <w:t>TOTAL STOCKHOLDERS' EQUITY</w:t>
            </w:r>
          </w:p>
        </w:tc>
        <w:tc>
          <w:tcPr>
            <w:tcW w:w="60" w:type="dxa"/>
            <w:tcBorders/>
            <w:shd w:fill="EEEEEE" w:val="clear"/>
            <w:vAlign w:val="center"/>
          </w:tcPr>
          <w:p>
            <w:pPr>
              <w:pStyle w:val="TableContents"/>
              <w:bidi w:val="0"/>
              <w:spacing w:before="0" w:after="283"/>
              <w:jc w:val="left"/>
            </w:pPr>
            <w:r>
              <w:t> </w:t>
            </w:r>
          </w:p>
        </w:tc>
        <w:tc>
          <w:tcPr>
            <w:tcW w:w="191"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343" w:type="dxa"/>
            <w:tcBorders>
              <w:bottom w:val="single" w:sz="8" w:space="0" w:color="000000"/>
            </w:tcBorders>
            <w:shd w:fill="EEEEEE" w:val="clear"/>
            <w:tcMar>
              <w:bottom w:w="28" w:type="dxa"/>
            </w:tcMar>
            <w:vAlign w:val="center"/>
          </w:tcPr>
          <w:p>
            <w:pPr>
              <w:pStyle w:val="TableContents"/>
              <w:bidi w:val="0"/>
              <w:spacing w:before="0" w:after="283"/>
              <w:jc w:val="right"/>
              <w:rPr>
                <w:b/>
              </w:rPr>
            </w:pPr>
            <w:r>
              <w:rPr>
                <w:b/>
              </w:rPr>
              <w:t>2,241,348</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290" w:type="dxa"/>
            <w:tcBorders>
              <w:bottom w:val="single" w:sz="8" w:space="0" w:color="000000"/>
            </w:tcBorders>
            <w:shd w:fill="EEEEEE" w:val="clear"/>
            <w:tcMar>
              <w:bottom w:w="28" w:type="dxa"/>
            </w:tcMar>
            <w:vAlign w:val="center"/>
          </w:tcPr>
          <w:p>
            <w:pPr>
              <w:pStyle w:val="TableContents"/>
              <w:bidi w:val="0"/>
              <w:spacing w:before="0" w:after="283"/>
              <w:jc w:val="right"/>
              <w:rPr>
                <w:b/>
              </w:rPr>
            </w:pPr>
            <w:r>
              <w:rPr>
                <w:b/>
              </w:rPr>
              <w:t>733,918</w:t>
            </w:r>
          </w:p>
        </w:tc>
        <w:tc>
          <w:tcPr>
            <w:tcW w:w="110" w:type="dxa"/>
            <w:tcBorders/>
            <w:shd w:fill="EEEEEE" w:val="clear"/>
            <w:vAlign w:val="center"/>
          </w:tcPr>
          <w:p>
            <w:pPr>
              <w:pStyle w:val="TableContents"/>
              <w:bidi w:val="0"/>
              <w:spacing w:before="0" w:after="283"/>
              <w:jc w:val="left"/>
            </w:pPr>
            <w:r>
              <w:t> </w:t>
            </w:r>
          </w:p>
        </w:tc>
      </w:tr>
      <w:tr>
        <w:tc>
          <w:tcPr>
            <w:tcW w:w="62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pPr>
            <w:r>
              <w:t> </w:t>
            </w:r>
          </w:p>
        </w:tc>
        <w:tc>
          <w:tcPr>
            <w:tcW w:w="110" w:type="dxa"/>
            <w:tcBorders/>
            <w:shd w:fill="FFFFFF" w:val="clear"/>
            <w:vAlign w:val="center"/>
          </w:tcPr>
          <w:p>
            <w:pPr>
              <w:pStyle w:val="TableContents"/>
              <w:bidi w:val="0"/>
              <w:spacing w:before="0" w:after="283"/>
              <w:jc w:val="left"/>
            </w:pPr>
            <w:r>
              <w:t> </w:t>
            </w:r>
          </w:p>
        </w:tc>
      </w:tr>
      <w:tr>
        <w:tc>
          <w:tcPr>
            <w:tcW w:w="6215" w:type="dxa"/>
            <w:tcBorders/>
            <w:shd w:fill="EEEEEE" w:val="clear"/>
            <w:vAlign w:val="center"/>
          </w:tcPr>
          <w:p>
            <w:pPr>
              <w:pStyle w:val="TableContents"/>
              <w:bidi w:val="0"/>
              <w:spacing w:before="0" w:after="283"/>
              <w:jc w:val="left"/>
              <w:rPr>
                <w:b/>
              </w:rPr>
            </w:pPr>
            <w:r>
              <w:rPr>
                <w:b/>
              </w:rPr>
              <w:t>TOTAL LIABILITIES AND STOCKHOLDERS' EQUITY</w:t>
            </w:r>
          </w:p>
        </w:tc>
        <w:tc>
          <w:tcPr>
            <w:tcW w:w="60" w:type="dxa"/>
            <w:tcBorders/>
            <w:shd w:fill="EEEEEE" w:val="clear"/>
            <w:vAlign w:val="center"/>
          </w:tcPr>
          <w:p>
            <w:pPr>
              <w:pStyle w:val="TableContents"/>
              <w:bidi w:val="0"/>
              <w:spacing w:before="0" w:after="283"/>
              <w:jc w:val="left"/>
            </w:pPr>
            <w:r>
              <w:t> </w:t>
            </w:r>
          </w:p>
        </w:tc>
        <w:tc>
          <w:tcPr>
            <w:tcW w:w="191"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1343"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3,135,626</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84"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1290"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1,168,423</w:t>
            </w:r>
          </w:p>
        </w:tc>
        <w:tc>
          <w:tcPr>
            <w:tcW w:w="110" w:type="dxa"/>
            <w:tcBorders/>
            <w:shd w:fill="EEEEEE" w:val="clear"/>
            <w:vAlign w:val="center"/>
          </w:tcPr>
          <w:p>
            <w:pPr>
              <w:pStyle w:val="TableContents"/>
              <w:bidi w:val="0"/>
              <w:spacing w:before="0" w:after="283"/>
              <w:jc w:val="left"/>
            </w:pPr>
            <w: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c>
          <w:tcPr>
            <w:tcW w:w="75" w:type="dxa"/>
            <w:tcBorders/>
            <w:vAlign w:val="center"/>
          </w:tcPr>
          <w:p>
            <w:pPr>
              <w:pStyle w:val="TableContents"/>
              <w:bidi w:val="0"/>
              <w:spacing w:before="0" w:after="283"/>
              <w:jc w:val="left"/>
            </w:pPr>
            <w:r>
              <w:t> </w:t>
            </w:r>
          </w:p>
        </w:tc>
        <w:tc>
          <w:tcPr>
            <w:tcW w:w="140" w:type="dxa"/>
            <w:tcBorders/>
            <w:vAlign w:val="center"/>
          </w:tcPr>
          <w:p>
            <w:pPr>
              <w:pStyle w:val="TableContents"/>
              <w:bidi w:val="0"/>
              <w:spacing w:before="0" w:after="283"/>
              <w:jc w:val="center"/>
            </w:pPr>
            <w:r>
              <w:t>5</w:t>
            </w:r>
          </w:p>
        </w:tc>
        <w:tc>
          <w:tcPr>
            <w:tcW w:w="75" w:type="dxa"/>
            <w:tcBorders/>
            <w:vAlign w:val="center"/>
          </w:tcPr>
          <w:p>
            <w:pPr>
              <w:pStyle w:val="TableContents"/>
              <w:bidi w:val="0"/>
              <w:spacing w:before="0" w:after="283"/>
              <w:jc w:val="righ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Applied Optoelectronics,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4765"/>
        <w:gridCol w:w="60"/>
        <w:gridCol w:w="177"/>
        <w:gridCol w:w="1014"/>
        <w:gridCol w:w="120"/>
        <w:gridCol w:w="75"/>
        <w:gridCol w:w="177"/>
        <w:gridCol w:w="1014"/>
        <w:gridCol w:w="95"/>
        <w:gridCol w:w="60"/>
        <w:gridCol w:w="174"/>
        <w:gridCol w:w="997"/>
        <w:gridCol w:w="118"/>
        <w:gridCol w:w="74"/>
        <w:gridCol w:w="174"/>
        <w:gridCol w:w="997"/>
        <w:gridCol w:w="114"/>
      </w:tblGrid>
      <w:tr>
        <w:tc>
          <w:tcPr>
            <w:tcW w:w="476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5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5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4" w:type="dxa"/>
            <w:tcBorders/>
            <w:vAlign w:val="center"/>
          </w:tcPr>
          <w:p>
            <w:pPr>
              <w:pStyle w:val="TableContents"/>
              <w:bidi w:val="0"/>
              <w:spacing w:before="0" w:after="283"/>
              <w:jc w:val="left"/>
            </w:pPr>
            <w:r>
              <w:t> </w:t>
            </w:r>
          </w:p>
        </w:tc>
      </w:tr>
      <w:tr>
        <w:tc>
          <w:tcPr>
            <w:tcW w:w="4765"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0" w:type="dxa"/>
            <w:tcBorders/>
            <w:vAlign w:val="center"/>
          </w:tcPr>
          <w:p>
            <w:pPr>
              <w:pStyle w:val="TableContents"/>
              <w:bidi w:val="0"/>
              <w:spacing w:before="0" w:after="283"/>
              <w:jc w:val="left"/>
            </w:pPr>
            <w:r>
              <w:t> </w:t>
            </w:r>
          </w:p>
        </w:tc>
        <w:tc>
          <w:tcPr>
            <w:tcW w:w="75" w:type="dxa"/>
            <w:tcBorders/>
            <w:vAlign w:val="center"/>
          </w:tcPr>
          <w:p>
            <w:pPr>
              <w:pStyle w:val="TableContents"/>
              <w:bidi w:val="0"/>
              <w:spacing w:before="0" w:after="283"/>
              <w:jc w:val="left"/>
            </w:pPr>
            <w: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pPr>
            <w:r>
              <w:t> </w:t>
            </w:r>
          </w:p>
        </w:tc>
        <w:tc>
          <w:tcPr>
            <w:tcW w:w="74" w:type="dxa"/>
            <w:tcBorders/>
            <w:vAlign w:val="center"/>
          </w:tcPr>
          <w:p>
            <w:pPr>
              <w:pStyle w:val="TableContents"/>
              <w:bidi w:val="0"/>
              <w:spacing w:before="0" w:after="283"/>
              <w:jc w:val="left"/>
            </w:pPr>
            <w: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left"/>
            </w:pPr>
            <w:r>
              <w:t>Revenue</w:t>
            </w:r>
          </w:p>
        </w:tc>
        <w:tc>
          <w:tcPr>
            <w:tcW w:w="60" w:type="dxa"/>
            <w:tcBorders/>
            <w:shd w:fill="EEEEEE" w:val="clear"/>
            <w:vAlign w:val="center"/>
          </w:tcPr>
          <w:p>
            <w:pPr>
              <w:pStyle w:val="TableContents"/>
              <w:bidi w:val="0"/>
              <w:spacing w:before="0" w:after="283"/>
              <w:jc w:val="left"/>
            </w:pPr>
            <w:r>
              <w:t> </w:t>
            </w:r>
          </w:p>
        </w:tc>
        <w:tc>
          <w:tcPr>
            <w:tcW w:w="1191" w:type="dxa"/>
            <w:gridSpan w:val="2"/>
            <w:tcBorders/>
            <w:shd w:fill="EEEEEE" w:val="clear"/>
            <w:vAlign w:val="center"/>
          </w:tcPr>
          <w:p>
            <w:pPr>
              <w:pStyle w:val="TableContents"/>
              <w:bidi w:val="0"/>
              <w:spacing w:before="0" w:after="283"/>
              <w:jc w:val="right"/>
            </w:pPr>
            <w:r>
              <w:t> </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191" w:type="dxa"/>
            <w:gridSpan w:val="2"/>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171" w:type="dxa"/>
            <w:gridSpan w:val="2"/>
            <w:tcBorders/>
            <w:shd w:fill="EEEEEE" w:val="clear"/>
            <w:vAlign w:val="center"/>
          </w:tcPr>
          <w:p>
            <w:pPr>
              <w:pStyle w:val="TableContents"/>
              <w:bidi w:val="0"/>
              <w:spacing w:before="0" w:after="283"/>
              <w:jc w:val="right"/>
            </w:pPr>
            <w:r>
              <w:t> </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171" w:type="dxa"/>
            <w:gridSpan w:val="2"/>
            <w:tcBorders/>
            <w:shd w:fill="EEEEEE" w:val="clear"/>
            <w:vAlign w:val="center"/>
          </w:tcPr>
          <w:p>
            <w:pPr>
              <w:pStyle w:val="TableContents"/>
              <w:bidi w:val="0"/>
              <w:spacing w:before="0" w:after="283"/>
              <w:jc w:val="right"/>
            </w:pPr>
            <w:r>
              <w:t> </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CATV</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w:t>
            </w:r>
          </w:p>
        </w:tc>
        <w:tc>
          <w:tcPr>
            <w:tcW w:w="1014" w:type="dxa"/>
            <w:tcBorders/>
            <w:shd w:fill="FFFFFF" w:val="clear"/>
            <w:vAlign w:val="center"/>
          </w:tcPr>
          <w:p>
            <w:pPr>
              <w:pStyle w:val="TableContents"/>
              <w:bidi w:val="0"/>
              <w:spacing w:before="0" w:after="283"/>
              <w:jc w:val="right"/>
            </w:pPr>
            <w:r>
              <w:t>110,879</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w:t>
            </w:r>
          </w:p>
        </w:tc>
        <w:tc>
          <w:tcPr>
            <w:tcW w:w="1014" w:type="dxa"/>
            <w:tcBorders/>
            <w:shd w:fill="FFFFFF" w:val="clear"/>
            <w:vAlign w:val="center"/>
          </w:tcPr>
          <w:p>
            <w:pPr>
              <w:pStyle w:val="TableContents"/>
              <w:bidi w:val="0"/>
              <w:spacing w:before="0" w:after="283"/>
              <w:jc w:val="right"/>
            </w:pPr>
            <w:r>
              <w:t>70,602</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w:t>
            </w:r>
          </w:p>
        </w:tc>
        <w:tc>
          <w:tcPr>
            <w:tcW w:w="997" w:type="dxa"/>
            <w:tcBorders/>
            <w:shd w:fill="FFFFFF" w:val="clear"/>
            <w:vAlign w:val="center"/>
          </w:tcPr>
          <w:p>
            <w:pPr>
              <w:pStyle w:val="TableContents"/>
              <w:bidi w:val="0"/>
              <w:spacing w:before="0" w:after="283"/>
              <w:jc w:val="right"/>
            </w:pPr>
            <w:r>
              <w:t>258,298</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w:t>
            </w:r>
          </w:p>
        </w:tc>
        <w:tc>
          <w:tcPr>
            <w:tcW w:w="997" w:type="dxa"/>
            <w:tcBorders/>
            <w:shd w:fill="FFFFFF" w:val="clear"/>
            <w:vAlign w:val="center"/>
          </w:tcPr>
          <w:p>
            <w:pPr>
              <w:pStyle w:val="TableContents"/>
              <w:bidi w:val="0"/>
              <w:spacing w:before="0" w:after="283"/>
              <w:jc w:val="right"/>
            </w:pPr>
            <w:r>
              <w:t>191,122</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left"/>
            </w:pPr>
            <w:r>
              <w:t>Datacenter</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155,609</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43,935</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344,675</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120,775</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Telecom</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2,727</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3,742</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8,698</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8,618</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left"/>
            </w:pPr>
            <w:r>
              <w:t>Other</w:t>
            </w:r>
          </w:p>
        </w:tc>
        <w:tc>
          <w:tcPr>
            <w:tcW w:w="60"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660</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351</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1,271</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926</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Total Revenue</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269,875</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118,630</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612,942</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321,441</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right"/>
            </w:pPr>
            <w:r>
              <w:t> </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Total Cost of Goods Sold</w:t>
            </w:r>
          </w:p>
        </w:tc>
        <w:tc>
          <w:tcPr>
            <w:tcW w:w="60"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193,720</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85,367</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439,664</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226,472</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right"/>
            </w:pPr>
            <w:r>
              <w:t> </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Total Gross Profit</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76,155</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33,263</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173,278</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94,969</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right"/>
            </w:pPr>
            <w:r>
              <w:t> </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Operating Expenses:</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 </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 </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 </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left"/>
            </w:pPr>
            <w:r>
              <w:t>Research and Development</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38,109</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21,265</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98,636</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59,687</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Sales and Marketing</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7,875</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9,871</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25,712</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23,363</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left"/>
            </w:pPr>
            <w:r>
              <w:t>General and Administrative</w:t>
            </w:r>
          </w:p>
        </w:tc>
        <w:tc>
          <w:tcPr>
            <w:tcW w:w="60"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31,613</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20,314</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88,090</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55,020</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Total Operating Expenses</w:t>
            </w:r>
          </w:p>
        </w:tc>
        <w:tc>
          <w:tcPr>
            <w:tcW w:w="60"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77,597</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51,450</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212,438</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138,070</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right"/>
            </w:pPr>
            <w:r>
              <w:t> </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rPr>
                <w:b/>
              </w:rPr>
            </w:pPr>
            <w:r>
              <w:rPr>
                <w:b/>
              </w:rPr>
              <w:t>(1,442</w:t>
            </w:r>
          </w:p>
        </w:tc>
        <w:tc>
          <w:tcPr>
            <w:tcW w:w="120" w:type="dxa"/>
            <w:tcBorders/>
            <w:shd w:fill="FFFFFF" w:val="clear"/>
            <w:vAlign w:val="center"/>
          </w:tcPr>
          <w:p>
            <w:pPr>
              <w:pStyle w:val="TableContents"/>
              <w:bidi w:val="0"/>
              <w:spacing w:before="0" w:after="283"/>
              <w:jc w:val="left"/>
              <w:rPr>
                <w:b/>
              </w:rPr>
            </w:pPr>
            <w:r>
              <w:rPr>
                <w:b/>
              </w:rPr>
              <w:t>)</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rPr>
                <w:b/>
              </w:rPr>
            </w:pPr>
            <w:r>
              <w:rPr>
                <w:b/>
              </w:rPr>
              <w:t>(18,187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rPr>
                <w:b/>
              </w:rPr>
            </w:pPr>
            <w:r>
              <w:rPr>
                <w:b/>
              </w:rPr>
              <w:t>(39,160</w:t>
            </w:r>
          </w:p>
        </w:tc>
        <w:tc>
          <w:tcPr>
            <w:tcW w:w="118" w:type="dxa"/>
            <w:tcBorders/>
            <w:shd w:fill="FFFFFF" w:val="clear"/>
            <w:vAlign w:val="center"/>
          </w:tcPr>
          <w:p>
            <w:pPr>
              <w:pStyle w:val="TableContents"/>
              <w:bidi w:val="0"/>
              <w:spacing w:before="0" w:after="283"/>
              <w:jc w:val="left"/>
              <w:rPr>
                <w:b/>
              </w:rPr>
            </w:pPr>
            <w:r>
              <w:rPr>
                <w:b/>
              </w:rPr>
              <w:t>)</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rPr>
                <w:b/>
              </w:rPr>
            </w:pPr>
            <w:r>
              <w:rPr>
                <w:b/>
              </w:rPr>
              <w:t>(43,101</w:t>
            </w:r>
          </w:p>
        </w:tc>
        <w:tc>
          <w:tcPr>
            <w:tcW w:w="114" w:type="dxa"/>
            <w:tcBorders/>
            <w:shd w:fill="FFFFFF" w:val="clear"/>
            <w:vAlign w:val="center"/>
          </w:tcPr>
          <w:p>
            <w:pPr>
              <w:pStyle w:val="TableContents"/>
              <w:bidi w:val="0"/>
              <w:spacing w:before="0" w:after="283"/>
              <w:jc w:val="left"/>
              <w:rPr>
                <w:b/>
              </w:rPr>
            </w:pPr>
            <w:r>
              <w:rPr>
                <w:b/>
              </w:rPr>
              <w:t>)</w:t>
            </w:r>
          </w:p>
        </w:tc>
      </w:tr>
      <w:tr>
        <w:tc>
          <w:tcPr>
            <w:tcW w:w="4765" w:type="dxa"/>
            <w:tcBorders/>
            <w:shd w:fill="EEEEEE" w:val="clear"/>
            <w:vAlign w:val="center"/>
          </w:tcPr>
          <w:p>
            <w:pPr>
              <w:pStyle w:val="TableContents"/>
              <w:bidi w:val="0"/>
              <w:spacing w:before="0" w:after="283"/>
              <w:jc w:val="right"/>
            </w:pPr>
            <w:r>
              <w:t> </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Other Income (Expense):</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 </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 </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 </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left"/>
            </w:pPr>
            <w:r>
              <w:t>Interest Income</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3,094</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451</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8,079</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961</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Interest Expense</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(1,221</w:t>
            </w:r>
          </w:p>
        </w:tc>
        <w:tc>
          <w:tcPr>
            <w:tcW w:w="120" w:type="dxa"/>
            <w:tcBorders/>
            <w:shd w:fill="FFFFFF" w:val="clear"/>
            <w:vAlign w:val="center"/>
          </w:tcPr>
          <w:p>
            <w:pPr>
              <w:pStyle w:val="TableContents"/>
              <w:bidi w:val="0"/>
              <w:spacing w:before="0" w:after="283"/>
              <w:jc w:val="left"/>
            </w:pPr>
            <w:r>
              <w:t>)</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(902</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(3,011</w:t>
            </w:r>
          </w:p>
        </w:tc>
        <w:tc>
          <w:tcPr>
            <w:tcW w:w="118" w:type="dxa"/>
            <w:tcBorders/>
            <w:shd w:fill="FFFFFF" w:val="clear"/>
            <w:vAlign w:val="center"/>
          </w:tcPr>
          <w:p>
            <w:pPr>
              <w:pStyle w:val="TableContents"/>
              <w:bidi w:val="0"/>
              <w:spacing w:before="0" w:after="283"/>
              <w:jc w:val="left"/>
            </w:pPr>
            <w:r>
              <w:t>)</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(2,653</w:t>
            </w:r>
          </w:p>
        </w:tc>
        <w:tc>
          <w:tcPr>
            <w:tcW w:w="114" w:type="dxa"/>
            <w:tcBorders/>
            <w:shd w:fill="FFFFFF" w:val="clear"/>
            <w:vAlign w:val="center"/>
          </w:tcPr>
          <w:p>
            <w:pPr>
              <w:pStyle w:val="TableContents"/>
              <w:bidi w:val="0"/>
              <w:spacing w:before="0" w:after="283"/>
              <w:jc w:val="left"/>
            </w:pPr>
            <w:r>
              <w:t>)</w:t>
            </w:r>
          </w:p>
        </w:tc>
      </w:tr>
      <w:tr>
        <w:tc>
          <w:tcPr>
            <w:tcW w:w="4765" w:type="dxa"/>
            <w:tcBorders/>
            <w:shd w:fill="EEEEEE" w:val="clear"/>
            <w:vAlign w:val="center"/>
          </w:tcPr>
          <w:p>
            <w:pPr>
              <w:pStyle w:val="TableContents"/>
              <w:bidi w:val="0"/>
              <w:spacing w:before="0" w:after="283"/>
              <w:jc w:val="left"/>
            </w:pPr>
            <w:r>
              <w:t>Other Income (Expense), net</w:t>
            </w:r>
          </w:p>
        </w:tc>
        <w:tc>
          <w:tcPr>
            <w:tcW w:w="60"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8,228</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702</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8,027</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8,587</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pPr>
            <w:r>
              <w:t>Total Other Income (Expense):</w:t>
            </w:r>
          </w:p>
        </w:tc>
        <w:tc>
          <w:tcPr>
            <w:tcW w:w="60"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10,101</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251</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13,095</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6,895</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right"/>
            </w:pPr>
            <w:r>
              <w:t> </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rPr>
                <w:b/>
              </w:rPr>
            </w:pPr>
            <w:r>
              <w:rPr>
                <w:b/>
              </w:rPr>
              <w:t>Net income (loss) before Income Taxes</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rPr>
                <w:b/>
              </w:rPr>
            </w:pPr>
            <w:r>
              <w:rPr>
                <w:b/>
              </w:rPr>
              <w:t>8,659</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rPr>
                <w:b/>
              </w:rPr>
            </w:pPr>
            <w:r>
              <w:rPr>
                <w:b/>
              </w:rPr>
              <w:t>(17,936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rPr>
                <w:b/>
              </w:rPr>
            </w:pPr>
            <w:r>
              <w:rPr>
                <w:b/>
              </w:rPr>
              <w:t>(26,065</w:t>
            </w:r>
          </w:p>
        </w:tc>
        <w:tc>
          <w:tcPr>
            <w:tcW w:w="118" w:type="dxa"/>
            <w:tcBorders/>
            <w:shd w:fill="FFFFFF" w:val="clear"/>
            <w:vAlign w:val="center"/>
          </w:tcPr>
          <w:p>
            <w:pPr>
              <w:pStyle w:val="TableContents"/>
              <w:bidi w:val="0"/>
              <w:spacing w:before="0" w:after="283"/>
              <w:jc w:val="left"/>
              <w:rPr>
                <w:b/>
              </w:rPr>
            </w:pPr>
            <w:r>
              <w:rPr>
                <w:b/>
              </w:rPr>
              <w:t>)</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rPr>
                <w:b/>
              </w:rPr>
            </w:pPr>
            <w:r>
              <w:rPr>
                <w:b/>
              </w:rPr>
              <w:t>(36,206</w:t>
            </w:r>
          </w:p>
        </w:tc>
        <w:tc>
          <w:tcPr>
            <w:tcW w:w="114" w:type="dxa"/>
            <w:tcBorders/>
            <w:shd w:fill="FFFFFF" w:val="clear"/>
            <w:vAlign w:val="center"/>
          </w:tcPr>
          <w:p>
            <w:pPr>
              <w:pStyle w:val="TableContents"/>
              <w:bidi w:val="0"/>
              <w:spacing w:before="0" w:after="283"/>
              <w:jc w:val="left"/>
              <w:rPr>
                <w:b/>
              </w:rPr>
            </w:pPr>
            <w:r>
              <w:rPr>
                <w:b/>
              </w:rPr>
              <w:t>)</w:t>
            </w:r>
          </w:p>
        </w:tc>
      </w:tr>
      <w:tr>
        <w:tc>
          <w:tcPr>
            <w:tcW w:w="4765" w:type="dxa"/>
            <w:tcBorders/>
            <w:shd w:fill="EEEEEE" w:val="clear"/>
            <w:vAlign w:val="center"/>
          </w:tcPr>
          <w:p>
            <w:pPr>
              <w:pStyle w:val="TableContents"/>
              <w:bidi w:val="0"/>
              <w:spacing w:before="0" w:after="283"/>
              <w:jc w:val="left"/>
            </w:pPr>
            <w:r>
              <w:t>Income Tax Expense</w:t>
            </w:r>
          </w:p>
        </w:tc>
        <w:tc>
          <w:tcPr>
            <w:tcW w:w="60"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(2,359</w:t>
            </w:r>
          </w:p>
        </w:tc>
        <w:tc>
          <w:tcPr>
            <w:tcW w:w="120" w:type="dxa"/>
            <w:tcBorders/>
            <w:shd w:fill="EEEEEE" w:val="clear"/>
            <w:vAlign w:val="center"/>
          </w:tcPr>
          <w:p>
            <w:pPr>
              <w:pStyle w:val="TableContents"/>
              <w:bidi w:val="0"/>
              <w:spacing w:before="0" w:after="283"/>
              <w:jc w:val="left"/>
            </w:pPr>
            <w:r>
              <w:t>)</w:t>
            </w:r>
          </w:p>
        </w:tc>
        <w:tc>
          <w:tcPr>
            <w:tcW w:w="75"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(4,697</w:t>
            </w:r>
          </w:p>
        </w:tc>
        <w:tc>
          <w:tcPr>
            <w:tcW w:w="118" w:type="dxa"/>
            <w:tcBorders/>
            <w:shd w:fill="EEEEEE" w:val="clear"/>
            <w:vAlign w:val="center"/>
          </w:tcPr>
          <w:p>
            <w:pPr>
              <w:pStyle w:val="TableContents"/>
              <w:bidi w:val="0"/>
              <w:spacing w:before="0" w:after="283"/>
              <w:jc w:val="left"/>
            </w:pPr>
            <w:r>
              <w:t>)</w:t>
            </w:r>
          </w:p>
        </w:tc>
        <w:tc>
          <w:tcPr>
            <w:tcW w:w="74"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pPr>
            <w: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1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6,300</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1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(17,936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pPr>
            <w: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(30,762</w:t>
            </w:r>
          </w:p>
        </w:tc>
        <w:tc>
          <w:tcPr>
            <w:tcW w:w="118" w:type="dxa"/>
            <w:tcBorders/>
            <w:shd w:fill="FFFFFF" w:val="clear"/>
            <w:vAlign w:val="center"/>
          </w:tcPr>
          <w:p>
            <w:pPr>
              <w:pStyle w:val="TableContents"/>
              <w:bidi w:val="0"/>
              <w:spacing w:before="0" w:after="283"/>
              <w:jc w:val="left"/>
              <w:rPr>
                <w:b/>
              </w:rPr>
            </w:pPr>
            <w:r>
              <w:rPr>
                <w:b/>
              </w:rPr>
              <w:t>)</w:t>
            </w:r>
          </w:p>
        </w:tc>
        <w:tc>
          <w:tcPr>
            <w:tcW w:w="74" w:type="dxa"/>
            <w:tcBorders/>
            <w:shd w:fill="FFFFFF" w:val="clear"/>
            <w:vAlign w:val="center"/>
          </w:tcPr>
          <w:p>
            <w:pPr>
              <w:pStyle w:val="TableContents"/>
              <w:bidi w:val="0"/>
              <w:spacing w:before="0" w:after="283"/>
              <w:jc w:val="left"/>
            </w:pPr>
            <w: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(36,206</w:t>
            </w:r>
          </w:p>
        </w:tc>
        <w:tc>
          <w:tcPr>
            <w:tcW w:w="114" w:type="dxa"/>
            <w:tcBorders/>
            <w:shd w:fill="FFFFFF" w:val="clear"/>
            <w:vAlign w:val="center"/>
          </w:tcPr>
          <w:p>
            <w:pPr>
              <w:pStyle w:val="TableContents"/>
              <w:bidi w:val="0"/>
              <w:spacing w:before="0" w:after="283"/>
              <w:jc w:val="left"/>
              <w:rPr>
                <w:b/>
              </w:rPr>
            </w:pPr>
            <w:r>
              <w:rPr>
                <w:b/>
              </w:rPr>
              <w:t>)</w:t>
            </w:r>
          </w:p>
        </w:tc>
      </w:tr>
      <w:tr>
        <w:tc>
          <w:tcPr>
            <w:tcW w:w="476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4" w:type="dxa"/>
            <w:tcBorders/>
            <w:shd w:fill="EEEEEE" w:val="clear"/>
            <w:vAlign w:val="center"/>
          </w:tcPr>
          <w:p>
            <w:pPr>
              <w:pStyle w:val="TableContents"/>
              <w:bidi w:val="0"/>
              <w:spacing w:before="0" w:after="283"/>
              <w:ind w:left="0" w:right="0" w:hanging="200"/>
              <w:jc w:val="left"/>
            </w:pPr>
            <w:r>
              <w:t> </w:t>
            </w:r>
          </w:p>
        </w:tc>
      </w:tr>
      <w:tr>
        <w:tc>
          <w:tcPr>
            <w:tcW w:w="4765" w:type="dxa"/>
            <w:tcBorders/>
            <w:shd w:fill="FFFFFF" w:val="clear"/>
            <w:vAlign w:val="center"/>
          </w:tcPr>
          <w:p>
            <w:pPr>
              <w:pStyle w:val="TableContents"/>
              <w:bidi w:val="0"/>
              <w:spacing w:before="0" w:after="283"/>
              <w:jc w:val="left"/>
              <w:rPr>
                <w:b/>
              </w:rPr>
            </w:pPr>
            <w:r>
              <w:rPr>
                <w:b/>
              </w:rPr>
              <w:t>Net income (loss) per share attributable to common stockholders</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 </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 </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 </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left"/>
              <w:rPr>
                <w:b/>
              </w:rPr>
            </w:pPr>
            <w:r>
              <w:rPr>
                <w:b/>
              </w:rPr>
              <w:t>basic</w:t>
            </w:r>
          </w:p>
        </w:tc>
        <w:tc>
          <w:tcPr>
            <w:tcW w:w="60"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0.07</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(0.28</w:t>
            </w:r>
          </w:p>
        </w:tc>
        <w:tc>
          <w:tcPr>
            <w:tcW w:w="95" w:type="dxa"/>
            <w:tcBorders/>
            <w:shd w:fill="EEEEEE" w:val="clear"/>
            <w:vAlign w:val="center"/>
          </w:tcPr>
          <w:p>
            <w:pPr>
              <w:pStyle w:val="TableContents"/>
              <w:bidi w:val="0"/>
              <w:spacing w:before="0" w:after="283"/>
              <w:jc w:val="left"/>
            </w:pPr>
            <w:r>
              <w:t>)</w:t>
            </w:r>
          </w:p>
        </w:tc>
        <w:tc>
          <w:tcPr>
            <w:tcW w:w="60"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(0.38</w:t>
            </w:r>
          </w:p>
        </w:tc>
        <w:tc>
          <w:tcPr>
            <w:tcW w:w="118" w:type="dxa"/>
            <w:tcBorders/>
            <w:shd w:fill="EEEEEE" w:val="clear"/>
            <w:vAlign w:val="center"/>
          </w:tcPr>
          <w:p>
            <w:pPr>
              <w:pStyle w:val="TableContents"/>
              <w:bidi w:val="0"/>
              <w:spacing w:before="0" w:after="283"/>
              <w:jc w:val="left"/>
            </w:pPr>
            <w:r>
              <w:t>)</w:t>
            </w:r>
          </w:p>
        </w:tc>
        <w:tc>
          <w:tcPr>
            <w:tcW w:w="74"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(0.64</w:t>
            </w:r>
          </w:p>
        </w:tc>
        <w:tc>
          <w:tcPr>
            <w:tcW w:w="114" w:type="dxa"/>
            <w:tcBorders/>
            <w:shd w:fill="EEEEEE" w:val="clear"/>
            <w:vAlign w:val="center"/>
          </w:tcPr>
          <w:p>
            <w:pPr>
              <w:pStyle w:val="TableContents"/>
              <w:bidi w:val="0"/>
              <w:spacing w:before="0" w:after="283"/>
              <w:jc w:val="left"/>
            </w:pPr>
            <w:r>
              <w:t>)</w:t>
            </w:r>
          </w:p>
        </w:tc>
      </w:tr>
      <w:tr>
        <w:tc>
          <w:tcPr>
            <w:tcW w:w="4765" w:type="dxa"/>
            <w:tcBorders/>
            <w:shd w:fill="FFFFFF" w:val="clear"/>
            <w:vAlign w:val="center"/>
          </w:tcPr>
          <w:p>
            <w:pPr>
              <w:pStyle w:val="TableContents"/>
              <w:bidi w:val="0"/>
              <w:spacing w:before="0" w:after="283"/>
              <w:jc w:val="left"/>
              <w:rPr>
                <w:b/>
              </w:rPr>
            </w:pPr>
            <w:r>
              <w:rPr>
                <w:b/>
              </w:rPr>
              <w:t>diluted</w:t>
            </w:r>
          </w:p>
        </w:tc>
        <w:tc>
          <w:tcPr>
            <w:tcW w:w="60"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0.07</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(0.28</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(0.38</w:t>
            </w:r>
          </w:p>
        </w:tc>
        <w:tc>
          <w:tcPr>
            <w:tcW w:w="118" w:type="dxa"/>
            <w:tcBorders/>
            <w:shd w:fill="FFFFFF" w:val="clear"/>
            <w:vAlign w:val="center"/>
          </w:tcPr>
          <w:p>
            <w:pPr>
              <w:pStyle w:val="TableContents"/>
              <w:bidi w:val="0"/>
              <w:spacing w:before="0" w:after="283"/>
              <w:jc w:val="left"/>
            </w:pPr>
            <w:r>
              <w:t>)</w:t>
            </w:r>
          </w:p>
        </w:tc>
        <w:tc>
          <w:tcPr>
            <w:tcW w:w="74"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(0.64</w:t>
            </w:r>
          </w:p>
        </w:tc>
        <w:tc>
          <w:tcPr>
            <w:tcW w:w="114" w:type="dxa"/>
            <w:tcBorders/>
            <w:shd w:fill="FFFFFF" w:val="clear"/>
            <w:vAlign w:val="center"/>
          </w:tcPr>
          <w:p>
            <w:pPr>
              <w:pStyle w:val="TableContents"/>
              <w:bidi w:val="0"/>
              <w:spacing w:before="0" w:after="283"/>
              <w:jc w:val="left"/>
            </w:pPr>
            <w:r>
              <w:t>)</w:t>
            </w:r>
          </w:p>
        </w:tc>
      </w:tr>
      <w:tr>
        <w:tc>
          <w:tcPr>
            <w:tcW w:w="4765" w:type="dxa"/>
            <w:tcBorders/>
            <w:shd w:fill="EEEEEE" w:val="clear"/>
            <w:vAlign w:val="center"/>
          </w:tcPr>
          <w:p>
            <w:pPr>
              <w:pStyle w:val="TableContents"/>
              <w:bidi w:val="0"/>
              <w:spacing w:before="0" w:after="283"/>
              <w:jc w:val="right"/>
            </w:pPr>
            <w:r>
              <w:t> </w:t>
            </w:r>
          </w:p>
        </w:tc>
        <w:tc>
          <w:tcPr>
            <w:tcW w:w="60"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shd w:fill="EEEEEE" w:val="clear"/>
            <w:vAlign w:val="center"/>
          </w:tcPr>
          <w:p>
            <w:pPr>
              <w:pStyle w:val="TableContents"/>
              <w:bidi w:val="0"/>
              <w:spacing w:before="0" w:after="283"/>
              <w:jc w:val="left"/>
            </w:pPr>
            <w:r>
              <w:t> </w:t>
            </w:r>
          </w:p>
        </w:tc>
        <w:tc>
          <w:tcPr>
            <w:tcW w:w="1014" w:type="dxa"/>
            <w:tcBorders/>
            <w:shd w:fill="EEEEEE" w:val="clear"/>
            <w:vAlign w:val="center"/>
          </w:tcPr>
          <w:p>
            <w:pPr>
              <w:pStyle w:val="TableContents"/>
              <w:bidi w:val="0"/>
              <w:spacing w:before="0" w:after="283"/>
              <w:jc w:val="right"/>
            </w:pPr>
            <w:r>
              <w:t> </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shd w:fill="EEEEEE" w:val="clear"/>
            <w:vAlign w:val="center"/>
          </w:tcPr>
          <w:p>
            <w:pPr>
              <w:pStyle w:val="TableContents"/>
              <w:bidi w:val="0"/>
              <w:spacing w:before="0" w:after="283"/>
              <w:jc w:val="left"/>
            </w:pPr>
            <w:r>
              <w:t> </w:t>
            </w:r>
          </w:p>
        </w:tc>
        <w:tc>
          <w:tcPr>
            <w:tcW w:w="997" w:type="dxa"/>
            <w:tcBorders/>
            <w:shd w:fill="EEEEEE" w:val="clear"/>
            <w:vAlign w:val="center"/>
          </w:tcPr>
          <w:p>
            <w:pPr>
              <w:pStyle w:val="TableContents"/>
              <w:bidi w:val="0"/>
              <w:spacing w:before="0" w:after="283"/>
              <w:jc w:val="right"/>
            </w:pPr>
            <w:r>
              <w:t> </w:t>
            </w:r>
          </w:p>
        </w:tc>
        <w:tc>
          <w:tcPr>
            <w:tcW w:w="114" w:type="dxa"/>
            <w:tcBorders/>
            <w:shd w:fill="EEEEEE" w:val="clear"/>
            <w:vAlign w:val="center"/>
          </w:tcPr>
          <w:p>
            <w:pPr>
              <w:pStyle w:val="TableContents"/>
              <w:bidi w:val="0"/>
              <w:spacing w:before="0" w:after="283"/>
              <w:ind w:left="0" w:right="0" w:hanging="200"/>
              <w:jc w:val="left"/>
            </w:pPr>
            <w:r>
              <w:t> </w:t>
            </w:r>
          </w:p>
        </w:tc>
      </w:tr>
      <w:tr>
        <w:tc>
          <w:tcPr>
            <w:tcW w:w="4765" w:type="dxa"/>
            <w:tcBorders/>
            <w:shd w:fill="FFFFFF" w:val="clear"/>
            <w:vAlign w:val="center"/>
          </w:tcPr>
          <w:p>
            <w:pPr>
              <w:pStyle w:val="TableContents"/>
              <w:bidi w:val="0"/>
              <w:spacing w:before="0" w:after="283"/>
              <w:jc w:val="left"/>
              <w:rPr>
                <w:b/>
              </w:rPr>
            </w:pPr>
            <w:r>
              <w:rPr>
                <w:b/>
              </w:rPr>
              <w:t>Weighted-average shares used to compute net income (loss) per share attributable to common stockholders</w:t>
            </w:r>
          </w:p>
        </w:tc>
        <w:tc>
          <w:tcPr>
            <w:tcW w:w="60"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 </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1014"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 </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jc w:val="left"/>
            </w:pPr>
            <w:r>
              <w:t> </w:t>
            </w:r>
          </w:p>
        </w:tc>
        <w:tc>
          <w:tcPr>
            <w:tcW w:w="997" w:type="dxa"/>
            <w:tcBorders/>
            <w:shd w:fill="FFFFFF" w:val="clear"/>
            <w:vAlign w:val="center"/>
          </w:tcPr>
          <w:p>
            <w:pPr>
              <w:pStyle w:val="TableContents"/>
              <w:bidi w:val="0"/>
              <w:spacing w:before="0" w:after="283"/>
              <w:jc w:val="right"/>
            </w:pPr>
            <w:r>
              <w:t> </w:t>
            </w:r>
          </w:p>
        </w:tc>
        <w:tc>
          <w:tcPr>
            <w:tcW w:w="114" w:type="dxa"/>
            <w:tcBorders/>
            <w:shd w:fill="FFFFFF" w:val="clear"/>
            <w:vAlign w:val="center"/>
          </w:tcPr>
          <w:p>
            <w:pPr>
              <w:pStyle w:val="TableContents"/>
              <w:bidi w:val="0"/>
              <w:spacing w:before="0" w:after="283"/>
              <w:jc w:val="left"/>
            </w:pPr>
            <w:r>
              <w:t> </w:t>
            </w:r>
          </w:p>
        </w:tc>
      </w:tr>
      <w:tr>
        <w:tc>
          <w:tcPr>
            <w:tcW w:w="4765" w:type="dxa"/>
            <w:tcBorders/>
            <w:shd w:fill="EEEEEE" w:val="clear"/>
            <w:vAlign w:val="center"/>
          </w:tcPr>
          <w:p>
            <w:pPr>
              <w:pStyle w:val="TableContents"/>
              <w:bidi w:val="0"/>
              <w:spacing w:before="0" w:after="283"/>
              <w:jc w:val="left"/>
              <w:rPr>
                <w:b/>
              </w:rPr>
            </w:pPr>
            <w:r>
              <w:rPr>
                <w:b/>
              </w:rPr>
              <w:t>basic</w:t>
            </w:r>
          </w:p>
        </w:tc>
        <w:tc>
          <w:tcPr>
            <w:tcW w:w="60"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85,397</w:t>
            </w:r>
          </w:p>
        </w:tc>
        <w:tc>
          <w:tcPr>
            <w:tcW w:w="120" w:type="dxa"/>
            <w:tcBorders/>
            <w:shd w:fill="EEEEEE" w:val="clear"/>
            <w:vAlign w:val="center"/>
          </w:tcPr>
          <w:p>
            <w:pPr>
              <w:pStyle w:val="TableContents"/>
              <w:bidi w:val="0"/>
              <w:spacing w:before="0" w:after="283"/>
              <w:jc w:val="left"/>
            </w:pPr>
            <w:r>
              <w:t> </w:t>
            </w:r>
          </w:p>
        </w:tc>
        <w:tc>
          <w:tcPr>
            <w:tcW w:w="75" w:type="dxa"/>
            <w:tcBorders/>
            <w:shd w:fill="EEEEEE" w:val="clear"/>
            <w:vAlign w:val="center"/>
          </w:tcPr>
          <w:p>
            <w:pPr>
              <w:pStyle w:val="TableContents"/>
              <w:bidi w:val="0"/>
              <w:spacing w:before="0" w:after="283"/>
              <w:jc w:val="left"/>
            </w:pPr>
            <w: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EEEEEE" w:val="clear"/>
            <w:tcMar>
              <w:bottom w:w="28" w:type="dxa"/>
            </w:tcMar>
            <w:vAlign w:val="center"/>
          </w:tcPr>
          <w:p>
            <w:pPr>
              <w:pStyle w:val="TableContents"/>
              <w:bidi w:val="0"/>
              <w:spacing w:before="0" w:after="283"/>
              <w:jc w:val="right"/>
            </w:pPr>
            <w:r>
              <w:t>63,329</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81,016</w:t>
            </w:r>
          </w:p>
        </w:tc>
        <w:tc>
          <w:tcPr>
            <w:tcW w:w="118" w:type="dxa"/>
            <w:tcBorders/>
            <w:shd w:fill="EEEEEE" w:val="clear"/>
            <w:vAlign w:val="center"/>
          </w:tcPr>
          <w:p>
            <w:pPr>
              <w:pStyle w:val="TableContents"/>
              <w:bidi w:val="0"/>
              <w:spacing w:before="0" w:after="283"/>
              <w:jc w:val="left"/>
            </w:pPr>
            <w:r>
              <w:t> </w:t>
            </w:r>
          </w:p>
        </w:tc>
        <w:tc>
          <w:tcPr>
            <w:tcW w:w="74" w:type="dxa"/>
            <w:tcBorders/>
            <w:shd w:fill="EEEEEE" w:val="clear"/>
            <w:vAlign w:val="center"/>
          </w:tcPr>
          <w:p>
            <w:pPr>
              <w:pStyle w:val="TableContents"/>
              <w:bidi w:val="0"/>
              <w:spacing w:before="0" w:after="283"/>
              <w:jc w:val="left"/>
            </w:pPr>
            <w:r>
              <w:t> </w:t>
            </w:r>
          </w:p>
        </w:tc>
        <w:tc>
          <w:tcPr>
            <w:tcW w:w="174" w:type="dxa"/>
            <w:tcBorders>
              <w:bottom w:val="single" w:sz="8" w:space="0" w:color="000000"/>
            </w:tcBorders>
            <w:shd w:fill="EEEEEE"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EEEEEE" w:val="clear"/>
            <w:tcMar>
              <w:bottom w:w="28" w:type="dxa"/>
            </w:tcMar>
            <w:vAlign w:val="center"/>
          </w:tcPr>
          <w:p>
            <w:pPr>
              <w:pStyle w:val="TableContents"/>
              <w:bidi w:val="0"/>
              <w:spacing w:before="0" w:after="283"/>
              <w:jc w:val="right"/>
            </w:pPr>
            <w:r>
              <w:t>56,762</w:t>
            </w:r>
          </w:p>
        </w:tc>
        <w:tc>
          <w:tcPr>
            <w:tcW w:w="114" w:type="dxa"/>
            <w:tcBorders/>
            <w:shd w:fill="EEEEEE" w:val="clear"/>
            <w:vAlign w:val="center"/>
          </w:tcPr>
          <w:p>
            <w:pPr>
              <w:pStyle w:val="TableContents"/>
              <w:bidi w:val="0"/>
              <w:spacing w:before="0" w:after="283"/>
              <w:jc w:val="left"/>
            </w:pPr>
            <w:r>
              <w:t> </w:t>
            </w:r>
          </w:p>
        </w:tc>
      </w:tr>
      <w:tr>
        <w:tc>
          <w:tcPr>
            <w:tcW w:w="4765" w:type="dxa"/>
            <w:tcBorders/>
            <w:shd w:fill="FFFFFF" w:val="clear"/>
            <w:vAlign w:val="center"/>
          </w:tcPr>
          <w:p>
            <w:pPr>
              <w:pStyle w:val="TableContents"/>
              <w:bidi w:val="0"/>
              <w:spacing w:before="0" w:after="283"/>
              <w:jc w:val="left"/>
              <w:rPr>
                <w:b/>
              </w:rPr>
            </w:pPr>
            <w:r>
              <w:rPr>
                <w:b/>
              </w:rPr>
              <w:t>diluted</w:t>
            </w:r>
          </w:p>
        </w:tc>
        <w:tc>
          <w:tcPr>
            <w:tcW w:w="60"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87,835</w:t>
            </w:r>
          </w:p>
        </w:tc>
        <w:tc>
          <w:tcPr>
            <w:tcW w:w="12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pPr>
            <w:r>
              <w:t>63,329</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81,016</w:t>
            </w:r>
          </w:p>
        </w:tc>
        <w:tc>
          <w:tcPr>
            <w:tcW w:w="118"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pPr>
            <w:r>
              <w:t>56,762</w:t>
            </w:r>
          </w:p>
        </w:tc>
        <w:tc>
          <w:tcPr>
            <w:tcW w:w="114"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c>
          <w:tcPr>
            <w:tcW w:w="75" w:type="dxa"/>
            <w:tcBorders/>
            <w:vAlign w:val="center"/>
          </w:tcPr>
          <w:p>
            <w:pPr>
              <w:pStyle w:val="TableContents"/>
              <w:bidi w:val="0"/>
              <w:spacing w:before="0" w:after="283"/>
              <w:jc w:val="left"/>
            </w:pPr>
            <w:r>
              <w:t> </w:t>
            </w:r>
          </w:p>
        </w:tc>
        <w:tc>
          <w:tcPr>
            <w:tcW w:w="140" w:type="dxa"/>
            <w:tcBorders/>
            <w:vAlign w:val="center"/>
          </w:tcPr>
          <w:p>
            <w:pPr>
              <w:pStyle w:val="TableContents"/>
              <w:bidi w:val="0"/>
              <w:spacing w:before="0" w:after="283"/>
              <w:jc w:val="center"/>
            </w:pPr>
            <w:r>
              <w:t>6</w:t>
            </w:r>
          </w:p>
        </w:tc>
        <w:tc>
          <w:tcPr>
            <w:tcW w:w="75" w:type="dxa"/>
            <w:tcBorders/>
            <w:vAlign w:val="center"/>
          </w:tcPr>
          <w:p>
            <w:pPr>
              <w:pStyle w:val="TableContents"/>
              <w:bidi w:val="0"/>
              <w:spacing w:before="0" w:after="283"/>
              <w:jc w:val="righ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Statements of Operations under GAAP and Non-GAAP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pPr>
      <w:r>
        <w:t> </w:t>
      </w:r>
    </w:p>
    <w:tbl>
      <w:tblPr>
        <w:tblW w:w="10205" w:type="dxa"/>
        <w:jc w:val="left"/>
        <w:tblInd w:w="0" w:type="dxa"/>
        <w:tblLayout w:type="fixed"/>
        <w:tblCellMar>
          <w:top w:w="0" w:type="dxa"/>
          <w:left w:w="0" w:type="dxa"/>
          <w:bottom w:w="0" w:type="dxa"/>
          <w:right w:w="0" w:type="dxa"/>
        </w:tblCellMar>
      </w:tblPr>
      <w:tblGrid>
        <w:gridCol w:w="3905"/>
        <w:gridCol w:w="60"/>
        <w:gridCol w:w="224"/>
        <w:gridCol w:w="1093"/>
        <w:gridCol w:w="152"/>
        <w:gridCol w:w="96"/>
        <w:gridCol w:w="224"/>
        <w:gridCol w:w="1213"/>
        <w:gridCol w:w="95"/>
        <w:gridCol w:w="60"/>
        <w:gridCol w:w="208"/>
        <w:gridCol w:w="1194"/>
        <w:gridCol w:w="141"/>
        <w:gridCol w:w="89"/>
        <w:gridCol w:w="208"/>
        <w:gridCol w:w="1127"/>
        <w:gridCol w:w="116"/>
      </w:tblGrid>
      <w:tr>
        <w:tc>
          <w:tcPr>
            <w:tcW w:w="390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30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96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6" w:type="dxa"/>
            <w:tcBorders/>
            <w:vAlign w:val="center"/>
          </w:tcPr>
          <w:p>
            <w:pPr>
              <w:pStyle w:val="TableContents"/>
              <w:bidi w:val="0"/>
              <w:spacing w:before="0" w:after="283"/>
              <w:jc w:val="left"/>
            </w:pPr>
            <w:r>
              <w:t> </w:t>
            </w:r>
          </w:p>
        </w:tc>
      </w:tr>
      <w:tr>
        <w:tc>
          <w:tcPr>
            <w:tcW w:w="3905"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2" w:type="dxa"/>
            <w:tcBorders/>
            <w:vAlign w:val="center"/>
          </w:tcPr>
          <w:p>
            <w:pPr>
              <w:pStyle w:val="TableContents"/>
              <w:bidi w:val="0"/>
              <w:spacing w:before="0" w:after="283"/>
              <w:jc w:val="left"/>
            </w:pPr>
            <w:r>
              <w:t> </w:t>
            </w:r>
          </w:p>
        </w:tc>
        <w:tc>
          <w:tcPr>
            <w:tcW w:w="96" w:type="dxa"/>
            <w:tcBorders/>
            <w:vAlign w:val="center"/>
          </w:tcPr>
          <w:p>
            <w:pPr>
              <w:pStyle w:val="TableContents"/>
              <w:bidi w:val="0"/>
              <w:spacing w:before="0" w:after="283"/>
              <w:jc w:val="left"/>
            </w:pPr>
            <w: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1" w:type="dxa"/>
            <w:tcBorders/>
            <w:vAlign w:val="center"/>
          </w:tcPr>
          <w:p>
            <w:pPr>
              <w:pStyle w:val="TableContents"/>
              <w:bidi w:val="0"/>
              <w:spacing w:before="0" w:after="283"/>
              <w:jc w:val="left"/>
            </w:pPr>
            <w:r>
              <w:t> </w:t>
            </w:r>
          </w:p>
        </w:tc>
        <w:tc>
          <w:tcPr>
            <w:tcW w:w="89" w:type="dxa"/>
            <w:tcBorders/>
            <w:vAlign w:val="center"/>
          </w:tcPr>
          <w:p>
            <w:pPr>
              <w:pStyle w:val="TableContents"/>
              <w:bidi w:val="0"/>
              <w:spacing w:before="0" w:after="283"/>
              <w:jc w:val="left"/>
            </w:pPr>
            <w:r>
              <w:t> </w:t>
            </w:r>
          </w:p>
        </w:tc>
        <w:tc>
          <w:tcPr>
            <w:tcW w:w="13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xml:space="preserve">GAAP total gross profit </w:t>
            </w:r>
            <w:r>
              <w:rPr>
                <w:rFonts w:ascii="Times New Roman;Times;Serif" w:hAnsi="Times New Roman;Times;Serif"/>
                <w:b w:val="false"/>
                <w:i w:val="false"/>
                <w:caps w:val="false"/>
                <w:smallCaps w:val="false"/>
                <w:position w:val="7"/>
                <w:sz w:val="16"/>
                <w:sz w:val="20"/>
              </w:rPr>
              <w:t>(a)</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w:t>
            </w:r>
          </w:p>
        </w:tc>
        <w:tc>
          <w:tcPr>
            <w:tcW w:w="1093" w:type="dxa"/>
            <w:tcBorders/>
            <w:shd w:fill="EEEEEE" w:val="clear"/>
            <w:vAlign w:val="center"/>
          </w:tcPr>
          <w:p>
            <w:pPr>
              <w:pStyle w:val="TableContents"/>
              <w:bidi w:val="0"/>
              <w:spacing w:before="0" w:after="283"/>
              <w:jc w:val="right"/>
            </w:pPr>
            <w:r>
              <w:t>76,155</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w:t>
            </w:r>
          </w:p>
        </w:tc>
        <w:tc>
          <w:tcPr>
            <w:tcW w:w="1213" w:type="dxa"/>
            <w:tcBorders/>
            <w:shd w:fill="EEEEEE" w:val="clear"/>
            <w:vAlign w:val="center"/>
          </w:tcPr>
          <w:p>
            <w:pPr>
              <w:pStyle w:val="TableContents"/>
              <w:bidi w:val="0"/>
              <w:spacing w:before="0" w:after="283"/>
              <w:jc w:val="right"/>
            </w:pPr>
            <w:r>
              <w:t>33,263</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w:t>
            </w:r>
          </w:p>
        </w:tc>
        <w:tc>
          <w:tcPr>
            <w:tcW w:w="1194" w:type="dxa"/>
            <w:tcBorders/>
            <w:shd w:fill="EEEEEE" w:val="clear"/>
            <w:vAlign w:val="center"/>
          </w:tcPr>
          <w:p>
            <w:pPr>
              <w:pStyle w:val="TableContents"/>
              <w:bidi w:val="0"/>
              <w:spacing w:before="0" w:after="283"/>
              <w:jc w:val="right"/>
            </w:pPr>
            <w:r>
              <w:t>173,278</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w:t>
            </w:r>
          </w:p>
        </w:tc>
        <w:tc>
          <w:tcPr>
            <w:tcW w:w="1127" w:type="dxa"/>
            <w:tcBorders/>
            <w:shd w:fill="EEEEEE" w:val="clear"/>
            <w:vAlign w:val="center"/>
          </w:tcPr>
          <w:p>
            <w:pPr>
              <w:pStyle w:val="TableContents"/>
              <w:bidi w:val="0"/>
              <w:spacing w:before="0" w:after="283"/>
              <w:jc w:val="right"/>
            </w:pPr>
            <w:r>
              <w:t>94,969</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Share-based compensation expense</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161</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87</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487</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264</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Non-recurring expense</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29</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7</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327</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48</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Expenses associated with discontinued products</w:t>
            </w:r>
          </w:p>
        </w:tc>
        <w:tc>
          <w:tcPr>
            <w:tcW w:w="60" w:type="dxa"/>
            <w:tcBorders/>
            <w:shd w:fill="FFFFFF" w:val="clear"/>
            <w:vAlign w:val="center"/>
          </w:tcPr>
          <w:p>
            <w:pPr>
              <w:pStyle w:val="TableContents"/>
              <w:bidi w:val="0"/>
              <w:spacing w:before="0" w:after="283"/>
              <w:jc w:val="left"/>
            </w:pPr>
            <w: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pPr>
            <w:r>
              <w:t>1,098</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pPr>
            <w:r>
              <w:t>3,372</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pPr>
            <w:r>
              <w:t>4,691</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pPr>
            <w:r>
              <w:t>3,372</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xml:space="preserve">Non-GAAP total gross profit </w:t>
            </w:r>
            <w:r>
              <w:rPr>
                <w:rFonts w:ascii="Times New Roman;Times;Serif" w:hAnsi="Times New Roman;Times;Serif"/>
                <w:b w:val="false"/>
                <w:i w:val="false"/>
                <w:caps w:val="false"/>
                <w:smallCaps w:val="false"/>
                <w:position w:val="7"/>
                <w:sz w:val="16"/>
                <w:sz w:val="20"/>
              </w:rPr>
              <w:t>(a)</w:t>
            </w:r>
          </w:p>
        </w:tc>
        <w:tc>
          <w:tcPr>
            <w:tcW w:w="60" w:type="dxa"/>
            <w:tcBorders/>
            <w:shd w:fill="EEEEEE" w:val="clear"/>
            <w:vAlign w:val="center"/>
          </w:tcPr>
          <w:p>
            <w:pPr>
              <w:pStyle w:val="TableContents"/>
              <w:bidi w:val="0"/>
              <w:spacing w:before="0" w:after="283"/>
              <w:jc w:val="left"/>
            </w:pPr>
            <w:r>
              <w:t> </w:t>
            </w:r>
          </w:p>
        </w:tc>
        <w:tc>
          <w:tcPr>
            <w:tcW w:w="224"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093" w:type="dxa"/>
            <w:tcBorders>
              <w:bottom w:val="double" w:sz="6" w:space="0" w:color="000000"/>
            </w:tcBorders>
            <w:shd w:fill="EEEEEE" w:val="clear"/>
            <w:tcMar>
              <w:bottom w:w="28" w:type="dxa"/>
            </w:tcMar>
            <w:vAlign w:val="center"/>
          </w:tcPr>
          <w:p>
            <w:pPr>
              <w:pStyle w:val="TableContents"/>
              <w:bidi w:val="0"/>
              <w:spacing w:before="0" w:after="283"/>
              <w:jc w:val="right"/>
            </w:pPr>
            <w:r>
              <w:t>77,443</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213" w:type="dxa"/>
            <w:tcBorders>
              <w:bottom w:val="double" w:sz="6" w:space="0" w:color="000000"/>
            </w:tcBorders>
            <w:shd w:fill="EEEEEE" w:val="clear"/>
            <w:tcMar>
              <w:bottom w:w="28" w:type="dxa"/>
            </w:tcMar>
            <w:vAlign w:val="center"/>
          </w:tcPr>
          <w:p>
            <w:pPr>
              <w:pStyle w:val="TableContents"/>
              <w:bidi w:val="0"/>
              <w:spacing w:before="0" w:after="283"/>
              <w:jc w:val="right"/>
            </w:pPr>
            <w:r>
              <w:t>36,729</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194" w:type="dxa"/>
            <w:tcBorders>
              <w:bottom w:val="double" w:sz="6" w:space="0" w:color="000000"/>
            </w:tcBorders>
            <w:shd w:fill="EEEEEE" w:val="clear"/>
            <w:tcMar>
              <w:bottom w:w="28" w:type="dxa"/>
            </w:tcMar>
            <w:vAlign w:val="center"/>
          </w:tcPr>
          <w:p>
            <w:pPr>
              <w:pStyle w:val="TableContents"/>
              <w:bidi w:val="0"/>
              <w:spacing w:before="0" w:after="283"/>
              <w:jc w:val="right"/>
            </w:pPr>
            <w:r>
              <w:t>178,783</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127" w:type="dxa"/>
            <w:tcBorders>
              <w:bottom w:val="double" w:sz="6" w:space="0" w:color="000000"/>
            </w:tcBorders>
            <w:shd w:fill="EEEEEE" w:val="clear"/>
            <w:tcMar>
              <w:bottom w:w="28" w:type="dxa"/>
            </w:tcMar>
            <w:vAlign w:val="center"/>
          </w:tcPr>
          <w:p>
            <w:pPr>
              <w:pStyle w:val="TableContents"/>
              <w:bidi w:val="0"/>
              <w:spacing w:before="0" w:after="283"/>
              <w:jc w:val="right"/>
            </w:pPr>
            <w:r>
              <w:t>98,653</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 </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 </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 </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GAAP net gain (loss)</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w:t>
            </w:r>
          </w:p>
        </w:tc>
        <w:tc>
          <w:tcPr>
            <w:tcW w:w="1093" w:type="dxa"/>
            <w:tcBorders/>
            <w:shd w:fill="EEEEEE" w:val="clear"/>
            <w:vAlign w:val="center"/>
          </w:tcPr>
          <w:p>
            <w:pPr>
              <w:pStyle w:val="TableContents"/>
              <w:bidi w:val="0"/>
              <w:spacing w:before="0" w:after="283"/>
              <w:jc w:val="right"/>
            </w:pPr>
            <w:r>
              <w:t>6,300</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w:t>
            </w:r>
          </w:p>
        </w:tc>
        <w:tc>
          <w:tcPr>
            <w:tcW w:w="1213" w:type="dxa"/>
            <w:tcBorders/>
            <w:shd w:fill="EEEEEE" w:val="clear"/>
            <w:vAlign w:val="center"/>
          </w:tcPr>
          <w:p>
            <w:pPr>
              <w:pStyle w:val="TableContents"/>
              <w:bidi w:val="0"/>
              <w:spacing w:before="0" w:after="283"/>
              <w:jc w:val="right"/>
            </w:pPr>
            <w:r>
              <w:t>(17,936</w:t>
            </w:r>
          </w:p>
        </w:tc>
        <w:tc>
          <w:tcPr>
            <w:tcW w:w="95" w:type="dxa"/>
            <w:tcBorders/>
            <w:shd w:fill="EEEEEE" w:val="clear"/>
            <w:vAlign w:val="center"/>
          </w:tcPr>
          <w:p>
            <w:pPr>
              <w:pStyle w:val="TableContents"/>
              <w:bidi w:val="0"/>
              <w:spacing w:before="0" w:after="283"/>
              <w:jc w:val="left"/>
            </w:pPr>
            <w:r>
              <w:t>)</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w:t>
            </w:r>
          </w:p>
        </w:tc>
        <w:tc>
          <w:tcPr>
            <w:tcW w:w="1194" w:type="dxa"/>
            <w:tcBorders/>
            <w:shd w:fill="EEEEEE" w:val="clear"/>
            <w:vAlign w:val="center"/>
          </w:tcPr>
          <w:p>
            <w:pPr>
              <w:pStyle w:val="TableContents"/>
              <w:bidi w:val="0"/>
              <w:spacing w:before="0" w:after="283"/>
              <w:jc w:val="right"/>
            </w:pPr>
            <w:r>
              <w:t>(30,762</w:t>
            </w:r>
          </w:p>
        </w:tc>
        <w:tc>
          <w:tcPr>
            <w:tcW w:w="141" w:type="dxa"/>
            <w:tcBorders/>
            <w:shd w:fill="EEEEEE" w:val="clear"/>
            <w:vAlign w:val="center"/>
          </w:tcPr>
          <w:p>
            <w:pPr>
              <w:pStyle w:val="TableContents"/>
              <w:bidi w:val="0"/>
              <w:spacing w:before="0" w:after="283"/>
              <w:jc w:val="left"/>
            </w:pPr>
            <w:r>
              <w:t>)</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w:t>
            </w:r>
          </w:p>
        </w:tc>
        <w:tc>
          <w:tcPr>
            <w:tcW w:w="1127" w:type="dxa"/>
            <w:tcBorders/>
            <w:shd w:fill="EEEEEE" w:val="clear"/>
            <w:vAlign w:val="center"/>
          </w:tcPr>
          <w:p>
            <w:pPr>
              <w:pStyle w:val="TableContents"/>
              <w:bidi w:val="0"/>
              <w:spacing w:before="0" w:after="283"/>
              <w:jc w:val="right"/>
            </w:pPr>
            <w:r>
              <w:t>(36,206</w:t>
            </w:r>
          </w:p>
        </w:tc>
        <w:tc>
          <w:tcPr>
            <w:tcW w:w="116" w:type="dxa"/>
            <w:tcBorders/>
            <w:shd w:fill="EEEEEE" w:val="clear"/>
            <w:vAlign w:val="center"/>
          </w:tcPr>
          <w:p>
            <w:pPr>
              <w:pStyle w:val="TableContents"/>
              <w:bidi w:val="0"/>
              <w:spacing w:before="0" w:after="283"/>
              <w:jc w:val="left"/>
            </w:pPr>
            <w:r>
              <w:t>)</w:t>
            </w:r>
          </w:p>
        </w:tc>
      </w:tr>
      <w:tr>
        <w:tc>
          <w:tcPr>
            <w:tcW w:w="3905" w:type="dxa"/>
            <w:tcBorders/>
            <w:shd w:fill="FFFFFF" w:val="clear"/>
            <w:vAlign w:val="center"/>
          </w:tcPr>
          <w:p>
            <w:pPr>
              <w:pStyle w:val="TableContents"/>
              <w:bidi w:val="0"/>
              <w:spacing w:before="0" w:after="283"/>
              <w:jc w:val="left"/>
            </w:pPr>
            <w:r>
              <w:t>Share-based compensation expense</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5,684</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3,116</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14,939</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8,842</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Expenses associated with discontinued products</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1,098</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3,372</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4,691</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3,372</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Non-cash expenses associated with discontinued products</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902</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1,106</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2,920</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3,225</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Amortization of intangible assets</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127</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113</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371</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330</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Non-recurring (income) expense</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816</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86</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5,837</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1,340</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Unrealized exchange loss (gain)</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(568</w:t>
            </w:r>
          </w:p>
        </w:tc>
        <w:tc>
          <w:tcPr>
            <w:tcW w:w="152" w:type="dxa"/>
            <w:tcBorders/>
            <w:shd w:fill="EEEEEE" w:val="clear"/>
            <w:vAlign w:val="center"/>
          </w:tcPr>
          <w:p>
            <w:pPr>
              <w:pStyle w:val="TableContents"/>
              <w:bidi w:val="0"/>
              <w:spacing w:before="0" w:after="283"/>
              <w:jc w:val="left"/>
            </w:pPr>
            <w:r>
              <w:t>)</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5,550</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176</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490</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Tax (benefit) expense related to the above</w:t>
            </w:r>
          </w:p>
        </w:tc>
        <w:tc>
          <w:tcPr>
            <w:tcW w:w="60" w:type="dxa"/>
            <w:tcBorders/>
            <w:shd w:fill="FFFFFF" w:val="clear"/>
            <w:vAlign w:val="center"/>
          </w:tcPr>
          <w:p>
            <w:pPr>
              <w:pStyle w:val="TableContents"/>
              <w:bidi w:val="0"/>
              <w:spacing w:before="0" w:after="283"/>
              <w:jc w:val="left"/>
            </w:pPr>
            <w: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pPr>
            <w:r>
              <w:t>433</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pPr>
            <w:r>
              <w:t>(806</w:t>
            </w:r>
          </w:p>
        </w:tc>
        <w:tc>
          <w:tcPr>
            <w:tcW w:w="95" w:type="dxa"/>
            <w:tcBorders/>
            <w:shd w:fill="FFFFFF" w:val="clear"/>
            <w:vAlign w:val="center"/>
          </w:tcPr>
          <w:p>
            <w:pPr>
              <w:pStyle w:val="TableContents"/>
              <w:bidi w:val="0"/>
              <w:spacing w:before="0" w:after="283"/>
              <w:jc w:val="left"/>
            </w:pPr>
            <w:r>
              <w:t>)</w:t>
            </w:r>
          </w:p>
        </w:tc>
        <w:tc>
          <w:tcPr>
            <w:tcW w:w="60" w:type="dxa"/>
            <w:tcBorders/>
            <w:shd w:fill="FFFFFF" w:val="clear"/>
            <w:vAlign w:val="center"/>
          </w:tcPr>
          <w:p>
            <w:pPr>
              <w:pStyle w:val="TableContents"/>
              <w:bidi w:val="0"/>
              <w:spacing w:before="0" w:after="283"/>
              <w:jc w:val="left"/>
            </w:pPr>
            <w: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pPr>
            <w:r>
              <w:t>17,155</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pPr>
            <w:r>
              <w:t>3,519</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Non-GAAP net income (loss)</w:t>
            </w:r>
          </w:p>
        </w:tc>
        <w:tc>
          <w:tcPr>
            <w:tcW w:w="60" w:type="dxa"/>
            <w:tcBorders/>
            <w:shd w:fill="EEEEEE" w:val="clear"/>
            <w:vAlign w:val="center"/>
          </w:tcPr>
          <w:p>
            <w:pPr>
              <w:pStyle w:val="TableContents"/>
              <w:bidi w:val="0"/>
              <w:spacing w:before="0" w:after="283"/>
              <w:jc w:val="left"/>
            </w:pPr>
            <w:r>
              <w:t> </w:t>
            </w:r>
          </w:p>
        </w:tc>
        <w:tc>
          <w:tcPr>
            <w:tcW w:w="224"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093" w:type="dxa"/>
            <w:tcBorders>
              <w:bottom w:val="double" w:sz="6" w:space="0" w:color="000000"/>
            </w:tcBorders>
            <w:shd w:fill="EEEEEE" w:val="clear"/>
            <w:tcMar>
              <w:bottom w:w="28" w:type="dxa"/>
            </w:tcMar>
            <w:vAlign w:val="center"/>
          </w:tcPr>
          <w:p>
            <w:pPr>
              <w:pStyle w:val="TableContents"/>
              <w:bidi w:val="0"/>
              <w:spacing w:before="0" w:after="283"/>
              <w:jc w:val="right"/>
            </w:pPr>
            <w:r>
              <w:t>14,792</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213" w:type="dxa"/>
            <w:tcBorders>
              <w:bottom w:val="double" w:sz="6" w:space="0" w:color="000000"/>
            </w:tcBorders>
            <w:shd w:fill="EEEEEE" w:val="clear"/>
            <w:tcMar>
              <w:bottom w:w="28" w:type="dxa"/>
            </w:tcMar>
            <w:vAlign w:val="center"/>
          </w:tcPr>
          <w:p>
            <w:pPr>
              <w:pStyle w:val="TableContents"/>
              <w:bidi w:val="0"/>
              <w:spacing w:before="0" w:after="283"/>
              <w:jc w:val="right"/>
            </w:pPr>
            <w:r>
              <w:t>(5,399</w:t>
            </w:r>
          </w:p>
        </w:tc>
        <w:tc>
          <w:tcPr>
            <w:tcW w:w="95" w:type="dxa"/>
            <w:tcBorders/>
            <w:shd w:fill="EEEEEE" w:val="clear"/>
            <w:vAlign w:val="center"/>
          </w:tcPr>
          <w:p>
            <w:pPr>
              <w:pStyle w:val="TableContents"/>
              <w:bidi w:val="0"/>
              <w:spacing w:before="0" w:after="283"/>
              <w:jc w:val="left"/>
            </w:pPr>
            <w:r>
              <w:t>)</w:t>
            </w:r>
          </w:p>
        </w:tc>
        <w:tc>
          <w:tcPr>
            <w:tcW w:w="60" w:type="dxa"/>
            <w:tcBorders/>
            <w:shd w:fill="EEEEEE" w:val="clear"/>
            <w:vAlign w:val="center"/>
          </w:tcPr>
          <w:p>
            <w:pPr>
              <w:pStyle w:val="TableContents"/>
              <w:bidi w:val="0"/>
              <w:spacing w:before="0" w:after="283"/>
              <w:jc w:val="left"/>
            </w:pPr>
            <w: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194" w:type="dxa"/>
            <w:tcBorders>
              <w:bottom w:val="double" w:sz="6" w:space="0" w:color="000000"/>
            </w:tcBorders>
            <w:shd w:fill="EEEEEE" w:val="clear"/>
            <w:tcMar>
              <w:bottom w:w="28" w:type="dxa"/>
            </w:tcMar>
            <w:vAlign w:val="center"/>
          </w:tcPr>
          <w:p>
            <w:pPr>
              <w:pStyle w:val="TableContents"/>
              <w:bidi w:val="0"/>
              <w:spacing w:before="0" w:after="283"/>
              <w:jc w:val="right"/>
            </w:pPr>
            <w:r>
              <w:t>15,327</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127" w:type="dxa"/>
            <w:tcBorders>
              <w:bottom w:val="double" w:sz="6" w:space="0" w:color="000000"/>
            </w:tcBorders>
            <w:shd w:fill="EEEEEE" w:val="clear"/>
            <w:tcMar>
              <w:bottom w:w="28" w:type="dxa"/>
            </w:tcMar>
            <w:vAlign w:val="center"/>
          </w:tcPr>
          <w:p>
            <w:pPr>
              <w:pStyle w:val="TableContents"/>
              <w:bidi w:val="0"/>
              <w:spacing w:before="0" w:after="283"/>
              <w:jc w:val="right"/>
            </w:pPr>
            <w:r>
              <w:t>(15,088</w:t>
            </w:r>
          </w:p>
        </w:tc>
        <w:tc>
          <w:tcPr>
            <w:tcW w:w="116" w:type="dxa"/>
            <w:tcBorders/>
            <w:shd w:fill="EEEEEE" w:val="clear"/>
            <w:vAlign w:val="center"/>
          </w:tcPr>
          <w:p>
            <w:pPr>
              <w:pStyle w:val="TableContents"/>
              <w:bidi w:val="0"/>
              <w:spacing w:before="0" w:after="283"/>
              <w:jc w:val="left"/>
            </w:pPr>
            <w:r>
              <w:t>)</w:t>
            </w:r>
          </w:p>
        </w:tc>
      </w:tr>
      <w:tr>
        <w:tc>
          <w:tcPr>
            <w:tcW w:w="39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 </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 </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 </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GAAP net income (loss)</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w:t>
            </w:r>
          </w:p>
        </w:tc>
        <w:tc>
          <w:tcPr>
            <w:tcW w:w="1093" w:type="dxa"/>
            <w:tcBorders/>
            <w:shd w:fill="EEEEEE" w:val="clear"/>
            <w:vAlign w:val="center"/>
          </w:tcPr>
          <w:p>
            <w:pPr>
              <w:pStyle w:val="TableContents"/>
              <w:bidi w:val="0"/>
              <w:spacing w:before="0" w:after="283"/>
              <w:jc w:val="right"/>
            </w:pPr>
            <w:r>
              <w:t>6,300</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w:t>
            </w:r>
          </w:p>
        </w:tc>
        <w:tc>
          <w:tcPr>
            <w:tcW w:w="1213" w:type="dxa"/>
            <w:tcBorders/>
            <w:shd w:fill="EEEEEE" w:val="clear"/>
            <w:vAlign w:val="center"/>
          </w:tcPr>
          <w:p>
            <w:pPr>
              <w:pStyle w:val="TableContents"/>
              <w:bidi w:val="0"/>
              <w:spacing w:before="0" w:after="283"/>
              <w:jc w:val="right"/>
            </w:pPr>
            <w:r>
              <w:t>(17,936</w:t>
            </w:r>
          </w:p>
        </w:tc>
        <w:tc>
          <w:tcPr>
            <w:tcW w:w="95" w:type="dxa"/>
            <w:tcBorders/>
            <w:shd w:fill="EEEEEE" w:val="clear"/>
            <w:vAlign w:val="center"/>
          </w:tcPr>
          <w:p>
            <w:pPr>
              <w:pStyle w:val="TableContents"/>
              <w:bidi w:val="0"/>
              <w:spacing w:before="0" w:after="283"/>
              <w:jc w:val="left"/>
            </w:pPr>
            <w:r>
              <w:t>)</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w:t>
            </w:r>
          </w:p>
        </w:tc>
        <w:tc>
          <w:tcPr>
            <w:tcW w:w="1194" w:type="dxa"/>
            <w:tcBorders/>
            <w:shd w:fill="EEEEEE" w:val="clear"/>
            <w:vAlign w:val="center"/>
          </w:tcPr>
          <w:p>
            <w:pPr>
              <w:pStyle w:val="TableContents"/>
              <w:bidi w:val="0"/>
              <w:spacing w:before="0" w:after="283"/>
              <w:jc w:val="right"/>
            </w:pPr>
            <w:r>
              <w:t>(30,762</w:t>
            </w:r>
          </w:p>
        </w:tc>
        <w:tc>
          <w:tcPr>
            <w:tcW w:w="141" w:type="dxa"/>
            <w:tcBorders/>
            <w:shd w:fill="EEEEEE" w:val="clear"/>
            <w:vAlign w:val="center"/>
          </w:tcPr>
          <w:p>
            <w:pPr>
              <w:pStyle w:val="TableContents"/>
              <w:bidi w:val="0"/>
              <w:spacing w:before="0" w:after="283"/>
              <w:jc w:val="left"/>
            </w:pPr>
            <w:r>
              <w:t>)</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w:t>
            </w:r>
          </w:p>
        </w:tc>
        <w:tc>
          <w:tcPr>
            <w:tcW w:w="1127" w:type="dxa"/>
            <w:tcBorders/>
            <w:shd w:fill="EEEEEE" w:val="clear"/>
            <w:vAlign w:val="center"/>
          </w:tcPr>
          <w:p>
            <w:pPr>
              <w:pStyle w:val="TableContents"/>
              <w:bidi w:val="0"/>
              <w:spacing w:before="0" w:after="283"/>
              <w:jc w:val="right"/>
            </w:pPr>
            <w:r>
              <w:t>(36,206</w:t>
            </w:r>
          </w:p>
        </w:tc>
        <w:tc>
          <w:tcPr>
            <w:tcW w:w="116" w:type="dxa"/>
            <w:tcBorders/>
            <w:shd w:fill="EEEEEE" w:val="clear"/>
            <w:vAlign w:val="center"/>
          </w:tcPr>
          <w:p>
            <w:pPr>
              <w:pStyle w:val="TableContents"/>
              <w:bidi w:val="0"/>
              <w:spacing w:before="0" w:after="283"/>
              <w:jc w:val="left"/>
            </w:pPr>
            <w:r>
              <w:t>)</w:t>
            </w:r>
          </w:p>
        </w:tc>
      </w:tr>
      <w:tr>
        <w:tc>
          <w:tcPr>
            <w:tcW w:w="3905" w:type="dxa"/>
            <w:tcBorders/>
            <w:shd w:fill="FFFFFF" w:val="clear"/>
            <w:vAlign w:val="center"/>
          </w:tcPr>
          <w:p>
            <w:pPr>
              <w:pStyle w:val="TableContents"/>
              <w:bidi w:val="0"/>
              <w:spacing w:before="0" w:after="283"/>
              <w:jc w:val="left"/>
            </w:pPr>
            <w:r>
              <w:t>Share-based compensation expense</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5,684</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3,116</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14,939</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8,842</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Expenses associated with discontinued products</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1,098</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3,372</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4,691</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3,372</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Non-cash expenses associated with discontinued products</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902</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1,106</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2,920</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3,225</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Amortization of intangible assets</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127</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113</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371</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330</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Non-recurring expense (income)</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816</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85</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5,837</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1,341</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Unrealized exchange loss (gain)</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(568</w:t>
            </w:r>
          </w:p>
        </w:tc>
        <w:tc>
          <w:tcPr>
            <w:tcW w:w="152" w:type="dxa"/>
            <w:tcBorders/>
            <w:shd w:fill="EEEEEE" w:val="clear"/>
            <w:vAlign w:val="center"/>
          </w:tcPr>
          <w:p>
            <w:pPr>
              <w:pStyle w:val="TableContents"/>
              <w:bidi w:val="0"/>
              <w:spacing w:before="0" w:after="283"/>
              <w:jc w:val="left"/>
            </w:pPr>
            <w:r>
              <w:t>)</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5,550</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176</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490</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Depreciation expense</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13,692</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6,148</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31,159</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15,936</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Interest (income) expense, net</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(1,873</w:t>
            </w:r>
          </w:p>
        </w:tc>
        <w:tc>
          <w:tcPr>
            <w:tcW w:w="152" w:type="dxa"/>
            <w:tcBorders/>
            <w:shd w:fill="EEEEEE" w:val="clear"/>
            <w:vAlign w:val="center"/>
          </w:tcPr>
          <w:p>
            <w:pPr>
              <w:pStyle w:val="TableContents"/>
              <w:bidi w:val="0"/>
              <w:spacing w:before="0" w:after="283"/>
              <w:jc w:val="left"/>
            </w:pPr>
            <w:r>
              <w:t>)</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451</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(5,068</w:t>
            </w:r>
          </w:p>
        </w:tc>
        <w:tc>
          <w:tcPr>
            <w:tcW w:w="141" w:type="dxa"/>
            <w:tcBorders/>
            <w:shd w:fill="EEEEEE" w:val="clear"/>
            <w:vAlign w:val="center"/>
          </w:tcPr>
          <w:p>
            <w:pPr>
              <w:pStyle w:val="TableContents"/>
              <w:bidi w:val="0"/>
              <w:spacing w:before="0" w:after="283"/>
              <w:jc w:val="left"/>
            </w:pPr>
            <w:r>
              <w:t>)</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1,692</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Income tax expenses (credit)</w:t>
            </w:r>
          </w:p>
        </w:tc>
        <w:tc>
          <w:tcPr>
            <w:tcW w:w="60" w:type="dxa"/>
            <w:tcBorders/>
            <w:shd w:fill="FFFFFF" w:val="clear"/>
            <w:vAlign w:val="center"/>
          </w:tcPr>
          <w:p>
            <w:pPr>
              <w:pStyle w:val="TableContents"/>
              <w:bidi w:val="0"/>
              <w:spacing w:before="0" w:after="283"/>
              <w:jc w:val="left"/>
            </w:pPr>
            <w: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pPr>
            <w:r>
              <w:t>2,359</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pPr>
            <w:r>
              <w:t>4,697</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Adjusted EBITDA</w:t>
            </w:r>
          </w:p>
        </w:tc>
        <w:tc>
          <w:tcPr>
            <w:tcW w:w="60" w:type="dxa"/>
            <w:tcBorders/>
            <w:shd w:fill="EEEEEE" w:val="clear"/>
            <w:vAlign w:val="center"/>
          </w:tcPr>
          <w:p>
            <w:pPr>
              <w:pStyle w:val="TableContents"/>
              <w:bidi w:val="0"/>
              <w:spacing w:before="0" w:after="283"/>
              <w:jc w:val="left"/>
            </w:pPr>
            <w:r>
              <w:t> </w:t>
            </w:r>
          </w:p>
        </w:tc>
        <w:tc>
          <w:tcPr>
            <w:tcW w:w="224"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093" w:type="dxa"/>
            <w:tcBorders>
              <w:bottom w:val="double" w:sz="6" w:space="0" w:color="000000"/>
            </w:tcBorders>
            <w:shd w:fill="EEEEEE" w:val="clear"/>
            <w:tcMar>
              <w:bottom w:w="28" w:type="dxa"/>
            </w:tcMar>
            <w:vAlign w:val="center"/>
          </w:tcPr>
          <w:p>
            <w:pPr>
              <w:pStyle w:val="TableContents"/>
              <w:bidi w:val="0"/>
              <w:spacing w:before="0" w:after="283"/>
              <w:jc w:val="right"/>
            </w:pPr>
            <w:r>
              <w:t>28,537</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213" w:type="dxa"/>
            <w:tcBorders>
              <w:bottom w:val="double" w:sz="6" w:space="0" w:color="000000"/>
            </w:tcBorders>
            <w:shd w:fill="EEEEEE" w:val="clear"/>
            <w:tcMar>
              <w:bottom w:w="28" w:type="dxa"/>
            </w:tcMar>
            <w:vAlign w:val="center"/>
          </w:tcPr>
          <w:p>
            <w:pPr>
              <w:pStyle w:val="TableContents"/>
              <w:bidi w:val="0"/>
              <w:spacing w:before="0" w:after="283"/>
              <w:jc w:val="right"/>
            </w:pPr>
            <w:r>
              <w:t>2,005</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194" w:type="dxa"/>
            <w:tcBorders>
              <w:bottom w:val="double" w:sz="6" w:space="0" w:color="000000"/>
            </w:tcBorders>
            <w:shd w:fill="EEEEEE" w:val="clear"/>
            <w:tcMar>
              <w:bottom w:w="28" w:type="dxa"/>
            </w:tcMar>
            <w:vAlign w:val="center"/>
          </w:tcPr>
          <w:p>
            <w:pPr>
              <w:pStyle w:val="TableContents"/>
              <w:bidi w:val="0"/>
              <w:spacing w:before="0" w:after="283"/>
              <w:jc w:val="right"/>
            </w:pPr>
            <w:r>
              <w:t>28,960</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127" w:type="dxa"/>
            <w:tcBorders>
              <w:bottom w:val="double" w:sz="6" w:space="0" w:color="000000"/>
            </w:tcBorders>
            <w:shd w:fill="EEEEEE" w:val="clear"/>
            <w:tcMar>
              <w:bottom w:w="28" w:type="dxa"/>
            </w:tcMar>
            <w:vAlign w:val="center"/>
          </w:tcPr>
          <w:p>
            <w:pPr>
              <w:pStyle w:val="TableContents"/>
              <w:bidi w:val="0"/>
              <w:spacing w:before="0" w:after="283"/>
              <w:jc w:val="right"/>
            </w:pPr>
            <w:r>
              <w:t>(978</w:t>
            </w:r>
          </w:p>
        </w:tc>
        <w:tc>
          <w:tcPr>
            <w:tcW w:w="116" w:type="dxa"/>
            <w:tcBorders/>
            <w:shd w:fill="EEEEEE" w:val="clear"/>
            <w:vAlign w:val="center"/>
          </w:tcPr>
          <w:p>
            <w:pPr>
              <w:pStyle w:val="TableContents"/>
              <w:bidi w:val="0"/>
              <w:spacing w:before="0" w:after="283"/>
              <w:jc w:val="left"/>
            </w:pPr>
            <w:r>
              <w:t>)</w:t>
            </w:r>
          </w:p>
        </w:tc>
      </w:tr>
      <w:tr>
        <w:tc>
          <w:tcPr>
            <w:tcW w:w="39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 </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 </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 </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GAAP diluted net income (loss) per share</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w:t>
            </w:r>
          </w:p>
        </w:tc>
        <w:tc>
          <w:tcPr>
            <w:tcW w:w="1093" w:type="dxa"/>
            <w:tcBorders/>
            <w:shd w:fill="EEEEEE" w:val="clear"/>
            <w:vAlign w:val="center"/>
          </w:tcPr>
          <w:p>
            <w:pPr>
              <w:pStyle w:val="TableContents"/>
              <w:bidi w:val="0"/>
              <w:spacing w:before="0" w:after="283"/>
              <w:jc w:val="right"/>
            </w:pPr>
            <w:r>
              <w:t>0.07</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w:t>
            </w:r>
          </w:p>
        </w:tc>
        <w:tc>
          <w:tcPr>
            <w:tcW w:w="1213" w:type="dxa"/>
            <w:tcBorders/>
            <w:shd w:fill="EEEEEE" w:val="clear"/>
            <w:vAlign w:val="center"/>
          </w:tcPr>
          <w:p>
            <w:pPr>
              <w:pStyle w:val="TableContents"/>
              <w:bidi w:val="0"/>
              <w:spacing w:before="0" w:after="283"/>
              <w:jc w:val="right"/>
            </w:pPr>
            <w:r>
              <w:t>(0.28</w:t>
            </w:r>
          </w:p>
        </w:tc>
        <w:tc>
          <w:tcPr>
            <w:tcW w:w="95" w:type="dxa"/>
            <w:tcBorders/>
            <w:shd w:fill="EEEEEE" w:val="clear"/>
            <w:vAlign w:val="center"/>
          </w:tcPr>
          <w:p>
            <w:pPr>
              <w:pStyle w:val="TableContents"/>
              <w:bidi w:val="0"/>
              <w:spacing w:before="0" w:after="283"/>
              <w:jc w:val="left"/>
            </w:pPr>
            <w:r>
              <w:t>)</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w:t>
            </w:r>
          </w:p>
        </w:tc>
        <w:tc>
          <w:tcPr>
            <w:tcW w:w="1194" w:type="dxa"/>
            <w:tcBorders/>
            <w:shd w:fill="EEEEEE" w:val="clear"/>
            <w:vAlign w:val="center"/>
          </w:tcPr>
          <w:p>
            <w:pPr>
              <w:pStyle w:val="TableContents"/>
              <w:bidi w:val="0"/>
              <w:spacing w:before="0" w:after="283"/>
              <w:jc w:val="right"/>
            </w:pPr>
            <w:r>
              <w:t>(0.38</w:t>
            </w:r>
          </w:p>
        </w:tc>
        <w:tc>
          <w:tcPr>
            <w:tcW w:w="141" w:type="dxa"/>
            <w:tcBorders/>
            <w:shd w:fill="EEEEEE" w:val="clear"/>
            <w:vAlign w:val="center"/>
          </w:tcPr>
          <w:p>
            <w:pPr>
              <w:pStyle w:val="TableContents"/>
              <w:bidi w:val="0"/>
              <w:spacing w:before="0" w:after="283"/>
              <w:jc w:val="left"/>
            </w:pPr>
            <w:r>
              <w:t>)</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w:t>
            </w:r>
          </w:p>
        </w:tc>
        <w:tc>
          <w:tcPr>
            <w:tcW w:w="1127" w:type="dxa"/>
            <w:tcBorders/>
            <w:shd w:fill="EEEEEE" w:val="clear"/>
            <w:vAlign w:val="center"/>
          </w:tcPr>
          <w:p>
            <w:pPr>
              <w:pStyle w:val="TableContents"/>
              <w:bidi w:val="0"/>
              <w:spacing w:before="0" w:after="283"/>
              <w:jc w:val="right"/>
            </w:pPr>
            <w:r>
              <w:t>(0.64</w:t>
            </w:r>
          </w:p>
        </w:tc>
        <w:tc>
          <w:tcPr>
            <w:tcW w:w="116" w:type="dxa"/>
            <w:tcBorders/>
            <w:shd w:fill="EEEEEE" w:val="clear"/>
            <w:vAlign w:val="center"/>
          </w:tcPr>
          <w:p>
            <w:pPr>
              <w:pStyle w:val="TableContents"/>
              <w:bidi w:val="0"/>
              <w:spacing w:before="0" w:after="283"/>
              <w:jc w:val="left"/>
            </w:pPr>
            <w:r>
              <w:t>)</w:t>
            </w:r>
          </w:p>
        </w:tc>
      </w:tr>
      <w:tr>
        <w:tc>
          <w:tcPr>
            <w:tcW w:w="3905" w:type="dxa"/>
            <w:tcBorders/>
            <w:shd w:fill="FFFFFF" w:val="clear"/>
            <w:vAlign w:val="center"/>
          </w:tcPr>
          <w:p>
            <w:pPr>
              <w:pStyle w:val="TableContents"/>
              <w:bidi w:val="0"/>
              <w:spacing w:before="0" w:after="283"/>
              <w:jc w:val="left"/>
            </w:pPr>
            <w:r>
              <w:t>Share-based compensation expense</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0.06</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0.05</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0.18</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0.16</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Expenses associated with discontinued products</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0.01</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0.05</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0.06</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0.06</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Non-cash expenses associated with discontinued products</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0.01</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0.02</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0.03</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0.06</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Non-recurring (income) expense</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0.01</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0.07</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0.02</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Unrealized exchange loss (gain)</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(0.01</w:t>
            </w:r>
          </w:p>
        </w:tc>
        <w:tc>
          <w:tcPr>
            <w:tcW w:w="152" w:type="dxa"/>
            <w:tcBorders/>
            <w:shd w:fill="FFFFFF" w:val="clear"/>
            <w:vAlign w:val="center"/>
          </w:tcPr>
          <w:p>
            <w:pPr>
              <w:pStyle w:val="TableContents"/>
              <w:bidi w:val="0"/>
              <w:spacing w:before="0" w:after="283"/>
              <w:jc w:val="left"/>
            </w:pPr>
            <w:r>
              <w:t>)</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0.08</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0.01</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Non-GAAP tax benefit</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0.01</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(0.01</w:t>
            </w:r>
          </w:p>
        </w:tc>
        <w:tc>
          <w:tcPr>
            <w:tcW w:w="95" w:type="dxa"/>
            <w:tcBorders/>
            <w:shd w:fill="EEEEEE" w:val="clear"/>
            <w:vAlign w:val="center"/>
          </w:tcPr>
          <w:p>
            <w:pPr>
              <w:pStyle w:val="TableContents"/>
              <w:bidi w:val="0"/>
              <w:spacing w:before="0" w:after="283"/>
              <w:jc w:val="left"/>
            </w:pPr>
            <w:r>
              <w:t>)</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0.20</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0.06</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Effect of diluted share count</w:t>
            </w:r>
          </w:p>
        </w:tc>
        <w:tc>
          <w:tcPr>
            <w:tcW w:w="60" w:type="dxa"/>
            <w:tcBorders/>
            <w:shd w:fill="FFFFFF" w:val="clear"/>
            <w:vAlign w:val="center"/>
          </w:tcPr>
          <w:p>
            <w:pPr>
              <w:pStyle w:val="TableContents"/>
              <w:bidi w:val="0"/>
              <w:spacing w:before="0" w:after="283"/>
              <w:jc w:val="left"/>
            </w:pPr>
            <w: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pPr>
            <w:r>
              <w:t>0.01</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pPr>
            <w:r>
              <w:t>0.02</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pPr>
            <w: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pPr>
            <w:r>
              <w:t>–</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Non-GAAP diluted net earnings (loss) per share</w:t>
            </w:r>
          </w:p>
        </w:tc>
        <w:tc>
          <w:tcPr>
            <w:tcW w:w="60" w:type="dxa"/>
            <w:tcBorders/>
            <w:shd w:fill="EEEEEE" w:val="clear"/>
            <w:vAlign w:val="center"/>
          </w:tcPr>
          <w:p>
            <w:pPr>
              <w:pStyle w:val="TableContents"/>
              <w:bidi w:val="0"/>
              <w:spacing w:before="0" w:after="283"/>
              <w:jc w:val="left"/>
            </w:pPr>
            <w:r>
              <w:t> </w:t>
            </w:r>
          </w:p>
        </w:tc>
        <w:tc>
          <w:tcPr>
            <w:tcW w:w="224"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093" w:type="dxa"/>
            <w:tcBorders>
              <w:bottom w:val="double" w:sz="6" w:space="0" w:color="000000"/>
            </w:tcBorders>
            <w:shd w:fill="EEEEEE" w:val="clear"/>
            <w:tcMar>
              <w:bottom w:w="28" w:type="dxa"/>
            </w:tcMar>
            <w:vAlign w:val="center"/>
          </w:tcPr>
          <w:p>
            <w:pPr>
              <w:pStyle w:val="TableContents"/>
              <w:bidi w:val="0"/>
              <w:spacing w:before="0" w:after="283"/>
              <w:jc w:val="right"/>
            </w:pPr>
            <w:r>
              <w:t>0.17</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213" w:type="dxa"/>
            <w:tcBorders>
              <w:bottom w:val="double" w:sz="6" w:space="0" w:color="000000"/>
            </w:tcBorders>
            <w:shd w:fill="EEEEEE" w:val="clear"/>
            <w:tcMar>
              <w:bottom w:w="28" w:type="dxa"/>
            </w:tcMar>
            <w:vAlign w:val="center"/>
          </w:tcPr>
          <w:p>
            <w:pPr>
              <w:pStyle w:val="TableContents"/>
              <w:bidi w:val="0"/>
              <w:spacing w:before="0" w:after="283"/>
              <w:jc w:val="right"/>
            </w:pPr>
            <w:r>
              <w:t>(0.09</w:t>
            </w:r>
          </w:p>
        </w:tc>
        <w:tc>
          <w:tcPr>
            <w:tcW w:w="95" w:type="dxa"/>
            <w:tcBorders/>
            <w:shd w:fill="EEEEEE" w:val="clear"/>
            <w:vAlign w:val="center"/>
          </w:tcPr>
          <w:p>
            <w:pPr>
              <w:pStyle w:val="TableContents"/>
              <w:bidi w:val="0"/>
              <w:spacing w:before="0" w:after="283"/>
              <w:jc w:val="left"/>
            </w:pPr>
            <w:r>
              <w:t>)</w:t>
            </w:r>
          </w:p>
        </w:tc>
        <w:tc>
          <w:tcPr>
            <w:tcW w:w="60" w:type="dxa"/>
            <w:tcBorders/>
            <w:shd w:fill="EEEEEE" w:val="clear"/>
            <w:vAlign w:val="center"/>
          </w:tcPr>
          <w:p>
            <w:pPr>
              <w:pStyle w:val="TableContents"/>
              <w:bidi w:val="0"/>
              <w:spacing w:before="0" w:after="283"/>
              <w:jc w:val="left"/>
            </w:pPr>
            <w: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194" w:type="dxa"/>
            <w:tcBorders>
              <w:bottom w:val="double" w:sz="6" w:space="0" w:color="000000"/>
            </w:tcBorders>
            <w:shd w:fill="EEEEEE" w:val="clear"/>
            <w:tcMar>
              <w:bottom w:w="28" w:type="dxa"/>
            </w:tcMar>
            <w:vAlign w:val="center"/>
          </w:tcPr>
          <w:p>
            <w:pPr>
              <w:pStyle w:val="TableContents"/>
              <w:bidi w:val="0"/>
              <w:spacing w:before="0" w:after="283"/>
              <w:jc w:val="right"/>
            </w:pPr>
            <w:r>
              <w:t>0.18</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pPr>
            <w:r>
              <w:t>$</w:t>
            </w:r>
          </w:p>
        </w:tc>
        <w:tc>
          <w:tcPr>
            <w:tcW w:w="1127" w:type="dxa"/>
            <w:tcBorders>
              <w:bottom w:val="double" w:sz="6" w:space="0" w:color="000000"/>
            </w:tcBorders>
            <w:shd w:fill="EEEEEE" w:val="clear"/>
            <w:tcMar>
              <w:bottom w:w="28" w:type="dxa"/>
            </w:tcMar>
            <w:vAlign w:val="center"/>
          </w:tcPr>
          <w:p>
            <w:pPr>
              <w:pStyle w:val="TableContents"/>
              <w:bidi w:val="0"/>
              <w:spacing w:before="0" w:after="283"/>
              <w:jc w:val="right"/>
            </w:pPr>
            <w:r>
              <w:t>(0.27</w:t>
            </w:r>
          </w:p>
        </w:tc>
        <w:tc>
          <w:tcPr>
            <w:tcW w:w="116" w:type="dxa"/>
            <w:tcBorders/>
            <w:shd w:fill="EEEEEE" w:val="clear"/>
            <w:vAlign w:val="center"/>
          </w:tcPr>
          <w:p>
            <w:pPr>
              <w:pStyle w:val="TableContents"/>
              <w:bidi w:val="0"/>
              <w:spacing w:before="0" w:after="283"/>
              <w:jc w:val="left"/>
            </w:pPr>
            <w:r>
              <w:t>)</w:t>
            </w:r>
          </w:p>
        </w:tc>
      </w:tr>
      <w:tr>
        <w:tc>
          <w:tcPr>
            <w:tcW w:w="39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 </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 </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 </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 </w:t>
            </w:r>
          </w:p>
        </w:tc>
        <w:tc>
          <w:tcPr>
            <w:tcW w:w="116" w:type="dxa"/>
            <w:tcBorders/>
            <w:shd w:fill="FFFFFF" w:val="clear"/>
            <w:vAlign w:val="center"/>
          </w:tcPr>
          <w:p>
            <w:pPr>
              <w:pStyle w:val="TableContents"/>
              <w:bidi w:val="0"/>
              <w:spacing w:before="0" w:after="283"/>
              <w:jc w:val="left"/>
            </w:pPr>
            <w:r>
              <w:t> </w:t>
            </w:r>
          </w:p>
        </w:tc>
      </w:tr>
      <w:tr>
        <w:tc>
          <w:tcPr>
            <w:tcW w:w="3905" w:type="dxa"/>
            <w:tcBorders/>
            <w:shd w:fill="EEEEEE" w:val="clear"/>
            <w:vAlign w:val="center"/>
          </w:tcPr>
          <w:p>
            <w:pPr>
              <w:pStyle w:val="TableContents"/>
              <w:bidi w:val="0"/>
              <w:spacing w:before="0" w:after="283"/>
              <w:jc w:val="left"/>
            </w:pPr>
            <w:r>
              <w:t>Shares used to compute diluted loss per share</w:t>
            </w:r>
          </w:p>
        </w:tc>
        <w:tc>
          <w:tcPr>
            <w:tcW w:w="60"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093" w:type="dxa"/>
            <w:tcBorders/>
            <w:shd w:fill="EEEEEE" w:val="clear"/>
            <w:vAlign w:val="center"/>
          </w:tcPr>
          <w:p>
            <w:pPr>
              <w:pStyle w:val="TableContents"/>
              <w:bidi w:val="0"/>
              <w:spacing w:before="0" w:after="283"/>
              <w:jc w:val="right"/>
            </w:pPr>
            <w:r>
              <w:t>85,397</w:t>
            </w:r>
          </w:p>
        </w:tc>
        <w:tc>
          <w:tcPr>
            <w:tcW w:w="152" w:type="dxa"/>
            <w:tcBorders/>
            <w:shd w:fill="EEEEEE" w:val="clear"/>
            <w:vAlign w:val="center"/>
          </w:tcPr>
          <w:p>
            <w:pPr>
              <w:pStyle w:val="TableContents"/>
              <w:bidi w:val="0"/>
              <w:spacing w:before="0" w:after="283"/>
              <w:jc w:val="left"/>
            </w:pPr>
            <w:r>
              <w:t> </w:t>
            </w:r>
          </w:p>
        </w:tc>
        <w:tc>
          <w:tcPr>
            <w:tcW w:w="96" w:type="dxa"/>
            <w:tcBorders/>
            <w:shd w:fill="EEEEEE" w:val="clear"/>
            <w:vAlign w:val="center"/>
          </w:tcPr>
          <w:p>
            <w:pPr>
              <w:pStyle w:val="TableContents"/>
              <w:bidi w:val="0"/>
              <w:spacing w:before="0" w:after="283"/>
              <w:jc w:val="left"/>
            </w:pPr>
            <w:r>
              <w:t> </w:t>
            </w:r>
          </w:p>
        </w:tc>
        <w:tc>
          <w:tcPr>
            <w:tcW w:w="224" w:type="dxa"/>
            <w:tcBorders/>
            <w:shd w:fill="EEEEEE" w:val="clear"/>
            <w:vAlign w:val="center"/>
          </w:tcPr>
          <w:p>
            <w:pPr>
              <w:pStyle w:val="TableContents"/>
              <w:bidi w:val="0"/>
              <w:spacing w:before="0" w:after="283"/>
              <w:jc w:val="left"/>
            </w:pPr>
            <w:r>
              <w:t> </w:t>
            </w:r>
          </w:p>
        </w:tc>
        <w:tc>
          <w:tcPr>
            <w:tcW w:w="1213" w:type="dxa"/>
            <w:tcBorders/>
            <w:shd w:fill="EEEEEE" w:val="clear"/>
            <w:vAlign w:val="center"/>
          </w:tcPr>
          <w:p>
            <w:pPr>
              <w:pStyle w:val="TableContents"/>
              <w:bidi w:val="0"/>
              <w:spacing w:before="0" w:after="283"/>
              <w:jc w:val="right"/>
            </w:pPr>
            <w:r>
              <w:t>63,329</w:t>
            </w:r>
          </w:p>
        </w:tc>
        <w:tc>
          <w:tcPr>
            <w:tcW w:w="95" w:type="dxa"/>
            <w:tcBorders/>
            <w:shd w:fill="EEEEEE" w:val="clear"/>
            <w:vAlign w:val="center"/>
          </w:tcPr>
          <w:p>
            <w:pPr>
              <w:pStyle w:val="TableContents"/>
              <w:bidi w:val="0"/>
              <w:spacing w:before="0" w:after="283"/>
              <w:jc w:val="left"/>
            </w:pPr>
            <w:r>
              <w:t> </w:t>
            </w:r>
          </w:p>
        </w:tc>
        <w:tc>
          <w:tcPr>
            <w:tcW w:w="60"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94" w:type="dxa"/>
            <w:tcBorders/>
            <w:shd w:fill="EEEEEE" w:val="clear"/>
            <w:vAlign w:val="center"/>
          </w:tcPr>
          <w:p>
            <w:pPr>
              <w:pStyle w:val="TableContents"/>
              <w:bidi w:val="0"/>
              <w:spacing w:before="0" w:after="283"/>
              <w:jc w:val="right"/>
            </w:pPr>
            <w:r>
              <w:t>81,016</w:t>
            </w:r>
          </w:p>
        </w:tc>
        <w:tc>
          <w:tcPr>
            <w:tcW w:w="141" w:type="dxa"/>
            <w:tcBorders/>
            <w:shd w:fill="EEEEEE" w:val="clear"/>
            <w:vAlign w:val="center"/>
          </w:tcPr>
          <w:p>
            <w:pPr>
              <w:pStyle w:val="TableContents"/>
              <w:bidi w:val="0"/>
              <w:spacing w:before="0" w:after="283"/>
              <w:jc w:val="left"/>
            </w:pPr>
            <w:r>
              <w:t> </w:t>
            </w:r>
          </w:p>
        </w:tc>
        <w:tc>
          <w:tcPr>
            <w:tcW w:w="89" w:type="dxa"/>
            <w:tcBorders/>
            <w:shd w:fill="EEEEEE" w:val="clear"/>
            <w:vAlign w:val="center"/>
          </w:tcPr>
          <w:p>
            <w:pPr>
              <w:pStyle w:val="TableContents"/>
              <w:bidi w:val="0"/>
              <w:spacing w:before="0" w:after="283"/>
              <w:jc w:val="left"/>
            </w:pPr>
            <w:r>
              <w:t> </w:t>
            </w:r>
          </w:p>
        </w:tc>
        <w:tc>
          <w:tcPr>
            <w:tcW w:w="208" w:type="dxa"/>
            <w:tcBorders/>
            <w:shd w:fill="EEEEEE" w:val="clear"/>
            <w:vAlign w:val="center"/>
          </w:tcPr>
          <w:p>
            <w:pPr>
              <w:pStyle w:val="TableContents"/>
              <w:bidi w:val="0"/>
              <w:spacing w:before="0" w:after="283"/>
              <w:jc w:val="left"/>
            </w:pPr>
            <w:r>
              <w:t> </w:t>
            </w:r>
          </w:p>
        </w:tc>
        <w:tc>
          <w:tcPr>
            <w:tcW w:w="1127" w:type="dxa"/>
            <w:tcBorders/>
            <w:shd w:fill="EEEEEE" w:val="clear"/>
            <w:vAlign w:val="center"/>
          </w:tcPr>
          <w:p>
            <w:pPr>
              <w:pStyle w:val="TableContents"/>
              <w:bidi w:val="0"/>
              <w:spacing w:before="0" w:after="283"/>
              <w:jc w:val="right"/>
            </w:pPr>
            <w:r>
              <w:t>56,762</w:t>
            </w:r>
          </w:p>
        </w:tc>
        <w:tc>
          <w:tcPr>
            <w:tcW w:w="116" w:type="dxa"/>
            <w:tcBorders/>
            <w:shd w:fill="EEEEEE"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Shares used to compute diluted earnings per share</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87,835</w:t>
            </w:r>
          </w:p>
        </w:tc>
        <w:tc>
          <w:tcPr>
            <w:tcW w:w="152"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1213" w:type="dxa"/>
            <w:tcBorders/>
            <w:shd w:fill="FFFFFF" w:val="clear"/>
            <w:vAlign w:val="center"/>
          </w:tcPr>
          <w:p>
            <w:pPr>
              <w:pStyle w:val="TableContents"/>
              <w:bidi w:val="0"/>
              <w:spacing w:before="0" w:after="283"/>
              <w:jc w:val="right"/>
            </w:pPr>
            <w:r>
              <w:t>63,329</w:t>
            </w:r>
          </w:p>
        </w:tc>
        <w:tc>
          <w:tcPr>
            <w:tcW w:w="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94" w:type="dxa"/>
            <w:tcBorders/>
            <w:shd w:fill="FFFFFF" w:val="clear"/>
            <w:vAlign w:val="center"/>
          </w:tcPr>
          <w:p>
            <w:pPr>
              <w:pStyle w:val="TableContents"/>
              <w:bidi w:val="0"/>
              <w:spacing w:before="0" w:after="283"/>
              <w:jc w:val="right"/>
            </w:pPr>
            <w:r>
              <w:t>84,106</w:t>
            </w:r>
          </w:p>
        </w:tc>
        <w:tc>
          <w:tcPr>
            <w:tcW w:w="141"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208" w:type="dxa"/>
            <w:tcBorders/>
            <w:shd w:fill="FFFFFF" w:val="clear"/>
            <w:vAlign w:val="center"/>
          </w:tcPr>
          <w:p>
            <w:pPr>
              <w:pStyle w:val="TableContents"/>
              <w:bidi w:val="0"/>
              <w:spacing w:before="0" w:after="283"/>
              <w:jc w:val="left"/>
            </w:pPr>
            <w:r>
              <w:t> </w:t>
            </w:r>
          </w:p>
        </w:tc>
        <w:tc>
          <w:tcPr>
            <w:tcW w:w="1127" w:type="dxa"/>
            <w:tcBorders/>
            <w:shd w:fill="FFFFFF" w:val="clear"/>
            <w:vAlign w:val="center"/>
          </w:tcPr>
          <w:p>
            <w:pPr>
              <w:pStyle w:val="TableContents"/>
              <w:bidi w:val="0"/>
              <w:spacing w:before="0" w:after="283"/>
              <w:jc w:val="right"/>
            </w:pPr>
            <w:r>
              <w:t>56,762</w:t>
            </w:r>
          </w:p>
        </w:tc>
        <w:tc>
          <w:tcPr>
            <w:tcW w:w="116" w:type="dxa"/>
            <w:tcBorders/>
            <w:shd w:fill="FFFFFF" w:val="clear"/>
            <w:vAlign w:val="center"/>
          </w:tcPr>
          <w:p>
            <w:pPr>
              <w:pStyle w:val="TableContents"/>
              <w:bidi w:val="0"/>
              <w:spacing w:before="0" w:after="283"/>
              <w:jc w:val="left"/>
            </w:pPr>
            <w:r>
              <w:t> </w:t>
            </w:r>
          </w:p>
        </w:tc>
      </w:tr>
    </w:tbl>
    <w:p>
      <w:pPr>
        <w:pStyle w:val="TextBody"/>
        <w:bidi w:val="0"/>
        <w:spacing w:before="0" w:after="283"/>
        <w:jc w:val="left"/>
      </w:pPr>
      <w: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Provided for the purpose of calculating gross profit as a percentage of revenue (gross margin).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c>
          <w:tcPr>
            <w:tcW w:w="75" w:type="dxa"/>
            <w:tcBorders/>
            <w:vAlign w:val="center"/>
          </w:tcPr>
          <w:p>
            <w:pPr>
              <w:pStyle w:val="TableContents"/>
              <w:bidi w:val="0"/>
              <w:spacing w:before="0" w:after="283"/>
              <w:jc w:val="left"/>
            </w:pPr>
            <w:r>
              <w:t> </w:t>
            </w:r>
          </w:p>
        </w:tc>
        <w:tc>
          <w:tcPr>
            <w:tcW w:w="140" w:type="dxa"/>
            <w:tcBorders/>
            <w:vAlign w:val="center"/>
          </w:tcPr>
          <w:p>
            <w:pPr>
              <w:pStyle w:val="TableContents"/>
              <w:bidi w:val="0"/>
              <w:spacing w:before="0" w:after="283"/>
              <w:jc w:val="center"/>
            </w:pPr>
            <w:r>
              <w:t>7</w:t>
            </w:r>
          </w:p>
        </w:tc>
        <w:tc>
          <w:tcPr>
            <w:tcW w:w="75" w:type="dxa"/>
            <w:tcBorders/>
            <w:vAlign w:val="center"/>
          </w:tcPr>
          <w:p>
            <w:pPr>
              <w:pStyle w:val="TableContents"/>
              <w:bidi w:val="0"/>
              <w:spacing w:before="0" w:after="283"/>
              <w:jc w:val="right"/>
            </w:pPr>
            <w:r>
              <w:t> </w:t>
            </w:r>
          </w:p>
        </w:tc>
      </w:tr>
    </w:tbl>
    <w:p>
      <w:pPr>
        <w:pStyle w:val="TextBody"/>
        <w:bidi w:val="0"/>
        <w:spacing w:before="0" w:after="283"/>
        <w:ind w:left="0" w:right="0" w:firstLine="360"/>
        <w:jc w:val="left"/>
      </w:p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3352</Words>
  <Characters>18823</Characters>
  <CharactersWithSpaces>22906</CharactersWithSpaces>
  <Paragraphs>1973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