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pPr>
      <w:bookmarkStart w:id="0" w:name="aaoi20260930_10q.htm"/>
      <w:bookmarkStart w:id="1" w:name="ksaaoi20260930_10q"/>
      <w:bookmarkEnd w:id="0"/>
      <w:bookmarkEnd w:id="1"/>
      <w:r>
        <w:t> </w:t>
      </w:r>
    </w:p>
    <w:p>
      <w:pPr>
        <w:pStyle w:val="TextBody"/>
        <w:bidi w:val="0"/>
        <w:spacing w:before="0" w:after="283"/>
        <w:jc w:val="left"/>
      </w:pPr>
      <w:r>
        <w:t xml:space="preserve">  </w:t>
      </w:r>
    </w:p>
    <w:p>
      <w:pPr>
        <w:pStyle w:val="TextBody"/>
        <w:bidi w:val="0"/>
        <w:spacing w:before="0" w:after="0"/>
        <w:ind w:left="0" w:right="0" w:hanging="0"/>
        <w:jc w:val="left"/>
      </w:pPr>
      <w:r>
        <w:t> </w:t>
      </w:r>
    </w:p>
    <w:p>
      <w:pPr>
        <w:pStyle w:val="TextBody"/>
        <w:bidi w:val="0"/>
        <w:spacing w:before="0" w:after="283"/>
        <w:jc w:val="left"/>
      </w:pPr>
      <w:r>
        <w:t xml:space="preserve">  </w:t>
      </w:r>
    </w:p>
    <w:p>
      <w:pPr>
        <w:pStyle w:val="TextBody"/>
        <w:bidi w:val="0"/>
        <w:spacing w:before="0" w:after="0"/>
        <w:ind w:left="0" w:right="0" w:hanging="0"/>
        <w:jc w:val="left"/>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pPr>
      <w:r>
        <w:t>​</w:t>
      </w:r>
    </w:p>
    <w:p>
      <w:pPr>
        <w:pStyle w:val="HorizontalLine"/>
        <w:pBdr>
          <w:bottom w:val="double" w:sz="2" w:space="0" w:color="808080"/>
        </w:pBdr>
        <w:bidi w:val="0"/>
        <w:spacing w:before="0" w:after="283"/>
        <w:jc w:val="left"/>
      </w:pPr>
      <w:r/>
    </w:p>
    <w:p>
      <w:pPr>
        <w:pStyle w:val="HorizontalLine"/>
        <w:pBdr>
          <w:bottom w:val="double" w:sz="2" w:space="0" w:color="808080"/>
        </w:pBdr>
        <w:bidi w:val="0"/>
        <w:spacing w:before="0" w:after="283"/>
        <w:jc w:val="left"/>
      </w:pPr>
      <w:r/>
    </w:p>
    <w:p>
      <w:pPr>
        <w:pStyle w:val="TextBody"/>
        <w:bidi w:val="0"/>
        <w:spacing w:before="0" w:after="0"/>
        <w:ind w:left="0" w:right="0" w:hanging="0"/>
        <w:jc w:val="center"/>
      </w:pPr>
      <w:r>
        <w:t>​</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UNITED STATES</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SECURITIES AND EXCHANGE COMMISSION</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Washington, D.C. 20549</w:t>
      </w:r>
    </w:p>
    <w:p>
      <w:pPr>
        <w:pStyle w:val="TextBody"/>
        <w:bidi w:val="0"/>
        <w:spacing w:before="0" w:after="0"/>
        <w:ind w:left="0" w:right="0" w:hanging="0"/>
        <w:jc w:val="center"/>
      </w:pPr>
      <w:r>
        <w:t>​</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FORM 10-Q​</w:t>
      </w:r>
    </w:p>
    <w:p>
      <w:pPr>
        <w:pStyle w:val="TextBody"/>
        <w:bidi w:val="0"/>
        <w:spacing w:before="0" w:after="0"/>
        <w:ind w:left="0" w:right="0" w:hanging="0"/>
        <w:jc w:val="left"/>
        <w:rPr>
          <w:rFonts w:ascii="Times New Roman" w:hAnsi="Times New Roman"/>
          <w:sz w:val="20"/>
        </w:rPr>
      </w:pPr>
      <w:r>
        <w:rPr>
          <w:rFonts w:ascii="Times New Roman" w:hAnsi="Times New Roman"/>
          <w:sz w:val="20"/>
        </w:rPr>
        <w:t>(Mark One)</w:t>
      </w:r>
    </w:p>
    <w:p>
      <w:pPr>
        <w:pStyle w:val="TextBody"/>
        <w:bidi w:val="0"/>
        <w:spacing w:before="0" w:after="0"/>
        <w:ind w:left="0" w:right="0" w:hanging="0"/>
        <w:jc w:val="left"/>
      </w:pPr>
      <w:r>
        <w:t xml:space="preserve">☒ </w:t>
      </w:r>
      <w:r>
        <w:rPr>
          <w:rFonts w:ascii="Times New Roman" w:hAnsi="Times New Roman"/>
          <w:b/>
          <w:sz w:val="20"/>
        </w:rPr>
        <w:t>QUARTERLY REPORT PURSUANT TO SECTION 13 OR 15(d) OF THE SECURITIES EXCHANGE ACT OF 1934</w:t>
      </w:r>
    </w:p>
    <w:p>
      <w:pPr>
        <w:pStyle w:val="TextBody"/>
        <w:bidi w:val="0"/>
        <w:spacing w:before="0" w:after="0"/>
        <w:ind w:left="0" w:right="0" w:hanging="0"/>
        <w:jc w:val="center"/>
      </w:pPr>
      <w:r>
        <w:t>​</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For the quarterly period ended September 30, 2026</w:t>
      </w:r>
    </w:p>
    <w:p>
      <w:pPr>
        <w:pStyle w:val="TextBody"/>
        <w:bidi w:val="0"/>
        <w:spacing w:before="0" w:after="0"/>
        <w:ind w:left="0" w:right="0" w:hanging="0"/>
        <w:jc w:val="center"/>
      </w:pPr>
      <w:r>
        <w:t>​</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OR</w:t>
      </w:r>
    </w:p>
    <w:p>
      <w:pPr>
        <w:pStyle w:val="TextBody"/>
        <w:bidi w:val="0"/>
        <w:spacing w:before="0" w:after="0"/>
        <w:ind w:left="0" w:right="0" w:hanging="0"/>
        <w:jc w:val="center"/>
      </w:pPr>
      <w:r>
        <w:t>​</w:t>
      </w:r>
    </w:p>
    <w:p>
      <w:pPr>
        <w:pStyle w:val="TextBody"/>
        <w:bidi w:val="0"/>
        <w:spacing w:before="0" w:after="0"/>
        <w:ind w:left="0" w:right="0" w:hanging="0"/>
        <w:jc w:val="left"/>
      </w:pPr>
      <w:r>
        <w:t xml:space="preserve">☐ </w:t>
      </w:r>
      <w:r>
        <w:rPr>
          <w:rFonts w:ascii="Times New Roman" w:hAnsi="Times New Roman"/>
          <w:b/>
          <w:sz w:val="20"/>
        </w:rPr>
        <w:t>TRANSITION REPORT PURSUANT TO SECTION 13 OR 15(d) OF THE SECURITIES EXCHANGE ACT OF 1934</w:t>
      </w:r>
    </w:p>
    <w:p>
      <w:pPr>
        <w:pStyle w:val="TextBody"/>
        <w:bidi w:val="0"/>
        <w:spacing w:before="0" w:after="0"/>
        <w:ind w:left="0" w:right="0" w:hanging="0"/>
        <w:jc w:val="center"/>
      </w:pPr>
      <w:r>
        <w:t>​</w:t>
      </w:r>
    </w:p>
    <w:p>
      <w:pPr>
        <w:pStyle w:val="TextBody"/>
        <w:bidi w:val="0"/>
        <w:spacing w:before="0" w:after="0"/>
        <w:ind w:left="0" w:right="0" w:hanging="0"/>
        <w:jc w:val="center"/>
        <w:rPr>
          <w:rFonts w:ascii="Times New Roman" w:hAnsi="Times New Roman"/>
          <w:sz w:val="20"/>
        </w:rPr>
      </w:pPr>
      <w:r>
        <w:rPr>
          <w:rFonts w:ascii="Times New Roman" w:hAnsi="Times New Roman"/>
          <w:b/>
          <w:sz w:val="20"/>
        </w:rPr>
        <w:t xml:space="preserve">For the transition period from __________ to </w:t>
      </w:r>
      <w:r>
        <w:rPr>
          <w:rFonts w:ascii="Times New Roman" w:hAnsi="Times New Roman"/>
          <w:sz w:val="20"/>
        </w:rPr>
        <w:t>__________</w:t>
      </w:r>
    </w:p>
    <w:p>
      <w:pPr>
        <w:pStyle w:val="TextBody"/>
        <w:bidi w:val="0"/>
        <w:spacing w:before="0" w:after="0"/>
        <w:ind w:left="0" w:right="0" w:hanging="0"/>
        <w:jc w:val="center"/>
      </w:pPr>
      <w:r>
        <w:t>​</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Commission File Number: 001-36083</w:t>
      </w:r>
    </w:p>
    <w:p>
      <w:pPr>
        <w:pStyle w:val="TextBody"/>
        <w:bidi w:val="0"/>
        <w:spacing w:before="0" w:after="0"/>
        <w:ind w:left="0" w:right="0" w:hanging="0"/>
        <w:jc w:val="center"/>
      </w:pPr>
      <w:r>
        <w:t>​</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Applied Optoelectronics, Inc.</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ind w:left="0" w:right="0" w:hanging="0"/>
        <w:jc w:val="center"/>
      </w:pPr>
      <w:r>
        <w:t>​</w:t>
      </w:r>
    </w:p>
    <w:tbl>
      <w:tblPr>
        <w:tblW w:w="8140" w:type="dxa"/>
        <w:jc w:val="left"/>
        <w:tblInd w:w="0" w:type="dxa"/>
        <w:tblLayout w:type="fixed"/>
        <w:tblCellMar>
          <w:top w:w="0" w:type="dxa"/>
          <w:left w:w="0" w:type="dxa"/>
          <w:bottom w:w="0" w:type="dxa"/>
          <w:right w:w="0" w:type="dxa"/>
        </w:tblCellMar>
      </w:tblPr>
      <w:tblGrid>
        <w:gridCol w:w="5135"/>
        <w:gridCol w:w="3005"/>
      </w:tblGrid>
      <w:tr>
        <w:tc>
          <w:tcPr>
            <w:tcW w:w="5135"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Delaware</w:t>
            </w:r>
          </w:p>
        </w:tc>
        <w:tc>
          <w:tcPr>
            <w:tcW w:w="3005"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76-0533927</w:t>
            </w:r>
          </w:p>
        </w:tc>
      </w:tr>
      <w:tr>
        <w:tc>
          <w:tcPr>
            <w:tcW w:w="5135"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(State or other jurisdiction of incorporation or organization)</w:t>
            </w:r>
          </w:p>
        </w:tc>
        <w:tc>
          <w:tcPr>
            <w:tcW w:w="3005"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(I.R.S. Employer Identification No.)</w:t>
            </w:r>
          </w:p>
        </w:tc>
      </w:tr>
    </w:tbl>
    <w:p>
      <w:pPr>
        <w:pStyle w:val="TextBody"/>
        <w:bidi w:val="0"/>
        <w:spacing w:before="0" w:after="0"/>
        <w:ind w:left="0" w:right="0" w:hanging="0"/>
        <w:jc w:val="left"/>
      </w:pPr>
      <w:r>
        <w:t>​</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13139 Jess Pirtle Blvd.</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Sugar Land, TX 77478</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(Address of principal executive offices)</w:t>
      </w:r>
    </w:p>
    <w:p>
      <w:pPr>
        <w:pStyle w:val="TextBody"/>
        <w:bidi w:val="0"/>
        <w:spacing w:before="0" w:after="0"/>
        <w:ind w:left="0" w:right="0" w:hanging="0"/>
        <w:jc w:val="center"/>
      </w:pPr>
      <w:r>
        <w:t>​</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(281) 295-1800</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(Registrant’s telephone number)</w:t>
      </w:r>
    </w:p>
    <w:p>
      <w:pPr>
        <w:pStyle w:val="TextBody"/>
        <w:bidi w:val="0"/>
        <w:spacing w:before="0" w:after="0"/>
        <w:ind w:left="0" w:right="0" w:hanging="0"/>
        <w:jc w:val="left"/>
      </w:pPr>
      <w:r>
        <w:t>​</w:t>
      </w:r>
    </w:p>
    <w:p>
      <w:pPr>
        <w:pStyle w:val="TextBody"/>
        <w:bidi w:val="0"/>
        <w:spacing w:before="0" w:after="0"/>
        <w:ind w:left="0" w:right="0" w:firstLine="462"/>
        <w:jc w:val="both"/>
      </w:pPr>
      <w:r>
        <w:t> </w:t>
      </w:r>
    </w:p>
    <w:p>
      <w:pPr>
        <w:pStyle w:val="TextBody"/>
        <w:bidi w:val="0"/>
        <w:spacing w:before="0" w:after="0"/>
        <w:ind w:left="729" w:right="294" w:hanging="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ind w:left="0" w:right="0" w:hanging="0"/>
        <w:jc w:val="left"/>
      </w:pPr>
      <w:r>
        <w:t> </w:t>
      </w:r>
    </w:p>
    <w:tbl>
      <w:tblPr>
        <w:tblW w:w="7845" w:type="dxa"/>
        <w:jc w:val="left"/>
        <w:tblInd w:w="0" w:type="dxa"/>
        <w:tblLayout w:type="fixed"/>
        <w:tblCellMar>
          <w:top w:w="0" w:type="dxa"/>
          <w:left w:w="0" w:type="dxa"/>
          <w:bottom w:w="28" w:type="dxa"/>
          <w:right w:w="0" w:type="dxa"/>
        </w:tblCellMar>
      </w:tblPr>
      <w:tblGrid>
        <w:gridCol w:w="2735"/>
        <w:gridCol w:w="1535"/>
        <w:gridCol w:w="3575"/>
      </w:tblGrid>
      <w:tr>
        <w:tc>
          <w:tcPr>
            <w:tcW w:w="2735" w:type="dxa"/>
            <w:tcBorders>
              <w:bottom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Title of each class</w:t>
            </w:r>
          </w:p>
        </w:tc>
        <w:tc>
          <w:tcPr>
            <w:tcW w:w="1535" w:type="dxa"/>
            <w:tcBorders>
              <w:bottom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Trading Symbol(s)</w:t>
            </w:r>
          </w:p>
        </w:tc>
        <w:tc>
          <w:tcPr>
            <w:tcW w:w="3575" w:type="dxa"/>
            <w:tcBorders>
              <w:bottom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Name of each exchange on which registered</w:t>
            </w:r>
          </w:p>
        </w:tc>
      </w:tr>
      <w:tr>
        <w:tc>
          <w:tcPr>
            <w:tcW w:w="2735" w:type="dxa"/>
            <w:tcBorders/>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Common Stock, Par value $0.001</w:t>
            </w:r>
          </w:p>
        </w:tc>
        <w:tc>
          <w:tcPr>
            <w:tcW w:w="1535" w:type="dxa"/>
            <w:tcBorders/>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AAOI</w:t>
            </w:r>
          </w:p>
        </w:tc>
        <w:tc>
          <w:tcPr>
            <w:tcW w:w="3575" w:type="dxa"/>
            <w:tcBorders/>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NASDAQ Global Market</w:t>
            </w:r>
          </w:p>
        </w:tc>
      </w:tr>
    </w:tbl>
    <w:p>
      <w:pPr>
        <w:pStyle w:val="TextBody"/>
        <w:bidi w:val="0"/>
        <w:spacing w:before="0" w:after="0"/>
        <w:ind w:left="0" w:right="0" w:hanging="0"/>
        <w:jc w:val="left"/>
      </w:pPr>
      <w:r>
        <w:t> </w:t>
      </w:r>
    </w:p>
    <w:p>
      <w:pPr>
        <w:pStyle w:val="TextBody"/>
        <w:bidi w:val="0"/>
        <w:spacing w:before="0" w:after="0"/>
        <w:ind w:left="294" w:right="294" w:firstLine="462"/>
        <w:jc w:val="both"/>
        <w:rPr>
          <w:rFonts w:ascii="Times New Roman" w:hAnsi="Times New Roman"/>
          <w:sz w:val="20"/>
        </w:rPr>
      </w:pPr>
      <w:r>
        <w:rPr>
          <w:rFonts w:ascii="Times New Roman" w:hAnsi="Times New Roman"/>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bidi w:val="0"/>
        <w:spacing w:before="0" w:after="0"/>
        <w:ind w:left="0" w:right="0" w:hanging="0"/>
        <w:jc w:val="left"/>
      </w:pPr>
      <w:r>
        <w:t> </w:t>
      </w:r>
    </w:p>
    <w:p>
      <w:pPr>
        <w:pStyle w:val="TextBody"/>
        <w:bidi w:val="0"/>
        <w:spacing w:before="0" w:after="0"/>
        <w:ind w:left="294" w:right="294" w:firstLine="462"/>
        <w:jc w:val="both"/>
        <w:rPr>
          <w:rFonts w:ascii="Times New Roman" w:hAnsi="Times New Roman"/>
          <w:sz w:val="20"/>
        </w:rPr>
      </w:pPr>
      <w:r>
        <w:rPr>
          <w:rFonts w:ascii="Times New Roman" w:hAnsi="Times New Roman"/>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 </w:t>
      </w:r>
    </w:p>
    <w:p>
      <w:pPr>
        <w:pStyle w:val="TextBody"/>
        <w:bidi w:val="0"/>
        <w:spacing w:before="0" w:after="0"/>
        <w:ind w:left="0" w:right="0" w:hanging="0"/>
        <w:jc w:val="left"/>
      </w:pPr>
      <w:r>
        <w:t> </w:t>
      </w:r>
    </w:p>
    <w:p>
      <w:pPr>
        <w:pStyle w:val="TextBody"/>
        <w:bidi w:val="0"/>
        <w:spacing w:before="0" w:after="0"/>
        <w:ind w:left="294" w:right="294" w:firstLine="462"/>
        <w:jc w:val="both"/>
        <w:rPr>
          <w:rFonts w:ascii="Times New Roman" w:hAnsi="Times New Roman"/>
          <w:sz w:val="20"/>
        </w:rPr>
      </w:pPr>
      <w:r>
        <w:rPr>
          <w:rFonts w:ascii="Times New Roman" w:hAnsi="Times New Roman"/>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pPr>
      <w:r>
        <w:t> </w:t>
      </w:r>
    </w:p>
    <w:tbl>
      <w:tblPr>
        <w:tblW w:w="4625" w:type="dxa"/>
        <w:jc w:val="left"/>
        <w:tblInd w:w="0" w:type="dxa"/>
        <w:tblLayout w:type="fixed"/>
        <w:tblCellMar>
          <w:top w:w="0" w:type="dxa"/>
          <w:left w:w="0" w:type="dxa"/>
          <w:bottom w:w="0" w:type="dxa"/>
          <w:right w:w="0" w:type="dxa"/>
        </w:tblCellMar>
      </w:tblPr>
      <w:tblGrid>
        <w:gridCol w:w="60"/>
        <w:gridCol w:w="1820"/>
        <w:gridCol w:w="290"/>
        <w:gridCol w:w="2225"/>
        <w:gridCol w:w="230"/>
      </w:tblGrid>
      <w:tr>
        <w:tc>
          <w:tcPr>
            <w:tcW w:w="60" w:type="dxa"/>
            <w:tcBorders/>
            <w:vAlign w:val="center"/>
          </w:tcPr>
          <w:p>
            <w:pPr>
              <w:pStyle w:val="TableContents"/>
              <w:bidi w:val="0"/>
              <w:spacing w:before="0" w:after="0"/>
              <w:ind w:left="0" w:right="0" w:hanging="0"/>
              <w:jc w:val="left"/>
            </w:pPr>
            <w:r>
              <w:t> </w:t>
            </w:r>
          </w:p>
        </w:tc>
        <w:tc>
          <w:tcPr>
            <w:tcW w:w="182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Large accelerated filer</w:t>
            </w:r>
          </w:p>
        </w:tc>
        <w:tc>
          <w:tcPr>
            <w:tcW w:w="290" w:type="dxa"/>
            <w:tcBorders/>
            <w:vAlign w:val="center"/>
          </w:tcPr>
          <w:p>
            <w:pPr>
              <w:pStyle w:val="TableContents"/>
              <w:bidi w:val="0"/>
              <w:spacing w:before="0" w:after="283"/>
              <w:jc w:val="left"/>
            </w:pPr>
            <w:r>
              <w:t>☒</w:t>
            </w:r>
          </w:p>
        </w:tc>
        <w:tc>
          <w:tcPr>
            <w:tcW w:w="222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Accelerated filer</w:t>
            </w:r>
          </w:p>
        </w:tc>
        <w:tc>
          <w:tcPr>
            <w:tcW w:w="230" w:type="dxa"/>
            <w:tcBorders/>
            <w:vAlign w:val="center"/>
          </w:tcPr>
          <w:p>
            <w:pPr>
              <w:pStyle w:val="TableContents"/>
              <w:bidi w:val="0"/>
              <w:spacing w:before="0" w:after="283"/>
              <w:jc w:val="left"/>
            </w:pPr>
            <w:r>
              <w:t>☐</w:t>
            </w:r>
          </w:p>
        </w:tc>
      </w:tr>
      <w:tr>
        <w:tc>
          <w:tcPr>
            <w:tcW w:w="60" w:type="dxa"/>
            <w:tcBorders/>
            <w:vAlign w:val="center"/>
          </w:tcPr>
          <w:p>
            <w:pPr>
              <w:pStyle w:val="TableContents"/>
              <w:bidi w:val="0"/>
              <w:spacing w:before="0" w:after="0"/>
              <w:ind w:left="0" w:right="0" w:hanging="0"/>
              <w:jc w:val="left"/>
            </w:pPr>
            <w:r>
              <w:t> </w:t>
            </w:r>
          </w:p>
        </w:tc>
        <w:tc>
          <w:tcPr>
            <w:tcW w:w="182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Non-accelerated filer</w:t>
            </w:r>
          </w:p>
        </w:tc>
        <w:tc>
          <w:tcPr>
            <w:tcW w:w="290" w:type="dxa"/>
            <w:tcBorders/>
            <w:vAlign w:val="center"/>
          </w:tcPr>
          <w:p>
            <w:pPr>
              <w:pStyle w:val="TableContents"/>
              <w:bidi w:val="0"/>
              <w:spacing w:before="0" w:after="0"/>
              <w:ind w:left="0" w:right="0" w:hanging="0"/>
              <w:jc w:val="left"/>
            </w:pPr>
            <w:r>
              <w:t>☐ </w:t>
            </w:r>
          </w:p>
        </w:tc>
        <w:tc>
          <w:tcPr>
            <w:tcW w:w="222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Smaller reporting company</w:t>
            </w:r>
          </w:p>
        </w:tc>
        <w:tc>
          <w:tcPr>
            <w:tcW w:w="230" w:type="dxa"/>
            <w:tcBorders/>
            <w:vAlign w:val="center"/>
          </w:tcPr>
          <w:p>
            <w:pPr>
              <w:pStyle w:val="TableContents"/>
              <w:bidi w:val="0"/>
              <w:spacing w:before="0" w:after="0"/>
              <w:ind w:left="0" w:right="0" w:hanging="0"/>
              <w:jc w:val="left"/>
            </w:pPr>
            <w:r>
              <w:t>☐</w:t>
            </w:r>
          </w:p>
        </w:tc>
      </w:tr>
      <w:tr>
        <w:tc>
          <w:tcPr>
            <w:tcW w:w="60" w:type="dxa"/>
            <w:tcBorders/>
            <w:vAlign w:val="center"/>
          </w:tcPr>
          <w:p>
            <w:pPr>
              <w:pStyle w:val="TableContents"/>
              <w:bidi w:val="0"/>
              <w:spacing w:before="0" w:after="0"/>
              <w:ind w:left="0" w:right="0" w:hanging="0"/>
              <w:jc w:val="left"/>
            </w:pPr>
            <w:r>
              <w:t> </w:t>
            </w:r>
          </w:p>
        </w:tc>
        <w:tc>
          <w:tcPr>
            <w:tcW w:w="1820" w:type="dxa"/>
            <w:tcBorders/>
            <w:vAlign w:val="center"/>
          </w:tcPr>
          <w:p>
            <w:pPr>
              <w:pStyle w:val="TableContents"/>
              <w:bidi w:val="0"/>
              <w:spacing w:before="0" w:after="283"/>
              <w:jc w:val="left"/>
            </w:pPr>
            <w:r>
              <w:t> </w:t>
            </w:r>
          </w:p>
        </w:tc>
        <w:tc>
          <w:tcPr>
            <w:tcW w:w="290" w:type="dxa"/>
            <w:tcBorders/>
            <w:vAlign w:val="center"/>
          </w:tcPr>
          <w:p>
            <w:pPr>
              <w:pStyle w:val="TableContents"/>
              <w:bidi w:val="0"/>
              <w:spacing w:before="0" w:after="283"/>
              <w:jc w:val="left"/>
            </w:pPr>
            <w:r>
              <w:t> </w:t>
            </w:r>
          </w:p>
        </w:tc>
        <w:tc>
          <w:tcPr>
            <w:tcW w:w="222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Emerging growth company</w:t>
            </w:r>
          </w:p>
        </w:tc>
        <w:tc>
          <w:tcPr>
            <w:tcW w:w="230" w:type="dxa"/>
            <w:tcBorders/>
            <w:vAlign w:val="center"/>
          </w:tcPr>
          <w:p>
            <w:pPr>
              <w:pStyle w:val="TableContents"/>
              <w:bidi w:val="0"/>
              <w:spacing w:before="0" w:after="0"/>
              <w:ind w:left="0" w:right="0" w:hanging="0"/>
              <w:jc w:val="left"/>
            </w:pPr>
            <w:r>
              <w:t>☐</w:t>
            </w:r>
          </w:p>
        </w:tc>
      </w:tr>
    </w:tbl>
    <w:p>
      <w:pPr>
        <w:pStyle w:val="TextBody"/>
        <w:bidi w:val="0"/>
        <w:spacing w:before="0" w:after="0"/>
        <w:ind w:left="0" w:right="0" w:hanging="0"/>
        <w:jc w:val="left"/>
      </w:pPr>
      <w:r>
        <w:t> </w:t>
      </w:r>
    </w:p>
    <w:p>
      <w:pPr>
        <w:pStyle w:val="TextBody"/>
        <w:bidi w:val="0"/>
        <w:spacing w:before="0" w:after="0"/>
        <w:ind w:left="294" w:right="294" w:firstLine="462"/>
        <w:jc w:val="both"/>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ind w:left="0" w:right="0" w:hanging="0"/>
        <w:jc w:val="left"/>
      </w:pPr>
      <w:r>
        <w:t> </w:t>
      </w:r>
    </w:p>
    <w:p>
      <w:pPr>
        <w:pStyle w:val="TextBody"/>
        <w:bidi w:val="0"/>
        <w:spacing w:before="0" w:after="0"/>
        <w:ind w:left="294" w:right="294" w:firstLine="462"/>
        <w:jc w:val="both"/>
        <w:rPr>
          <w:rFonts w:ascii="Times New Roman" w:hAnsi="Times New Roman"/>
          <w:sz w:val="20"/>
        </w:rPr>
      </w:pPr>
      <w:r>
        <w:rPr>
          <w:rFonts w:ascii="Times New Roman" w:hAnsi="Times New Roman"/>
          <w:sz w:val="20"/>
        </w:rPr>
        <w:t>Indicate by check mark whether the registrant is a shell company (as defined in Rule 12b-2 of the Exchange Act).                                       Yes ☐  No ☒</w:t>
      </w:r>
    </w:p>
    <w:p>
      <w:pPr>
        <w:pStyle w:val="TextBody"/>
        <w:bidi w:val="0"/>
        <w:spacing w:before="0" w:after="0"/>
        <w:ind w:left="0" w:right="0" w:hanging="0"/>
        <w:jc w:val="left"/>
      </w:pPr>
      <w:r>
        <w:t> </w:t>
      </w:r>
    </w:p>
    <w:p>
      <w:pPr>
        <w:pStyle w:val="TextBody"/>
        <w:bidi w:val="0"/>
        <w:spacing w:before="0" w:after="0"/>
        <w:ind w:left="294" w:right="294" w:firstLine="461"/>
        <w:jc w:val="both"/>
        <w:rPr>
          <w:rFonts w:ascii="Times New Roman" w:hAnsi="Times New Roman"/>
          <w:sz w:val="20"/>
        </w:rPr>
      </w:pPr>
      <w:r>
        <w:rPr>
          <w:rFonts w:ascii="Times New Roman" w:hAnsi="Times New Roman"/>
          <w:sz w:val="20"/>
        </w:rPr>
        <w:t xml:space="preserve">As of </w:t>
      </w:r>
      <w:r>
        <w:rPr>
          <w:rFonts w:ascii="Times New Roman" w:hAnsi="Times New Roman"/>
          <w:color w:val="000000"/>
          <w:sz w:val="20"/>
        </w:rPr>
        <w:t>November 2, 2026</w:t>
      </w:r>
      <w:r>
        <w:rPr>
          <w:rFonts w:ascii="Times New Roman" w:hAnsi="Times New Roman"/>
          <w:sz w:val="20"/>
        </w:rPr>
        <w:t>, there w</w:t>
      </w:r>
      <w:r>
        <w:rPr>
          <w:rFonts w:ascii="Times New Roman" w:hAnsi="Times New Roman"/>
          <w:sz w:val="20"/>
          <w:shd w:fill="FFFFFF" w:val="clear"/>
        </w:rPr>
        <w:t xml:space="preserve">ere </w:t>
      </w:r>
      <w:r>
        <w:rPr>
          <w:rFonts w:ascii="Times New Roman" w:hAnsi="Times New Roman"/>
          <w:color w:val="000000"/>
          <w:sz w:val="20"/>
          <w:shd w:fill="FFFFFF" w:val="clear"/>
        </w:rPr>
        <w:t>90,770,732 </w:t>
      </w:r>
      <w:r>
        <w:rPr>
          <w:rFonts w:ascii="Times New Roman" w:hAnsi="Times New Roman"/>
          <w:sz w:val="20"/>
          <w:shd w:fill="FFFFFF" w:val="clear"/>
        </w:rPr>
        <w:t>sh</w:t>
      </w:r>
      <w:r>
        <w:rPr>
          <w:rFonts w:ascii="Times New Roman" w:hAnsi="Times New Roman"/>
          <w:sz w:val="20"/>
        </w:rPr>
        <w:t>ares of the registrant’s Common Stock outstanding.</w:t>
      </w:r>
    </w:p>
    <w:p>
      <w:pPr>
        <w:pStyle w:val="TextBody"/>
        <w:bidi w:val="0"/>
        <w:spacing w:before="0" w:after="0"/>
        <w:ind w:left="0" w:right="0" w:hanging="0"/>
        <w:jc w:val="left"/>
      </w:pPr>
      <w: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 </w:t>
      </w:r>
    </w:p>
    <w:p>
      <w:pPr>
        <w:pStyle w:val="HorizontalLine"/>
        <w:pBdr>
          <w:bottom w:val="double" w:sz="2" w:space="0" w:color="808080"/>
        </w:pBdr>
        <w:bidi w:val="0"/>
        <w:spacing w:before="0" w:after="283"/>
        <w:jc w:val="left"/>
      </w:pPr>
      <w:r/>
    </w:p>
    <w:p>
      <w:pPr>
        <w:pStyle w:val="TextBody"/>
        <w:bidi w:val="0"/>
        <w:jc w:val="left"/>
      </w:pPr>
      <w:hyperlink w:anchor="toc">
        <w:r>
          <w:rPr>
            <w:rStyle w:val="InternetLink"/>
            <w:rFonts w:ascii="Times New Roman;Times;serif" w:hAnsi="Times New Roman;Times;serif"/>
            <w:sz w:val="20"/>
          </w:rPr>
          <w:t>Table of Contents</w:t>
        </w:r>
      </w:hyperlink>
      <w:r>
        <w:t xml:space="preserve"> </w:t>
      </w:r>
    </w:p>
    <w:p>
      <w:pPr>
        <w:pStyle w:val="TextBody"/>
        <w:bidi w:val="0"/>
        <w:spacing w:before="0" w:after="0"/>
        <w:ind w:left="0" w:right="0" w:hanging="0"/>
        <w:jc w:val="left"/>
      </w:pPr>
      <w:r>
        <w:t> </w:t>
      </w:r>
    </w:p>
    <w:p>
      <w:pPr>
        <w:pStyle w:val="TextBody"/>
        <w:bidi w:val="0"/>
        <w:spacing w:before="0" w:after="283"/>
        <w:jc w:val="left"/>
      </w:pPr>
      <w: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Applied Optoelectronics, Inc.</w:t>
      </w:r>
    </w:p>
    <w:p>
      <w:pPr>
        <w:pStyle w:val="TextBody"/>
        <w:bidi w:val="0"/>
        <w:spacing w:before="0" w:after="0"/>
        <w:ind w:left="0" w:right="0" w:hanging="0"/>
        <w:jc w:val="center"/>
        <w:rPr>
          <w:rFonts w:ascii="Times New Roman;Times;serif" w:hAnsi="Times New Roman;Times;serif"/>
          <w:b/>
          <w:sz w:val="20"/>
        </w:rPr>
      </w:pPr>
      <w:bookmarkStart w:id="2" w:name="toc"/>
      <w:bookmarkEnd w:id="2"/>
      <w:r>
        <w:rPr>
          <w:rFonts w:ascii="Times New Roman;Times;serif" w:hAnsi="Times New Roman;Times;serif"/>
          <w:b/>
          <w:sz w:val="20"/>
        </w:rPr>
        <w:t>Table of Contents</w:t>
      </w:r>
    </w:p>
    <w:p>
      <w:pPr>
        <w:pStyle w:val="TextBody"/>
        <w:bidi w:val="0"/>
        <w:spacing w:before="0" w:after="0"/>
        <w:ind w:left="0" w:right="0" w:hanging="0"/>
        <w:jc w:val="center"/>
      </w:pPr>
      <w:r>
        <w:t>​</w:t>
      </w:r>
    </w:p>
    <w:tbl>
      <w:tblPr>
        <w:tblW w:w="10205" w:type="dxa"/>
        <w:jc w:val="left"/>
        <w:tblInd w:w="0" w:type="dxa"/>
        <w:tblLayout w:type="fixed"/>
        <w:tblCellMar>
          <w:top w:w="0" w:type="dxa"/>
          <w:left w:w="0" w:type="dxa"/>
          <w:bottom w:w="0" w:type="dxa"/>
          <w:right w:w="0" w:type="dxa"/>
        </w:tblCellMar>
      </w:tblPr>
      <w:tblGrid>
        <w:gridCol w:w="632"/>
        <w:gridCol w:w="9162"/>
        <w:gridCol w:w="411"/>
      </w:tblGrid>
      <w:tr>
        <w:tc>
          <w:tcPr>
            <w:tcW w:w="632" w:type="dxa"/>
            <w:tcBorders/>
            <w:vAlign w:val="center"/>
          </w:tcPr>
          <w:p>
            <w:pPr>
              <w:pStyle w:val="TableContents"/>
              <w:bidi w:val="0"/>
              <w:spacing w:before="0" w:after="283"/>
              <w:jc w:val="left"/>
            </w:pPr>
            <w:r>
              <w:t> </w:t>
            </w:r>
          </w:p>
        </w:tc>
        <w:tc>
          <w:tcPr>
            <w:tcW w:w="9162" w:type="dxa"/>
            <w:tcBorders/>
            <w:vAlign w:val="center"/>
          </w:tcPr>
          <w:p>
            <w:pPr>
              <w:pStyle w:val="TableContents"/>
              <w:bidi w:val="0"/>
              <w:spacing w:before="0" w:after="283"/>
              <w:jc w:val="left"/>
            </w:pPr>
            <w:r>
              <w:t> </w:t>
            </w:r>
          </w:p>
        </w:tc>
        <w:tc>
          <w:tcPr>
            <w:tcW w:w="4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Page</w:t>
            </w:r>
          </w:p>
        </w:tc>
      </w:tr>
      <w:tr>
        <w:tc>
          <w:tcPr>
            <w:tcW w:w="10205" w:type="dxa"/>
            <w:gridSpan w:val="3"/>
            <w:tcBorders/>
            <w:vAlign w:val="center"/>
          </w:tcPr>
          <w:p>
            <w:pPr>
              <w:pStyle w:val="TableContents"/>
              <w:bidi w:val="0"/>
              <w:spacing w:before="0" w:after="0"/>
              <w:ind w:left="0" w:right="0" w:hanging="0"/>
              <w:jc w:val="left"/>
            </w:pPr>
            <w:hyperlink w:anchor="part1">
              <w:r>
                <w:rPr>
                  <w:rStyle w:val="InternetLink"/>
                  <w:rFonts w:ascii="Times New Roman;Times;serif" w:hAnsi="Times New Roman;Times;serif"/>
                  <w:b/>
                  <w:sz w:val="20"/>
                </w:rPr>
                <w:t>Part I. Financial Information</w:t>
              </w:r>
            </w:hyperlink>
          </w:p>
        </w:tc>
      </w:tr>
      <w:tr>
        <w:tc>
          <w:tcPr>
            <w:tcW w:w="632" w:type="dxa"/>
            <w:tcBorders/>
            <w:vAlign w:val="center"/>
          </w:tcPr>
          <w:p>
            <w:pPr>
              <w:pStyle w:val="TableContents"/>
              <w:bidi w:val="0"/>
              <w:spacing w:before="0" w:after="283"/>
              <w:jc w:val="left"/>
            </w:pPr>
            <w:r>
              <w:t> </w:t>
            </w:r>
          </w:p>
        </w:tc>
        <w:tc>
          <w:tcPr>
            <w:tcW w:w="9162" w:type="dxa"/>
            <w:tcBorders/>
            <w:vAlign w:val="center"/>
          </w:tcPr>
          <w:p>
            <w:pPr>
              <w:pStyle w:val="TableContents"/>
              <w:bidi w:val="0"/>
              <w:spacing w:before="0" w:after="283"/>
              <w:jc w:val="left"/>
            </w:pPr>
            <w:r>
              <w:t> </w:t>
            </w:r>
          </w:p>
        </w:tc>
        <w:tc>
          <w:tcPr>
            <w:tcW w:w="411" w:type="dxa"/>
            <w:tcBorders/>
            <w:vAlign w:val="center"/>
          </w:tcPr>
          <w:p>
            <w:pPr>
              <w:pStyle w:val="TableContents"/>
              <w:bidi w:val="0"/>
              <w:spacing w:before="0" w:after="0"/>
              <w:ind w:left="0" w:right="0" w:hanging="0"/>
              <w:jc w:val="right"/>
            </w:pPr>
            <w:r>
              <w:t> </w:t>
            </w:r>
          </w:p>
        </w:tc>
      </w:tr>
      <w:tr>
        <w:tc>
          <w:tcPr>
            <w:tcW w:w="6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1.</w:t>
            </w:r>
          </w:p>
        </w:tc>
        <w:tc>
          <w:tcPr>
            <w:tcW w:w="9162" w:type="dxa"/>
            <w:tcBorders/>
            <w:vAlign w:val="center"/>
          </w:tcPr>
          <w:p>
            <w:pPr>
              <w:pStyle w:val="TableContents"/>
              <w:bidi w:val="0"/>
              <w:spacing w:before="0" w:after="0"/>
              <w:ind w:left="0" w:right="0" w:hanging="0"/>
              <w:jc w:val="left"/>
            </w:pPr>
            <w:hyperlink w:anchor="item1">
              <w:r>
                <w:rPr>
                  <w:rStyle w:val="InternetLink"/>
                  <w:rFonts w:ascii="Times New Roman;Times;serif" w:hAnsi="Times New Roman;Times;serif"/>
                  <w:sz w:val="20"/>
                </w:rPr>
                <w:t>Condensed Consolidated Financial Statements (Unaudited)</w:t>
              </w:r>
            </w:hyperlink>
          </w:p>
        </w:tc>
        <w:tc>
          <w:tcPr>
            <w:tcW w:w="411" w:type="dxa"/>
            <w:tcBorders/>
            <w:vAlign w:val="center"/>
          </w:tcPr>
          <w:p>
            <w:pPr>
              <w:pStyle w:val="TableContents"/>
              <w:bidi w:val="0"/>
              <w:spacing w:before="0" w:after="0"/>
              <w:ind w:left="0" w:right="0" w:hanging="0"/>
              <w:jc w:val="right"/>
            </w:pPr>
            <w:hyperlink w:anchor="item1">
              <w:r>
                <w:rPr>
                  <w:rStyle w:val="InternetLink"/>
                  <w:rFonts w:ascii="Times New Roman;Times;serif" w:hAnsi="Times New Roman;Times;serif"/>
                  <w:sz w:val="20"/>
                </w:rPr>
                <w:t>3</w:t>
              </w:r>
            </w:hyperlink>
          </w:p>
        </w:tc>
      </w:tr>
      <w:tr>
        <w:tc>
          <w:tcPr>
            <w:tcW w:w="632" w:type="dxa"/>
            <w:tcBorders/>
            <w:vAlign w:val="center"/>
          </w:tcPr>
          <w:p>
            <w:pPr>
              <w:pStyle w:val="TableContents"/>
              <w:bidi w:val="0"/>
              <w:spacing w:before="0" w:after="283"/>
              <w:jc w:val="left"/>
            </w:pPr>
            <w:r>
              <w:t> </w:t>
            </w:r>
          </w:p>
        </w:tc>
        <w:tc>
          <w:tcPr>
            <w:tcW w:w="9162" w:type="dxa"/>
            <w:tcBorders/>
            <w:vAlign w:val="center"/>
          </w:tcPr>
          <w:p>
            <w:pPr>
              <w:pStyle w:val="TableContents"/>
              <w:bidi w:val="0"/>
              <w:spacing w:before="0" w:after="283"/>
              <w:jc w:val="left"/>
            </w:pPr>
            <w:r>
              <w:t> </w:t>
            </w:r>
          </w:p>
        </w:tc>
        <w:tc>
          <w:tcPr>
            <w:tcW w:w="411" w:type="dxa"/>
            <w:tcBorders/>
            <w:vAlign w:val="center"/>
          </w:tcPr>
          <w:p>
            <w:pPr>
              <w:pStyle w:val="TableContents"/>
              <w:bidi w:val="0"/>
              <w:spacing w:before="0" w:after="0"/>
              <w:ind w:left="0" w:right="0" w:hanging="0"/>
              <w:jc w:val="right"/>
            </w:pPr>
            <w:r>
              <w:t> </w:t>
            </w:r>
          </w:p>
        </w:tc>
      </w:tr>
      <w:tr>
        <w:tc>
          <w:tcPr>
            <w:tcW w:w="632" w:type="dxa"/>
            <w:tcBorders/>
            <w:vAlign w:val="center"/>
          </w:tcPr>
          <w:p>
            <w:pPr>
              <w:pStyle w:val="TableContents"/>
              <w:bidi w:val="0"/>
              <w:spacing w:before="0" w:after="283"/>
              <w:jc w:val="left"/>
            </w:pPr>
            <w:r>
              <w:t> </w:t>
            </w:r>
          </w:p>
        </w:tc>
        <w:tc>
          <w:tcPr>
            <w:tcW w:w="9162" w:type="dxa"/>
            <w:tcBorders/>
            <w:vAlign w:val="center"/>
          </w:tcPr>
          <w:p>
            <w:pPr>
              <w:pStyle w:val="TableContents"/>
              <w:bidi w:val="0"/>
              <w:spacing w:before="0" w:after="0"/>
              <w:ind w:left="0" w:right="0" w:hanging="0"/>
              <w:jc w:val="left"/>
            </w:pPr>
            <w:hyperlink w:anchor="bs">
              <w:r>
                <w:rPr>
                  <w:rStyle w:val="InternetLink"/>
                  <w:rFonts w:ascii="Times New Roman;Times;serif" w:hAnsi="Times New Roman;Times;serif"/>
                  <w:sz w:val="20"/>
                </w:rPr>
                <w:t>Condensed Consolidated Balance Sheets as of September 30, 2026 (Unaudited) and December 31, 2025</w:t>
              </w:r>
            </w:hyperlink>
          </w:p>
        </w:tc>
        <w:tc>
          <w:tcPr>
            <w:tcW w:w="411" w:type="dxa"/>
            <w:tcBorders/>
            <w:vAlign w:val="center"/>
          </w:tcPr>
          <w:p>
            <w:pPr>
              <w:pStyle w:val="TableContents"/>
              <w:bidi w:val="0"/>
              <w:spacing w:before="0" w:after="0"/>
              <w:ind w:left="0" w:right="0" w:hanging="0"/>
              <w:jc w:val="right"/>
            </w:pPr>
            <w:hyperlink w:anchor="bs">
              <w:r>
                <w:rPr>
                  <w:rStyle w:val="InternetLink"/>
                  <w:rFonts w:ascii="Times New Roman;Times;serif" w:hAnsi="Times New Roman;Times;serif"/>
                  <w:sz w:val="20"/>
                </w:rPr>
                <w:t>3</w:t>
              </w:r>
            </w:hyperlink>
          </w:p>
        </w:tc>
      </w:tr>
      <w:tr>
        <w:tc>
          <w:tcPr>
            <w:tcW w:w="632" w:type="dxa"/>
            <w:tcBorders/>
            <w:vAlign w:val="center"/>
          </w:tcPr>
          <w:p>
            <w:pPr>
              <w:pStyle w:val="TableContents"/>
              <w:bidi w:val="0"/>
              <w:spacing w:before="0" w:after="283"/>
              <w:jc w:val="left"/>
            </w:pPr>
            <w:r>
              <w:t> </w:t>
            </w:r>
          </w:p>
        </w:tc>
        <w:tc>
          <w:tcPr>
            <w:tcW w:w="9162" w:type="dxa"/>
            <w:tcBorders/>
            <w:vAlign w:val="center"/>
          </w:tcPr>
          <w:p>
            <w:pPr>
              <w:pStyle w:val="TableContents"/>
              <w:bidi w:val="0"/>
              <w:spacing w:before="0" w:after="283"/>
              <w:jc w:val="left"/>
            </w:pPr>
            <w:r>
              <w:t> </w:t>
            </w:r>
          </w:p>
        </w:tc>
        <w:tc>
          <w:tcPr>
            <w:tcW w:w="411" w:type="dxa"/>
            <w:tcBorders/>
            <w:vAlign w:val="center"/>
          </w:tcPr>
          <w:p>
            <w:pPr>
              <w:pStyle w:val="TableContents"/>
              <w:bidi w:val="0"/>
              <w:spacing w:before="0" w:after="0"/>
              <w:ind w:left="0" w:right="0" w:hanging="0"/>
              <w:jc w:val="right"/>
            </w:pPr>
            <w:r>
              <w:t> </w:t>
            </w:r>
          </w:p>
        </w:tc>
      </w:tr>
      <w:tr>
        <w:tc>
          <w:tcPr>
            <w:tcW w:w="632" w:type="dxa"/>
            <w:tcBorders/>
            <w:vAlign w:val="center"/>
          </w:tcPr>
          <w:p>
            <w:pPr>
              <w:pStyle w:val="TableContents"/>
              <w:bidi w:val="0"/>
              <w:spacing w:before="0" w:after="283"/>
              <w:jc w:val="left"/>
            </w:pPr>
            <w:r>
              <w:t> </w:t>
            </w:r>
          </w:p>
        </w:tc>
        <w:tc>
          <w:tcPr>
            <w:tcW w:w="9162" w:type="dxa"/>
            <w:tcBorders/>
            <w:vAlign w:val="center"/>
          </w:tcPr>
          <w:p>
            <w:pPr>
              <w:pStyle w:val="TableContents"/>
              <w:bidi w:val="0"/>
              <w:spacing w:before="0" w:after="0"/>
              <w:ind w:left="0" w:right="0" w:hanging="0"/>
              <w:jc w:val="left"/>
            </w:pPr>
            <w:hyperlink w:anchor="ops">
              <w:r>
                <w:rPr>
                  <w:rStyle w:val="InternetLink"/>
                  <w:rFonts w:ascii="Times New Roman;Times;serif" w:hAnsi="Times New Roman;Times;serif"/>
                  <w:sz w:val="20"/>
                </w:rPr>
                <w:t>Condensed Consolidated Statements of Operations for the Three and Nine Months ended September 30, 2026 and 2025 (Unaudited)</w:t>
              </w:r>
            </w:hyperlink>
          </w:p>
        </w:tc>
        <w:tc>
          <w:tcPr>
            <w:tcW w:w="411" w:type="dxa"/>
            <w:tcBorders/>
            <w:vAlign w:val="center"/>
          </w:tcPr>
          <w:p>
            <w:pPr>
              <w:pStyle w:val="TableContents"/>
              <w:bidi w:val="0"/>
              <w:spacing w:before="0" w:after="0"/>
              <w:ind w:left="0" w:right="0" w:hanging="0"/>
              <w:jc w:val="right"/>
            </w:pPr>
            <w:hyperlink w:anchor="ops">
              <w:r>
                <w:rPr>
                  <w:rStyle w:val="InternetLink"/>
                  <w:rFonts w:ascii="Times New Roman;Times;serif" w:hAnsi="Times New Roman;Times;serif"/>
                  <w:sz w:val="20"/>
                </w:rPr>
                <w:t>4</w:t>
              </w:r>
            </w:hyperlink>
          </w:p>
        </w:tc>
      </w:tr>
      <w:tr>
        <w:tc>
          <w:tcPr>
            <w:tcW w:w="632" w:type="dxa"/>
            <w:tcBorders/>
            <w:vAlign w:val="center"/>
          </w:tcPr>
          <w:p>
            <w:pPr>
              <w:pStyle w:val="TableContents"/>
              <w:bidi w:val="0"/>
              <w:spacing w:before="0" w:after="283"/>
              <w:jc w:val="left"/>
            </w:pPr>
            <w:r>
              <w:t> </w:t>
            </w:r>
          </w:p>
        </w:tc>
        <w:tc>
          <w:tcPr>
            <w:tcW w:w="9162" w:type="dxa"/>
            <w:tcBorders/>
            <w:vAlign w:val="center"/>
          </w:tcPr>
          <w:p>
            <w:pPr>
              <w:pStyle w:val="TableContents"/>
              <w:bidi w:val="0"/>
              <w:spacing w:before="0" w:after="283"/>
              <w:jc w:val="left"/>
            </w:pPr>
            <w:r>
              <w:t> </w:t>
            </w:r>
          </w:p>
        </w:tc>
        <w:tc>
          <w:tcPr>
            <w:tcW w:w="411" w:type="dxa"/>
            <w:tcBorders/>
            <w:vAlign w:val="center"/>
          </w:tcPr>
          <w:p>
            <w:pPr>
              <w:pStyle w:val="TableContents"/>
              <w:bidi w:val="0"/>
              <w:spacing w:before="0" w:after="0"/>
              <w:ind w:left="0" w:right="0" w:hanging="0"/>
              <w:jc w:val="right"/>
            </w:pPr>
            <w:r>
              <w:t> </w:t>
            </w:r>
          </w:p>
        </w:tc>
      </w:tr>
      <w:tr>
        <w:tc>
          <w:tcPr>
            <w:tcW w:w="632" w:type="dxa"/>
            <w:tcBorders/>
            <w:vAlign w:val="center"/>
          </w:tcPr>
          <w:p>
            <w:pPr>
              <w:pStyle w:val="TableContents"/>
              <w:bidi w:val="0"/>
              <w:spacing w:before="0" w:after="283"/>
              <w:jc w:val="left"/>
            </w:pPr>
            <w:r>
              <w:t> </w:t>
            </w:r>
          </w:p>
        </w:tc>
        <w:tc>
          <w:tcPr>
            <w:tcW w:w="9162" w:type="dxa"/>
            <w:tcBorders/>
            <w:vAlign w:val="center"/>
          </w:tcPr>
          <w:p>
            <w:pPr>
              <w:pStyle w:val="TableContents"/>
              <w:bidi w:val="0"/>
              <w:spacing w:before="0" w:after="0"/>
              <w:ind w:left="0" w:right="0" w:hanging="0"/>
              <w:jc w:val="left"/>
            </w:pPr>
            <w:hyperlink w:anchor="compincome">
              <w:r>
                <w:rPr>
                  <w:rStyle w:val="InternetLink"/>
                  <w:rFonts w:ascii="Times New Roman;Times;serif" w:hAnsi="Times New Roman;Times;serif"/>
                  <w:sz w:val="20"/>
                </w:rPr>
                <w:t>Condensed Consolidated Statements of Comprehensive Income (Loss) for the Three and Nine Months ended September 30, 2026 and 2025 (Unaudited)</w:t>
              </w:r>
            </w:hyperlink>
          </w:p>
        </w:tc>
        <w:tc>
          <w:tcPr>
            <w:tcW w:w="411" w:type="dxa"/>
            <w:tcBorders/>
            <w:vAlign w:val="center"/>
          </w:tcPr>
          <w:p>
            <w:pPr>
              <w:pStyle w:val="TableContents"/>
              <w:bidi w:val="0"/>
              <w:spacing w:before="0" w:after="0"/>
              <w:ind w:left="0" w:right="0" w:hanging="0"/>
              <w:jc w:val="right"/>
            </w:pPr>
            <w:hyperlink w:anchor="compincome">
              <w:r>
                <w:rPr>
                  <w:rStyle w:val="InternetLink"/>
                  <w:rFonts w:ascii="Times New Roman;Times;serif" w:hAnsi="Times New Roman;Times;serif"/>
                  <w:sz w:val="20"/>
                </w:rPr>
                <w:t>5</w:t>
              </w:r>
            </w:hyperlink>
          </w:p>
        </w:tc>
      </w:tr>
      <w:tr>
        <w:tc>
          <w:tcPr>
            <w:tcW w:w="632" w:type="dxa"/>
            <w:tcBorders/>
            <w:vAlign w:val="center"/>
          </w:tcPr>
          <w:p>
            <w:pPr>
              <w:pStyle w:val="TableContents"/>
              <w:bidi w:val="0"/>
              <w:spacing w:before="0" w:after="283"/>
              <w:jc w:val="left"/>
            </w:pPr>
            <w:r>
              <w:t> </w:t>
            </w:r>
          </w:p>
        </w:tc>
        <w:tc>
          <w:tcPr>
            <w:tcW w:w="9162" w:type="dxa"/>
            <w:tcBorders/>
            <w:vAlign w:val="center"/>
          </w:tcPr>
          <w:p>
            <w:pPr>
              <w:pStyle w:val="TableContents"/>
              <w:bidi w:val="0"/>
              <w:spacing w:before="0" w:after="283"/>
              <w:jc w:val="left"/>
            </w:pPr>
            <w:r>
              <w:t> </w:t>
            </w:r>
          </w:p>
        </w:tc>
        <w:tc>
          <w:tcPr>
            <w:tcW w:w="411" w:type="dxa"/>
            <w:tcBorders/>
            <w:vAlign w:val="center"/>
          </w:tcPr>
          <w:p>
            <w:pPr>
              <w:pStyle w:val="TableContents"/>
              <w:bidi w:val="0"/>
              <w:spacing w:before="0" w:after="0"/>
              <w:ind w:left="0" w:right="0" w:hanging="0"/>
              <w:jc w:val="right"/>
            </w:pPr>
            <w:r>
              <w:t> </w:t>
            </w:r>
          </w:p>
        </w:tc>
      </w:tr>
      <w:tr>
        <w:tc>
          <w:tcPr>
            <w:tcW w:w="632" w:type="dxa"/>
            <w:tcBorders/>
            <w:vAlign w:val="center"/>
          </w:tcPr>
          <w:p>
            <w:pPr>
              <w:pStyle w:val="TableContents"/>
              <w:bidi w:val="0"/>
              <w:spacing w:before="0" w:after="283"/>
              <w:jc w:val="left"/>
            </w:pPr>
            <w:r>
              <w:t> </w:t>
            </w:r>
          </w:p>
        </w:tc>
        <w:tc>
          <w:tcPr>
            <w:tcW w:w="9162" w:type="dxa"/>
            <w:tcBorders/>
            <w:vAlign w:val="center"/>
          </w:tcPr>
          <w:p>
            <w:pPr>
              <w:pStyle w:val="TableContents"/>
              <w:bidi w:val="0"/>
              <w:spacing w:before="0" w:after="0"/>
              <w:ind w:left="0" w:right="0" w:hanging="0"/>
              <w:jc w:val="left"/>
            </w:pPr>
            <w:hyperlink w:anchor="eq">
              <w:r>
                <w:rPr>
                  <w:rStyle w:val="InternetLink"/>
                  <w:rFonts w:ascii="Times New Roman;Times;serif" w:hAnsi="Times New Roman;Times;serif"/>
                  <w:sz w:val="20"/>
                </w:rPr>
                <w:t>Condensed Consolidated Statements of Stockholders’ Equity for the Three and Nine Months ended September 30, 2026 and 2025 (Unaudited)</w:t>
              </w:r>
            </w:hyperlink>
          </w:p>
        </w:tc>
        <w:tc>
          <w:tcPr>
            <w:tcW w:w="411" w:type="dxa"/>
            <w:tcBorders/>
            <w:vAlign w:val="center"/>
          </w:tcPr>
          <w:p>
            <w:pPr>
              <w:pStyle w:val="TableContents"/>
              <w:bidi w:val="0"/>
              <w:spacing w:before="0" w:after="0"/>
              <w:ind w:left="0" w:right="0" w:hanging="0"/>
              <w:jc w:val="right"/>
            </w:pPr>
            <w:hyperlink w:anchor="eq">
              <w:r>
                <w:rPr>
                  <w:rStyle w:val="InternetLink"/>
                  <w:rFonts w:ascii="Times New Roman;Times;serif" w:hAnsi="Times New Roman;Times;serif"/>
                  <w:sz w:val="20"/>
                </w:rPr>
                <w:t>6</w:t>
              </w:r>
            </w:hyperlink>
          </w:p>
        </w:tc>
      </w:tr>
      <w:tr>
        <w:tc>
          <w:tcPr>
            <w:tcW w:w="632" w:type="dxa"/>
            <w:tcBorders/>
            <w:vAlign w:val="center"/>
          </w:tcPr>
          <w:p>
            <w:pPr>
              <w:pStyle w:val="TableContents"/>
              <w:bidi w:val="0"/>
              <w:spacing w:before="0" w:after="283"/>
              <w:jc w:val="left"/>
            </w:pPr>
            <w:r>
              <w:t> </w:t>
            </w:r>
          </w:p>
        </w:tc>
        <w:tc>
          <w:tcPr>
            <w:tcW w:w="9162" w:type="dxa"/>
            <w:tcBorders/>
            <w:vAlign w:val="center"/>
          </w:tcPr>
          <w:p>
            <w:pPr>
              <w:pStyle w:val="TableContents"/>
              <w:bidi w:val="0"/>
              <w:spacing w:before="0" w:after="283"/>
              <w:jc w:val="left"/>
            </w:pPr>
            <w:r>
              <w:t> </w:t>
            </w:r>
          </w:p>
        </w:tc>
        <w:tc>
          <w:tcPr>
            <w:tcW w:w="411" w:type="dxa"/>
            <w:tcBorders/>
            <w:vAlign w:val="center"/>
          </w:tcPr>
          <w:p>
            <w:pPr>
              <w:pStyle w:val="TableContents"/>
              <w:bidi w:val="0"/>
              <w:spacing w:before="0" w:after="0"/>
              <w:ind w:left="0" w:right="0" w:hanging="0"/>
              <w:jc w:val="right"/>
            </w:pPr>
            <w:r>
              <w:t> </w:t>
            </w:r>
          </w:p>
        </w:tc>
      </w:tr>
      <w:tr>
        <w:tc>
          <w:tcPr>
            <w:tcW w:w="632" w:type="dxa"/>
            <w:tcBorders/>
            <w:vAlign w:val="center"/>
          </w:tcPr>
          <w:p>
            <w:pPr>
              <w:pStyle w:val="TableContents"/>
              <w:bidi w:val="0"/>
              <w:spacing w:before="0" w:after="283"/>
              <w:jc w:val="left"/>
            </w:pPr>
            <w:r>
              <w:t> </w:t>
            </w:r>
          </w:p>
        </w:tc>
        <w:tc>
          <w:tcPr>
            <w:tcW w:w="9162" w:type="dxa"/>
            <w:tcBorders/>
            <w:vAlign w:val="center"/>
          </w:tcPr>
          <w:p>
            <w:pPr>
              <w:pStyle w:val="TableContents"/>
              <w:bidi w:val="0"/>
              <w:spacing w:before="0" w:after="0"/>
              <w:ind w:left="0" w:right="0" w:hanging="0"/>
              <w:jc w:val="left"/>
            </w:pPr>
            <w:hyperlink w:anchor="cf">
              <w:r>
                <w:rPr>
                  <w:rStyle w:val="InternetLink"/>
                  <w:rFonts w:ascii="Times New Roman;Times;serif" w:hAnsi="Times New Roman;Times;serif"/>
                  <w:sz w:val="20"/>
                </w:rPr>
                <w:t>Condensed Consolidated Statements of Cash Flows for the Nine Months ended September 30, 2026 and 2025 (Unaudited)</w:t>
              </w:r>
            </w:hyperlink>
          </w:p>
        </w:tc>
        <w:tc>
          <w:tcPr>
            <w:tcW w:w="411" w:type="dxa"/>
            <w:tcBorders/>
            <w:vAlign w:val="center"/>
          </w:tcPr>
          <w:p>
            <w:pPr>
              <w:pStyle w:val="TableContents"/>
              <w:bidi w:val="0"/>
              <w:spacing w:before="0" w:after="0"/>
              <w:ind w:left="0" w:right="0" w:hanging="0"/>
              <w:jc w:val="right"/>
            </w:pPr>
            <w:hyperlink w:anchor="cf">
              <w:r>
                <w:rPr>
                  <w:rStyle w:val="InternetLink"/>
                  <w:rFonts w:ascii="Times New Roman;Times;serif" w:hAnsi="Times New Roman;Times;serif"/>
                  <w:sz w:val="20"/>
                </w:rPr>
                <w:t>8</w:t>
              </w:r>
            </w:hyperlink>
          </w:p>
        </w:tc>
      </w:tr>
      <w:tr>
        <w:tc>
          <w:tcPr>
            <w:tcW w:w="632" w:type="dxa"/>
            <w:tcBorders/>
            <w:vAlign w:val="center"/>
          </w:tcPr>
          <w:p>
            <w:pPr>
              <w:pStyle w:val="TableContents"/>
              <w:bidi w:val="0"/>
              <w:spacing w:before="0" w:after="283"/>
              <w:jc w:val="left"/>
            </w:pPr>
            <w:r>
              <w:t> </w:t>
            </w:r>
          </w:p>
        </w:tc>
        <w:tc>
          <w:tcPr>
            <w:tcW w:w="9162" w:type="dxa"/>
            <w:tcBorders/>
            <w:vAlign w:val="center"/>
          </w:tcPr>
          <w:p>
            <w:pPr>
              <w:pStyle w:val="TableContents"/>
              <w:bidi w:val="0"/>
              <w:spacing w:before="0" w:after="283"/>
              <w:jc w:val="left"/>
            </w:pPr>
            <w:r>
              <w:t> </w:t>
            </w:r>
          </w:p>
        </w:tc>
        <w:tc>
          <w:tcPr>
            <w:tcW w:w="411" w:type="dxa"/>
            <w:tcBorders/>
            <w:vAlign w:val="center"/>
          </w:tcPr>
          <w:p>
            <w:pPr>
              <w:pStyle w:val="TableContents"/>
              <w:bidi w:val="0"/>
              <w:spacing w:before="0" w:after="0"/>
              <w:ind w:left="0" w:right="0" w:hanging="0"/>
              <w:jc w:val="right"/>
            </w:pPr>
            <w:r>
              <w:t> </w:t>
            </w:r>
          </w:p>
        </w:tc>
      </w:tr>
      <w:tr>
        <w:tc>
          <w:tcPr>
            <w:tcW w:w="632" w:type="dxa"/>
            <w:tcBorders/>
            <w:vAlign w:val="center"/>
          </w:tcPr>
          <w:p>
            <w:pPr>
              <w:pStyle w:val="TableContents"/>
              <w:bidi w:val="0"/>
              <w:spacing w:before="0" w:after="283"/>
              <w:jc w:val="left"/>
            </w:pPr>
            <w:r>
              <w:t> </w:t>
            </w:r>
          </w:p>
        </w:tc>
        <w:tc>
          <w:tcPr>
            <w:tcW w:w="9162" w:type="dxa"/>
            <w:tcBorders/>
            <w:vAlign w:val="center"/>
          </w:tcPr>
          <w:p>
            <w:pPr>
              <w:pStyle w:val="TableContents"/>
              <w:bidi w:val="0"/>
              <w:spacing w:before="0" w:after="0"/>
              <w:ind w:left="0" w:right="0" w:hanging="0"/>
              <w:jc w:val="left"/>
            </w:pPr>
            <w:hyperlink w:anchor="notes">
              <w:r>
                <w:rPr>
                  <w:rStyle w:val="InternetLink"/>
                  <w:rFonts w:ascii="Times New Roman;Times;serif" w:hAnsi="Times New Roman;Times;serif"/>
                  <w:sz w:val="20"/>
                </w:rPr>
                <w:t>Notes To Condensed Consolidated Financial Statements (Unaudited)</w:t>
              </w:r>
            </w:hyperlink>
          </w:p>
        </w:tc>
        <w:tc>
          <w:tcPr>
            <w:tcW w:w="411" w:type="dxa"/>
            <w:tcBorders/>
            <w:vAlign w:val="center"/>
          </w:tcPr>
          <w:p>
            <w:pPr>
              <w:pStyle w:val="TableContents"/>
              <w:bidi w:val="0"/>
              <w:spacing w:before="0" w:after="0"/>
              <w:ind w:left="0" w:right="0" w:hanging="0"/>
              <w:jc w:val="right"/>
            </w:pPr>
            <w:hyperlink w:anchor="notes">
              <w:r>
                <w:rPr>
                  <w:rStyle w:val="InternetLink"/>
                  <w:rFonts w:ascii="Times New Roman;Times;serif" w:hAnsi="Times New Roman;Times;serif"/>
                  <w:sz w:val="20"/>
                </w:rPr>
                <w:t>9</w:t>
              </w:r>
            </w:hyperlink>
          </w:p>
        </w:tc>
      </w:tr>
      <w:tr>
        <w:tc>
          <w:tcPr>
            <w:tcW w:w="632" w:type="dxa"/>
            <w:tcBorders/>
            <w:vAlign w:val="center"/>
          </w:tcPr>
          <w:p>
            <w:pPr>
              <w:pStyle w:val="TableContents"/>
              <w:bidi w:val="0"/>
              <w:spacing w:before="0" w:after="283"/>
              <w:jc w:val="left"/>
            </w:pPr>
            <w:r>
              <w:t> </w:t>
            </w:r>
          </w:p>
        </w:tc>
        <w:tc>
          <w:tcPr>
            <w:tcW w:w="9162" w:type="dxa"/>
            <w:tcBorders/>
            <w:vAlign w:val="center"/>
          </w:tcPr>
          <w:p>
            <w:pPr>
              <w:pStyle w:val="TableContents"/>
              <w:bidi w:val="0"/>
              <w:spacing w:before="0" w:after="283"/>
              <w:jc w:val="left"/>
            </w:pPr>
            <w:r>
              <w:t> </w:t>
            </w:r>
          </w:p>
        </w:tc>
        <w:tc>
          <w:tcPr>
            <w:tcW w:w="411" w:type="dxa"/>
            <w:tcBorders/>
            <w:vAlign w:val="center"/>
          </w:tcPr>
          <w:p>
            <w:pPr>
              <w:pStyle w:val="TableContents"/>
              <w:bidi w:val="0"/>
              <w:spacing w:before="0" w:after="0"/>
              <w:ind w:left="0" w:right="0" w:hanging="0"/>
              <w:jc w:val="right"/>
            </w:pPr>
            <w:r>
              <w:t> </w:t>
            </w:r>
          </w:p>
        </w:tc>
      </w:tr>
      <w:tr>
        <w:tc>
          <w:tcPr>
            <w:tcW w:w="6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2.</w:t>
            </w:r>
          </w:p>
        </w:tc>
        <w:tc>
          <w:tcPr>
            <w:tcW w:w="9162" w:type="dxa"/>
            <w:tcBorders/>
            <w:vAlign w:val="center"/>
          </w:tcPr>
          <w:p>
            <w:pPr>
              <w:pStyle w:val="TableContents"/>
              <w:bidi w:val="0"/>
              <w:spacing w:before="0" w:after="0"/>
              <w:ind w:left="0" w:right="0" w:hanging="0"/>
              <w:jc w:val="left"/>
            </w:pPr>
            <w:hyperlink w:anchor="item2">
              <w:r>
                <w:rPr>
                  <w:rStyle w:val="InternetLink"/>
                  <w:rFonts w:ascii="Times New Roman;Times;serif" w:hAnsi="Times New Roman;Times;serif"/>
                  <w:sz w:val="20"/>
                </w:rPr>
                <w:t>Management’s Discussion and Analysis of Financial Condition and Results of Operations</w:t>
              </w:r>
            </w:hyperlink>
          </w:p>
        </w:tc>
        <w:tc>
          <w:tcPr>
            <w:tcW w:w="411" w:type="dxa"/>
            <w:tcBorders/>
            <w:vAlign w:val="center"/>
          </w:tcPr>
          <w:p>
            <w:pPr>
              <w:pStyle w:val="TableContents"/>
              <w:bidi w:val="0"/>
              <w:spacing w:before="0" w:after="0"/>
              <w:ind w:left="0" w:right="0" w:hanging="0"/>
              <w:jc w:val="right"/>
            </w:pPr>
            <w:hyperlink w:anchor="item2">
              <w:r>
                <w:rPr>
                  <w:rStyle w:val="InternetLink"/>
                  <w:rFonts w:ascii="Times New Roman;Times;serif" w:hAnsi="Times New Roman;Times;serif"/>
                  <w:sz w:val="20"/>
                </w:rPr>
                <w:t>23</w:t>
              </w:r>
            </w:hyperlink>
          </w:p>
        </w:tc>
      </w:tr>
      <w:tr>
        <w:tc>
          <w:tcPr>
            <w:tcW w:w="632" w:type="dxa"/>
            <w:tcBorders/>
            <w:vAlign w:val="center"/>
          </w:tcPr>
          <w:p>
            <w:pPr>
              <w:pStyle w:val="TableContents"/>
              <w:bidi w:val="0"/>
              <w:spacing w:before="0" w:after="283"/>
              <w:jc w:val="left"/>
            </w:pPr>
            <w:r>
              <w:t> </w:t>
            </w:r>
          </w:p>
        </w:tc>
        <w:tc>
          <w:tcPr>
            <w:tcW w:w="9162" w:type="dxa"/>
            <w:tcBorders/>
            <w:vAlign w:val="center"/>
          </w:tcPr>
          <w:p>
            <w:pPr>
              <w:pStyle w:val="TableContents"/>
              <w:bidi w:val="0"/>
              <w:spacing w:before="0" w:after="283"/>
              <w:jc w:val="left"/>
            </w:pPr>
            <w:r>
              <w:t> </w:t>
            </w:r>
          </w:p>
        </w:tc>
        <w:tc>
          <w:tcPr>
            <w:tcW w:w="411" w:type="dxa"/>
            <w:tcBorders/>
            <w:vAlign w:val="center"/>
          </w:tcPr>
          <w:p>
            <w:pPr>
              <w:pStyle w:val="TableContents"/>
              <w:bidi w:val="0"/>
              <w:spacing w:before="0" w:after="0"/>
              <w:ind w:left="0" w:right="0" w:hanging="0"/>
              <w:jc w:val="right"/>
            </w:pPr>
            <w:r>
              <w:t> </w:t>
            </w:r>
          </w:p>
        </w:tc>
      </w:tr>
      <w:tr>
        <w:tc>
          <w:tcPr>
            <w:tcW w:w="6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3.</w:t>
            </w:r>
          </w:p>
        </w:tc>
        <w:tc>
          <w:tcPr>
            <w:tcW w:w="9162" w:type="dxa"/>
            <w:tcBorders/>
            <w:vAlign w:val="center"/>
          </w:tcPr>
          <w:p>
            <w:pPr>
              <w:pStyle w:val="TableContents"/>
              <w:bidi w:val="0"/>
              <w:spacing w:before="0" w:after="0"/>
              <w:ind w:left="0" w:right="0" w:hanging="0"/>
              <w:jc w:val="left"/>
            </w:pPr>
            <w:hyperlink w:anchor="item3">
              <w:r>
                <w:rPr>
                  <w:rStyle w:val="InternetLink"/>
                  <w:rFonts w:ascii="Times New Roman;Times;serif" w:hAnsi="Times New Roman;Times;serif"/>
                  <w:sz w:val="20"/>
                </w:rPr>
                <w:t>Quantitative and Qualitative Disclosures About Market Risk</w:t>
              </w:r>
            </w:hyperlink>
          </w:p>
        </w:tc>
        <w:tc>
          <w:tcPr>
            <w:tcW w:w="411" w:type="dxa"/>
            <w:tcBorders/>
            <w:vAlign w:val="center"/>
          </w:tcPr>
          <w:p>
            <w:pPr>
              <w:pStyle w:val="TableContents"/>
              <w:bidi w:val="0"/>
              <w:spacing w:before="0" w:after="0"/>
              <w:ind w:left="0" w:right="0" w:hanging="0"/>
              <w:jc w:val="right"/>
            </w:pPr>
            <w:hyperlink w:anchor="item3">
              <w:r>
                <w:rPr>
                  <w:rStyle w:val="InternetLink"/>
                  <w:rFonts w:ascii="Times New Roman;Times;serif" w:hAnsi="Times New Roman;Times;serif"/>
                  <w:sz w:val="20"/>
                </w:rPr>
                <w:t>32</w:t>
              </w:r>
            </w:hyperlink>
          </w:p>
        </w:tc>
      </w:tr>
      <w:tr>
        <w:tc>
          <w:tcPr>
            <w:tcW w:w="632" w:type="dxa"/>
            <w:tcBorders/>
            <w:vAlign w:val="center"/>
          </w:tcPr>
          <w:p>
            <w:pPr>
              <w:pStyle w:val="TableContents"/>
              <w:bidi w:val="0"/>
              <w:spacing w:before="0" w:after="283"/>
              <w:jc w:val="left"/>
            </w:pPr>
            <w:r>
              <w:t> </w:t>
            </w:r>
          </w:p>
        </w:tc>
        <w:tc>
          <w:tcPr>
            <w:tcW w:w="9162" w:type="dxa"/>
            <w:tcBorders/>
            <w:vAlign w:val="center"/>
          </w:tcPr>
          <w:p>
            <w:pPr>
              <w:pStyle w:val="TableContents"/>
              <w:bidi w:val="0"/>
              <w:spacing w:before="0" w:after="283"/>
              <w:jc w:val="left"/>
            </w:pPr>
            <w:r>
              <w:t> </w:t>
            </w:r>
          </w:p>
        </w:tc>
        <w:tc>
          <w:tcPr>
            <w:tcW w:w="411" w:type="dxa"/>
            <w:tcBorders/>
            <w:vAlign w:val="center"/>
          </w:tcPr>
          <w:p>
            <w:pPr>
              <w:pStyle w:val="TableContents"/>
              <w:bidi w:val="0"/>
              <w:spacing w:before="0" w:after="0"/>
              <w:ind w:left="0" w:right="0" w:hanging="0"/>
              <w:jc w:val="right"/>
            </w:pPr>
            <w:r>
              <w:t> </w:t>
            </w:r>
          </w:p>
        </w:tc>
      </w:tr>
      <w:tr>
        <w:tc>
          <w:tcPr>
            <w:tcW w:w="6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4.</w:t>
            </w:r>
          </w:p>
        </w:tc>
        <w:tc>
          <w:tcPr>
            <w:tcW w:w="9162" w:type="dxa"/>
            <w:tcBorders/>
            <w:vAlign w:val="center"/>
          </w:tcPr>
          <w:p>
            <w:pPr>
              <w:pStyle w:val="TableContents"/>
              <w:bidi w:val="0"/>
              <w:spacing w:before="0" w:after="0"/>
              <w:ind w:left="0" w:right="0" w:hanging="0"/>
              <w:jc w:val="left"/>
            </w:pPr>
            <w:hyperlink w:anchor="item4">
              <w:r>
                <w:rPr>
                  <w:rStyle w:val="InternetLink"/>
                  <w:rFonts w:ascii="Times New Roman;Times;serif" w:hAnsi="Times New Roman;Times;serif"/>
                  <w:sz w:val="20"/>
                </w:rPr>
                <w:t>Controls and Procedures</w:t>
              </w:r>
            </w:hyperlink>
          </w:p>
        </w:tc>
        <w:tc>
          <w:tcPr>
            <w:tcW w:w="411" w:type="dxa"/>
            <w:tcBorders/>
            <w:vAlign w:val="center"/>
          </w:tcPr>
          <w:p>
            <w:pPr>
              <w:pStyle w:val="TableContents"/>
              <w:bidi w:val="0"/>
              <w:spacing w:before="0" w:after="0"/>
              <w:ind w:left="0" w:right="0" w:hanging="0"/>
              <w:jc w:val="right"/>
            </w:pPr>
            <w:hyperlink w:anchor="item4">
              <w:r>
                <w:rPr>
                  <w:rStyle w:val="InternetLink"/>
                  <w:rFonts w:ascii="Times New Roman;Times;serif" w:hAnsi="Times New Roman;Times;serif"/>
                  <w:sz w:val="20"/>
                </w:rPr>
                <w:t>32</w:t>
              </w:r>
            </w:hyperlink>
          </w:p>
        </w:tc>
      </w:tr>
      <w:tr>
        <w:tc>
          <w:tcPr>
            <w:tcW w:w="632" w:type="dxa"/>
            <w:tcBorders/>
            <w:vAlign w:val="center"/>
          </w:tcPr>
          <w:p>
            <w:pPr>
              <w:pStyle w:val="TableContents"/>
              <w:bidi w:val="0"/>
              <w:spacing w:before="0" w:after="283"/>
              <w:jc w:val="left"/>
            </w:pPr>
            <w:r>
              <w:t> </w:t>
            </w:r>
          </w:p>
        </w:tc>
        <w:tc>
          <w:tcPr>
            <w:tcW w:w="9162" w:type="dxa"/>
            <w:tcBorders/>
            <w:vAlign w:val="center"/>
          </w:tcPr>
          <w:p>
            <w:pPr>
              <w:pStyle w:val="TableContents"/>
              <w:bidi w:val="0"/>
              <w:spacing w:before="0" w:after="283"/>
              <w:jc w:val="left"/>
            </w:pPr>
            <w:r>
              <w:t> </w:t>
            </w:r>
          </w:p>
        </w:tc>
        <w:tc>
          <w:tcPr>
            <w:tcW w:w="411" w:type="dxa"/>
            <w:tcBorders/>
            <w:vAlign w:val="center"/>
          </w:tcPr>
          <w:p>
            <w:pPr>
              <w:pStyle w:val="TableContents"/>
              <w:bidi w:val="0"/>
              <w:spacing w:before="0" w:after="0"/>
              <w:ind w:left="0" w:right="0" w:hanging="0"/>
              <w:jc w:val="right"/>
            </w:pPr>
            <w:r>
              <w:t> </w:t>
            </w:r>
          </w:p>
        </w:tc>
      </w:tr>
      <w:tr>
        <w:tc>
          <w:tcPr>
            <w:tcW w:w="10205" w:type="dxa"/>
            <w:gridSpan w:val="3"/>
            <w:tcBorders/>
            <w:vAlign w:val="center"/>
          </w:tcPr>
          <w:p>
            <w:pPr>
              <w:pStyle w:val="TableContents"/>
              <w:bidi w:val="0"/>
              <w:spacing w:before="0" w:after="0"/>
              <w:ind w:left="0" w:right="0" w:hanging="0"/>
              <w:jc w:val="left"/>
            </w:pPr>
            <w:hyperlink w:anchor="part2">
              <w:r>
                <w:rPr>
                  <w:rStyle w:val="InternetLink"/>
                  <w:rFonts w:ascii="Times New Roman;Times;serif" w:hAnsi="Times New Roman;Times;serif"/>
                  <w:b/>
                  <w:sz w:val="20"/>
                </w:rPr>
                <w:t>Part II. Other Information</w:t>
              </w:r>
            </w:hyperlink>
          </w:p>
        </w:tc>
      </w:tr>
      <w:tr>
        <w:tc>
          <w:tcPr>
            <w:tcW w:w="632" w:type="dxa"/>
            <w:tcBorders/>
            <w:vAlign w:val="center"/>
          </w:tcPr>
          <w:p>
            <w:pPr>
              <w:pStyle w:val="TableContents"/>
              <w:bidi w:val="0"/>
              <w:spacing w:before="0" w:after="283"/>
              <w:jc w:val="left"/>
            </w:pPr>
            <w:r>
              <w:t> </w:t>
            </w:r>
          </w:p>
        </w:tc>
        <w:tc>
          <w:tcPr>
            <w:tcW w:w="9162" w:type="dxa"/>
            <w:tcBorders/>
            <w:vAlign w:val="center"/>
          </w:tcPr>
          <w:p>
            <w:pPr>
              <w:pStyle w:val="TableContents"/>
              <w:bidi w:val="0"/>
              <w:spacing w:before="0" w:after="283"/>
              <w:jc w:val="left"/>
            </w:pPr>
            <w:r>
              <w:t> </w:t>
            </w:r>
          </w:p>
        </w:tc>
        <w:tc>
          <w:tcPr>
            <w:tcW w:w="411" w:type="dxa"/>
            <w:tcBorders/>
            <w:vAlign w:val="center"/>
          </w:tcPr>
          <w:p>
            <w:pPr>
              <w:pStyle w:val="TableContents"/>
              <w:bidi w:val="0"/>
              <w:spacing w:before="0" w:after="283"/>
              <w:jc w:val="left"/>
            </w:pPr>
            <w:r>
              <w:t> </w:t>
            </w:r>
          </w:p>
        </w:tc>
      </w:tr>
      <w:tr>
        <w:tc>
          <w:tcPr>
            <w:tcW w:w="6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1.</w:t>
            </w:r>
          </w:p>
        </w:tc>
        <w:tc>
          <w:tcPr>
            <w:tcW w:w="9162" w:type="dxa"/>
            <w:tcBorders/>
            <w:vAlign w:val="center"/>
          </w:tcPr>
          <w:p>
            <w:pPr>
              <w:pStyle w:val="TableContents"/>
              <w:bidi w:val="0"/>
              <w:spacing w:before="0" w:after="0"/>
              <w:ind w:left="0" w:right="0" w:hanging="0"/>
              <w:jc w:val="left"/>
            </w:pPr>
            <w:hyperlink w:anchor="legal">
              <w:r>
                <w:rPr>
                  <w:rStyle w:val="InternetLink"/>
                  <w:rFonts w:ascii="Times New Roman;Times;serif" w:hAnsi="Times New Roman;Times;serif"/>
                  <w:sz w:val="20"/>
                </w:rPr>
                <w:t>Legal Proceedings</w:t>
              </w:r>
            </w:hyperlink>
          </w:p>
        </w:tc>
        <w:tc>
          <w:tcPr>
            <w:tcW w:w="411" w:type="dxa"/>
            <w:tcBorders/>
            <w:vAlign w:val="center"/>
          </w:tcPr>
          <w:p>
            <w:pPr>
              <w:pStyle w:val="TableContents"/>
              <w:bidi w:val="0"/>
              <w:spacing w:before="0" w:after="0"/>
              <w:ind w:left="0" w:right="0" w:hanging="0"/>
              <w:jc w:val="right"/>
            </w:pPr>
            <w:hyperlink w:anchor="legal">
              <w:r>
                <w:rPr>
                  <w:rStyle w:val="InternetLink"/>
                  <w:rFonts w:ascii="Times New Roman;Times;serif" w:hAnsi="Times New Roman;Times;serif"/>
                  <w:sz w:val="20"/>
                </w:rPr>
                <w:t>33</w:t>
              </w:r>
            </w:hyperlink>
          </w:p>
        </w:tc>
      </w:tr>
      <w:tr>
        <w:tc>
          <w:tcPr>
            <w:tcW w:w="632" w:type="dxa"/>
            <w:tcBorders/>
            <w:vAlign w:val="center"/>
          </w:tcPr>
          <w:p>
            <w:pPr>
              <w:pStyle w:val="TableContents"/>
              <w:bidi w:val="0"/>
              <w:spacing w:before="0" w:after="283"/>
              <w:jc w:val="left"/>
            </w:pPr>
            <w:r>
              <w:t> </w:t>
            </w:r>
          </w:p>
        </w:tc>
        <w:tc>
          <w:tcPr>
            <w:tcW w:w="9162" w:type="dxa"/>
            <w:tcBorders/>
            <w:vAlign w:val="center"/>
          </w:tcPr>
          <w:p>
            <w:pPr>
              <w:pStyle w:val="TableContents"/>
              <w:bidi w:val="0"/>
              <w:spacing w:before="0" w:after="283"/>
              <w:jc w:val="left"/>
            </w:pPr>
            <w:r>
              <w:t> </w:t>
            </w:r>
          </w:p>
        </w:tc>
        <w:tc>
          <w:tcPr>
            <w:tcW w:w="411" w:type="dxa"/>
            <w:tcBorders/>
            <w:vAlign w:val="center"/>
          </w:tcPr>
          <w:p>
            <w:pPr>
              <w:pStyle w:val="TableContents"/>
              <w:bidi w:val="0"/>
              <w:spacing w:before="0" w:after="283"/>
              <w:jc w:val="left"/>
            </w:pPr>
            <w:r>
              <w:t> </w:t>
            </w:r>
          </w:p>
        </w:tc>
      </w:tr>
      <w:tr>
        <w:tc>
          <w:tcPr>
            <w:tcW w:w="6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1A.</w:t>
            </w:r>
          </w:p>
        </w:tc>
        <w:tc>
          <w:tcPr>
            <w:tcW w:w="9162" w:type="dxa"/>
            <w:tcBorders/>
            <w:vAlign w:val="center"/>
          </w:tcPr>
          <w:p>
            <w:pPr>
              <w:pStyle w:val="TableContents"/>
              <w:bidi w:val="0"/>
              <w:spacing w:before="0" w:after="0"/>
              <w:ind w:left="0" w:right="0" w:hanging="0"/>
              <w:jc w:val="left"/>
            </w:pPr>
            <w:hyperlink w:anchor="risk">
              <w:r>
                <w:rPr>
                  <w:rStyle w:val="InternetLink"/>
                  <w:rFonts w:ascii="Times New Roman;Times;serif" w:hAnsi="Times New Roman;Times;serif"/>
                  <w:sz w:val="20"/>
                </w:rPr>
                <w:t>Risk Factors</w:t>
              </w:r>
            </w:hyperlink>
          </w:p>
        </w:tc>
        <w:tc>
          <w:tcPr>
            <w:tcW w:w="411" w:type="dxa"/>
            <w:tcBorders/>
            <w:vAlign w:val="center"/>
          </w:tcPr>
          <w:p>
            <w:pPr>
              <w:pStyle w:val="TableContents"/>
              <w:bidi w:val="0"/>
              <w:spacing w:before="0" w:after="0"/>
              <w:ind w:left="0" w:right="0" w:hanging="0"/>
              <w:jc w:val="right"/>
            </w:pPr>
            <w:hyperlink w:anchor="risk">
              <w:r>
                <w:rPr>
                  <w:rStyle w:val="InternetLink"/>
                  <w:rFonts w:ascii="Times New Roman;Times;serif" w:hAnsi="Times New Roman;Times;serif"/>
                  <w:sz w:val="20"/>
                </w:rPr>
                <w:t>33</w:t>
              </w:r>
            </w:hyperlink>
          </w:p>
        </w:tc>
      </w:tr>
      <w:tr>
        <w:tc>
          <w:tcPr>
            <w:tcW w:w="632" w:type="dxa"/>
            <w:tcBorders/>
            <w:vAlign w:val="center"/>
          </w:tcPr>
          <w:p>
            <w:pPr>
              <w:pStyle w:val="TableContents"/>
              <w:bidi w:val="0"/>
              <w:spacing w:before="0" w:after="283"/>
              <w:jc w:val="left"/>
            </w:pPr>
            <w:r>
              <w:t> </w:t>
            </w:r>
          </w:p>
        </w:tc>
        <w:tc>
          <w:tcPr>
            <w:tcW w:w="9162" w:type="dxa"/>
            <w:tcBorders/>
            <w:vAlign w:val="center"/>
          </w:tcPr>
          <w:p>
            <w:pPr>
              <w:pStyle w:val="TableContents"/>
              <w:bidi w:val="0"/>
              <w:spacing w:before="0" w:after="283"/>
              <w:jc w:val="left"/>
            </w:pPr>
            <w:r>
              <w:t> </w:t>
            </w:r>
          </w:p>
        </w:tc>
        <w:tc>
          <w:tcPr>
            <w:tcW w:w="411" w:type="dxa"/>
            <w:tcBorders/>
            <w:vAlign w:val="center"/>
          </w:tcPr>
          <w:p>
            <w:pPr>
              <w:pStyle w:val="TableContents"/>
              <w:bidi w:val="0"/>
              <w:spacing w:before="0" w:after="283"/>
              <w:jc w:val="left"/>
            </w:pPr>
            <w:r>
              <w:t> </w:t>
            </w:r>
          </w:p>
        </w:tc>
      </w:tr>
      <w:tr>
        <w:tc>
          <w:tcPr>
            <w:tcW w:w="632" w:type="dxa"/>
            <w:tcBorders/>
            <w:vAlign w:val="center"/>
          </w:tcPr>
          <w:p>
            <w:pPr>
              <w:pStyle w:val="TableContents"/>
              <w:bidi w:val="0"/>
              <w:spacing w:before="0" w:after="283"/>
              <w:jc w:val="left"/>
            </w:pPr>
            <w:r>
              <w:t>Item 5.</w:t>
            </w:r>
          </w:p>
        </w:tc>
        <w:tc>
          <w:tcPr>
            <w:tcW w:w="9162" w:type="dxa"/>
            <w:tcBorders/>
            <w:vAlign w:val="center"/>
          </w:tcPr>
          <w:p>
            <w:pPr>
              <w:pStyle w:val="TableContents"/>
              <w:bidi w:val="0"/>
              <w:spacing w:before="0" w:after="283"/>
              <w:jc w:val="left"/>
            </w:pPr>
            <w:hyperlink w:anchor="item5">
              <w:r>
                <w:rPr>
                  <w:rStyle w:val="InternetLink"/>
                </w:rPr>
                <w:t>Other Information</w:t>
              </w:r>
            </w:hyperlink>
          </w:p>
        </w:tc>
        <w:tc>
          <w:tcPr>
            <w:tcW w:w="411" w:type="dxa"/>
            <w:tcBorders/>
            <w:vAlign w:val="center"/>
          </w:tcPr>
          <w:p>
            <w:pPr>
              <w:pStyle w:val="TableContents"/>
              <w:bidi w:val="0"/>
              <w:spacing w:before="0" w:after="283"/>
              <w:jc w:val="right"/>
            </w:pPr>
            <w:hyperlink w:anchor="item5">
              <w:r>
                <w:rPr>
                  <w:rStyle w:val="InternetLink"/>
                </w:rPr>
                <w:t>34</w:t>
              </w:r>
            </w:hyperlink>
          </w:p>
        </w:tc>
      </w:tr>
      <w:tr>
        <w:tc>
          <w:tcPr>
            <w:tcW w:w="632" w:type="dxa"/>
            <w:tcBorders/>
            <w:vAlign w:val="center"/>
          </w:tcPr>
          <w:p>
            <w:pPr>
              <w:pStyle w:val="TableContents"/>
              <w:bidi w:val="0"/>
              <w:spacing w:before="0" w:after="283"/>
              <w:jc w:val="left"/>
            </w:pPr>
            <w:r>
              <w:t> </w:t>
            </w:r>
          </w:p>
        </w:tc>
        <w:tc>
          <w:tcPr>
            <w:tcW w:w="9162" w:type="dxa"/>
            <w:tcBorders/>
            <w:vAlign w:val="center"/>
          </w:tcPr>
          <w:p>
            <w:pPr>
              <w:pStyle w:val="TableContents"/>
              <w:bidi w:val="0"/>
              <w:spacing w:before="0" w:after="283"/>
              <w:jc w:val="left"/>
            </w:pPr>
            <w:r>
              <w:t> </w:t>
            </w:r>
          </w:p>
        </w:tc>
        <w:tc>
          <w:tcPr>
            <w:tcW w:w="411" w:type="dxa"/>
            <w:tcBorders/>
            <w:vAlign w:val="center"/>
          </w:tcPr>
          <w:p>
            <w:pPr>
              <w:pStyle w:val="TableContents"/>
              <w:bidi w:val="0"/>
              <w:spacing w:before="0" w:after="283"/>
              <w:jc w:val="left"/>
            </w:pPr>
            <w:r>
              <w:t> </w:t>
            </w:r>
          </w:p>
        </w:tc>
      </w:tr>
      <w:tr>
        <w:tc>
          <w:tcPr>
            <w:tcW w:w="6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6.</w:t>
            </w:r>
          </w:p>
        </w:tc>
        <w:tc>
          <w:tcPr>
            <w:tcW w:w="9162" w:type="dxa"/>
            <w:tcBorders/>
            <w:vAlign w:val="center"/>
          </w:tcPr>
          <w:p>
            <w:pPr>
              <w:pStyle w:val="TableContents"/>
              <w:bidi w:val="0"/>
              <w:spacing w:before="0" w:after="0"/>
              <w:ind w:left="0" w:right="0" w:hanging="0"/>
              <w:jc w:val="left"/>
            </w:pPr>
            <w:hyperlink w:anchor="exhibits">
              <w:r>
                <w:rPr>
                  <w:rStyle w:val="InternetLink"/>
                  <w:rFonts w:ascii="Times New Roman;Times;serif" w:hAnsi="Times New Roman;Times;serif"/>
                  <w:sz w:val="20"/>
                </w:rPr>
                <w:t>Exhibits</w:t>
              </w:r>
            </w:hyperlink>
          </w:p>
        </w:tc>
        <w:tc>
          <w:tcPr>
            <w:tcW w:w="411" w:type="dxa"/>
            <w:tcBorders/>
            <w:vAlign w:val="center"/>
          </w:tcPr>
          <w:p>
            <w:pPr>
              <w:pStyle w:val="TableContents"/>
              <w:bidi w:val="0"/>
              <w:spacing w:before="0" w:after="0"/>
              <w:ind w:left="0" w:right="0" w:hanging="0"/>
              <w:jc w:val="right"/>
            </w:pPr>
            <w:hyperlink w:anchor="exhibits">
              <w:r>
                <w:rPr>
                  <w:rStyle w:val="InternetLink"/>
                  <w:rFonts w:ascii="Times New Roman;Times;serif" w:hAnsi="Times New Roman;Times;serif"/>
                  <w:sz w:val="20"/>
                </w:rPr>
                <w:t>34</w:t>
              </w:r>
            </w:hyperlink>
          </w:p>
        </w:tc>
      </w:tr>
      <w:tr>
        <w:tc>
          <w:tcPr>
            <w:tcW w:w="632" w:type="dxa"/>
            <w:tcBorders/>
            <w:vAlign w:val="center"/>
          </w:tcPr>
          <w:p>
            <w:pPr>
              <w:pStyle w:val="TableContents"/>
              <w:bidi w:val="0"/>
              <w:spacing w:before="0" w:after="283"/>
              <w:jc w:val="left"/>
            </w:pPr>
            <w:r>
              <w:t> </w:t>
            </w:r>
          </w:p>
        </w:tc>
        <w:tc>
          <w:tcPr>
            <w:tcW w:w="9162" w:type="dxa"/>
            <w:tcBorders/>
            <w:vAlign w:val="center"/>
          </w:tcPr>
          <w:p>
            <w:pPr>
              <w:pStyle w:val="TableContents"/>
              <w:bidi w:val="0"/>
              <w:spacing w:before="0" w:after="283"/>
              <w:jc w:val="left"/>
            </w:pPr>
            <w:r>
              <w:t> </w:t>
            </w:r>
          </w:p>
        </w:tc>
        <w:tc>
          <w:tcPr>
            <w:tcW w:w="411" w:type="dxa"/>
            <w:tcBorders/>
            <w:vAlign w:val="center"/>
          </w:tcPr>
          <w:p>
            <w:pPr>
              <w:pStyle w:val="TableContents"/>
              <w:bidi w:val="0"/>
              <w:spacing w:before="0" w:after="283"/>
              <w:jc w:val="left"/>
            </w:pPr>
            <w:r>
              <w:t> </w:t>
            </w:r>
          </w:p>
        </w:tc>
      </w:tr>
      <w:tr>
        <w:tc>
          <w:tcPr>
            <w:tcW w:w="632" w:type="dxa"/>
            <w:tcBorders/>
            <w:vAlign w:val="center"/>
          </w:tcPr>
          <w:p>
            <w:pPr>
              <w:pStyle w:val="TableContents"/>
              <w:bidi w:val="0"/>
              <w:spacing w:before="0" w:after="283"/>
              <w:jc w:val="left"/>
            </w:pPr>
            <w:r>
              <w:t> </w:t>
            </w:r>
          </w:p>
        </w:tc>
        <w:tc>
          <w:tcPr>
            <w:tcW w:w="9162" w:type="dxa"/>
            <w:tcBorders/>
            <w:vAlign w:val="center"/>
          </w:tcPr>
          <w:p>
            <w:pPr>
              <w:pStyle w:val="TableContents"/>
              <w:bidi w:val="0"/>
              <w:spacing w:before="0" w:after="0"/>
              <w:ind w:left="0" w:right="0" w:hanging="0"/>
              <w:jc w:val="left"/>
            </w:pPr>
            <w:hyperlink w:anchor="sigs">
              <w:r>
                <w:rPr>
                  <w:rStyle w:val="InternetLink"/>
                  <w:rFonts w:ascii="Times New Roman;Times;serif" w:hAnsi="Times New Roman;Times;serif"/>
                  <w:sz w:val="20"/>
                </w:rPr>
                <w:t>Signatures</w:t>
              </w:r>
            </w:hyperlink>
          </w:p>
        </w:tc>
        <w:tc>
          <w:tcPr>
            <w:tcW w:w="411" w:type="dxa"/>
            <w:tcBorders/>
            <w:vAlign w:val="center"/>
          </w:tcPr>
          <w:p>
            <w:pPr>
              <w:pStyle w:val="TableContents"/>
              <w:bidi w:val="0"/>
              <w:spacing w:before="0" w:after="0"/>
              <w:ind w:left="0" w:right="0" w:hanging="0"/>
              <w:jc w:val="right"/>
            </w:pPr>
            <w:hyperlink w:anchor="sigs">
              <w:r>
                <w:rPr>
                  <w:rStyle w:val="InternetLink"/>
                  <w:rFonts w:ascii="Times New Roman;Times;serif" w:hAnsi="Times New Roman;Times;serif"/>
                  <w:sz w:val="20"/>
                </w:rPr>
                <w:t>36</w:t>
              </w:r>
            </w:hyperlink>
          </w:p>
        </w:tc>
      </w:tr>
    </w:tbl>
    <w:p>
      <w:pPr>
        <w:pStyle w:val="TextBody"/>
        <w:bidi w:val="0"/>
        <w:spacing w:before="0" w:after="0"/>
        <w:ind w:left="0" w:right="0" w:hanging="0"/>
        <w:jc w:val="left"/>
      </w:pPr>
      <w:r>
        <w:t>​</w:t>
      </w:r>
    </w:p>
    <w:p>
      <w:pPr>
        <w:pStyle w:val="TextBody"/>
        <w:bidi w:val="0"/>
        <w:spacing w:before="0" w:after="0"/>
        <w:ind w:left="0" w:right="0" w:hanging="0"/>
        <w:jc w:val="left"/>
      </w:pPr>
      <w: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 </w:t>
      </w:r>
    </w:p>
    <w:p>
      <w:pPr>
        <w:pStyle w:val="HorizontalLine"/>
        <w:pBdr>
          <w:bottom w:val="double" w:sz="2" w:space="0" w:color="808080"/>
        </w:pBdr>
        <w:bidi w:val="0"/>
        <w:spacing w:before="0" w:after="283"/>
        <w:jc w:val="left"/>
      </w:pPr>
      <w:r/>
    </w:p>
    <w:p>
      <w:pPr>
        <w:pStyle w:val="TextBody"/>
        <w:bidi w:val="0"/>
        <w:jc w:val="left"/>
      </w:pPr>
      <w:hyperlink w:anchor="toc">
        <w:r>
          <w:rPr>
            <w:rStyle w:val="InternetLink"/>
            <w:rFonts w:ascii="Times New Roman;Times;serif" w:hAnsi="Times New Roman;Times;serif"/>
            <w:sz w:val="20"/>
          </w:rPr>
          <w:t>Table of Contents</w:t>
        </w:r>
      </w:hyperlink>
      <w:r>
        <w:t xml:space="preserve"> </w:t>
      </w:r>
    </w:p>
    <w:p>
      <w:pPr>
        <w:pStyle w:val="TextBody"/>
        <w:bidi w:val="0"/>
        <w:spacing w:before="0" w:after="0"/>
        <w:ind w:left="0" w:right="0" w:hanging="0"/>
        <w:jc w:val="left"/>
      </w:pPr>
      <w:r>
        <w:t> </w:t>
      </w:r>
    </w:p>
    <w:p>
      <w:pPr>
        <w:pStyle w:val="TextBody"/>
        <w:bidi w:val="0"/>
        <w:spacing w:before="0" w:after="283"/>
        <w:jc w:val="left"/>
      </w:pPr>
      <w:r>
        <w:t xml:space="preserve">  </w:t>
      </w:r>
    </w:p>
    <w:p>
      <w:pPr>
        <w:pStyle w:val="TextBody"/>
        <w:bidi w:val="0"/>
        <w:spacing w:before="0" w:after="0"/>
        <w:ind w:left="0" w:right="0" w:hanging="0"/>
        <w:jc w:val="center"/>
        <w:rPr>
          <w:rFonts w:ascii="Times New Roman;Times;serif" w:hAnsi="Times New Roman;Times;serif"/>
          <w:b/>
          <w:sz w:val="20"/>
        </w:rPr>
      </w:pPr>
      <w:bookmarkStart w:id="3" w:name="part1"/>
      <w:bookmarkEnd w:id="3"/>
      <w:r>
        <w:rPr>
          <w:rFonts w:ascii="Times New Roman;Times;serif" w:hAnsi="Times New Roman;Times;serif"/>
          <w:b/>
          <w:sz w:val="20"/>
        </w:rPr>
        <w:t>Part I. Financial Information</w:t>
      </w:r>
    </w:p>
    <w:p>
      <w:pPr>
        <w:pStyle w:val="TextBody"/>
        <w:bidi w:val="0"/>
        <w:spacing w:before="0" w:after="0"/>
        <w:ind w:left="0" w:right="0" w:hanging="0"/>
        <w:jc w:val="center"/>
      </w:pPr>
      <w:r>
        <w:t>​</w:t>
      </w:r>
    </w:p>
    <w:p>
      <w:pPr>
        <w:pStyle w:val="TextBody"/>
        <w:bidi w:val="0"/>
        <w:spacing w:before="0" w:after="0"/>
        <w:ind w:left="0" w:right="0" w:hanging="0"/>
        <w:jc w:val="left"/>
        <w:rPr>
          <w:rFonts w:ascii="Times New Roman;Times;serif" w:hAnsi="Times New Roman;Times;serif"/>
          <w:b/>
          <w:sz w:val="20"/>
        </w:rPr>
      </w:pPr>
      <w:bookmarkStart w:id="4" w:name="item1"/>
      <w:bookmarkEnd w:id="4"/>
      <w:r>
        <w:rPr>
          <w:rFonts w:ascii="Times New Roman;Times;serif" w:hAnsi="Times New Roman;Times;serif"/>
          <w:b/>
          <w:sz w:val="20"/>
        </w:rPr>
        <w:t>Item 1. Condensed Consolidated Financial Statements</w:t>
      </w:r>
    </w:p>
    <w:p>
      <w:pPr>
        <w:pStyle w:val="TextBody"/>
        <w:bidi w:val="0"/>
        <w:spacing w:before="0" w:after="0"/>
        <w:ind w:left="0" w:right="0" w:hanging="0"/>
        <w:jc w:val="left"/>
      </w:pPr>
      <w:r>
        <w:t>​</w:t>
      </w:r>
    </w:p>
    <w:p>
      <w:pPr>
        <w:pStyle w:val="TextBody"/>
        <w:bidi w:val="0"/>
        <w:spacing w:before="0" w:after="0"/>
        <w:ind w:left="0" w:right="0" w:hanging="0"/>
        <w:jc w:val="center"/>
        <w:rPr>
          <w:rFonts w:ascii="Times New Roman;Times;serif" w:hAnsi="Times New Roman;Times;serif"/>
          <w:b/>
          <w:sz w:val="20"/>
        </w:rPr>
      </w:pPr>
      <w:bookmarkStart w:id="5" w:name="bs"/>
      <w:bookmarkEnd w:id="5"/>
      <w:r>
        <w:rPr>
          <w:rFonts w:ascii="Times New Roman;Times;serif" w:hAnsi="Times New Roman;Times;serif"/>
          <w:b/>
          <w:sz w:val="20"/>
        </w:rPr>
        <w:t>Applied Optoelectronics,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BALANCE SHEETS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in thousands)</w:t>
      </w:r>
    </w:p>
    <w:p>
      <w:pPr>
        <w:pStyle w:val="TextBody"/>
        <w:bidi w:val="0"/>
        <w:spacing w:before="0" w:after="0"/>
        <w:ind w:left="0" w:right="0" w:hanging="0"/>
        <w:jc w:val="center"/>
      </w:pPr>
      <w:r>
        <w:t>​</w:t>
      </w:r>
    </w:p>
    <w:p>
      <w:pPr>
        <w:pStyle w:val="TextBody"/>
        <w:bidi w:val="0"/>
        <w:spacing w:before="0" w:after="0"/>
        <w:ind w:left="0" w:right="0" w:firstLine="180"/>
        <w:jc w:val="left"/>
      </w:pPr>
      <w:r>
        <w:t> </w:t>
      </w:r>
    </w:p>
    <w:tbl>
      <w:tblPr>
        <w:tblW w:w="10205" w:type="dxa"/>
        <w:jc w:val="left"/>
        <w:tblInd w:w="0" w:type="dxa"/>
        <w:tblLayout w:type="fixed"/>
        <w:tblCellMar>
          <w:top w:w="0" w:type="dxa"/>
          <w:left w:w="0" w:type="dxa"/>
          <w:bottom w:w="0" w:type="dxa"/>
          <w:right w:w="0" w:type="dxa"/>
        </w:tblCellMar>
      </w:tblPr>
      <w:tblGrid>
        <w:gridCol w:w="7792"/>
        <w:gridCol w:w="60"/>
        <w:gridCol w:w="138"/>
        <w:gridCol w:w="938"/>
        <w:gridCol w:w="80"/>
        <w:gridCol w:w="60"/>
        <w:gridCol w:w="135"/>
        <w:gridCol w:w="919"/>
        <w:gridCol w:w="83"/>
      </w:tblGrid>
      <w:tr>
        <w:tc>
          <w:tcPr>
            <w:tcW w:w="7792"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076"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sz w:val="20"/>
              </w:rPr>
              <w:t>September 30,</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054"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sz w:val="20"/>
              </w:rPr>
              <w:t>December 31,</w:t>
            </w:r>
          </w:p>
        </w:tc>
        <w:tc>
          <w:tcPr>
            <w:tcW w:w="83" w:type="dxa"/>
            <w:tcBorders/>
            <w:shd w:fill="FFFFFF" w:val="clear"/>
            <w:vAlign w:val="center"/>
          </w:tcPr>
          <w:p>
            <w:pPr>
              <w:pStyle w:val="TableContents"/>
              <w:bidi w:val="0"/>
              <w:spacing w:before="0" w:after="283"/>
              <w:jc w:val="left"/>
            </w:pPr>
            <w:r>
              <w:t> </w:t>
            </w:r>
          </w:p>
        </w:tc>
      </w:tr>
      <w:tr>
        <w:tc>
          <w:tcPr>
            <w:tcW w:w="7792"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07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sz w:val="20"/>
              </w:rPr>
              <w:t>2026</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0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sz w:val="20"/>
              </w:rPr>
              <w:t>2025</w:t>
            </w:r>
          </w:p>
        </w:tc>
        <w:tc>
          <w:tcPr>
            <w:tcW w:w="83" w:type="dxa"/>
            <w:tcBorders/>
            <w:shd w:fill="FFFFFF" w:val="clear"/>
            <w:vAlign w:val="center"/>
          </w:tcPr>
          <w:p>
            <w:pPr>
              <w:pStyle w:val="TableContents"/>
              <w:bidi w:val="0"/>
              <w:spacing w:before="0" w:after="283"/>
              <w:jc w:val="left"/>
            </w:pPr>
            <w:r>
              <w:t> </w:t>
            </w:r>
          </w:p>
        </w:tc>
      </w:tr>
      <w:tr>
        <w:tc>
          <w:tcPr>
            <w:tcW w:w="7792"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60" w:type="dxa"/>
            <w:tcBorders/>
            <w:shd w:fill="CCEEFF" w:val="clear"/>
            <w:vAlign w:val="center"/>
          </w:tcPr>
          <w:p>
            <w:pPr>
              <w:pStyle w:val="TableContents"/>
              <w:bidi w:val="0"/>
              <w:spacing w:before="0" w:after="283"/>
              <w:jc w:val="left"/>
            </w:pPr>
            <w:r>
              <w:t> </w:t>
            </w:r>
          </w:p>
        </w:tc>
        <w:tc>
          <w:tcPr>
            <w:tcW w:w="138" w:type="dxa"/>
            <w:tcBorders/>
            <w:shd w:fill="CCEEFF" w:val="clear"/>
            <w:vAlign w:val="center"/>
          </w:tcPr>
          <w:p>
            <w:pPr>
              <w:pStyle w:val="TableContents"/>
              <w:bidi w:val="0"/>
              <w:spacing w:before="0" w:after="283"/>
              <w:jc w:val="left"/>
            </w:pPr>
            <w:r>
              <w:t> </w:t>
            </w:r>
          </w:p>
        </w:tc>
        <w:tc>
          <w:tcPr>
            <w:tcW w:w="938"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35" w:type="dxa"/>
            <w:tcBorders/>
            <w:shd w:fill="CCEEFF" w:val="clear"/>
            <w:vAlign w:val="center"/>
          </w:tcPr>
          <w:p>
            <w:pPr>
              <w:pStyle w:val="TableContents"/>
              <w:bidi w:val="0"/>
              <w:spacing w:before="0" w:after="283"/>
              <w:jc w:val="left"/>
            </w:pPr>
            <w:r>
              <w:t> </w:t>
            </w:r>
          </w:p>
        </w:tc>
        <w:tc>
          <w:tcPr>
            <w:tcW w:w="919" w:type="dxa"/>
            <w:tcBorders/>
            <w:shd w:fill="CCEEFF" w:val="clear"/>
            <w:vAlign w:val="center"/>
          </w:tcPr>
          <w:p>
            <w:pPr>
              <w:pStyle w:val="TableContents"/>
              <w:bidi w:val="0"/>
              <w:spacing w:before="0" w:after="283"/>
              <w:jc w:val="left"/>
            </w:pPr>
            <w:r>
              <w:t> </w:t>
            </w:r>
          </w:p>
        </w:tc>
        <w:tc>
          <w:tcPr>
            <w:tcW w:w="83" w:type="dxa"/>
            <w:tcBorders/>
            <w:shd w:fill="CCEEFF" w:val="clear"/>
            <w:vAlign w:val="center"/>
          </w:tcPr>
          <w:p>
            <w:pPr>
              <w:pStyle w:val="TableContents"/>
              <w:bidi w:val="0"/>
              <w:spacing w:before="0" w:after="283"/>
              <w:jc w:val="left"/>
            </w:pPr>
            <w:r>
              <w:t> </w:t>
            </w:r>
          </w:p>
        </w:tc>
      </w:tr>
      <w:tr>
        <w:tc>
          <w:tcPr>
            <w:tcW w:w="7792" w:type="dxa"/>
            <w:tcBorders/>
            <w:shd w:fill="FFFF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Current assets</w:t>
            </w:r>
          </w:p>
        </w:tc>
        <w:tc>
          <w:tcPr>
            <w:tcW w:w="60" w:type="dxa"/>
            <w:tcBorders/>
            <w:shd w:fill="FFFFFF" w:val="clear"/>
            <w:vAlign w:val="center"/>
          </w:tcPr>
          <w:p>
            <w:pPr>
              <w:pStyle w:val="TableContents"/>
              <w:bidi w:val="0"/>
              <w:spacing w:before="0" w:after="283"/>
              <w:jc w:val="left"/>
            </w:pPr>
            <w:r>
              <w:t> </w:t>
            </w:r>
          </w:p>
        </w:tc>
        <w:tc>
          <w:tcPr>
            <w:tcW w:w="138" w:type="dxa"/>
            <w:tcBorders/>
            <w:shd w:fill="FFFFFF" w:val="clear"/>
            <w:vAlign w:val="center"/>
          </w:tcPr>
          <w:p>
            <w:pPr>
              <w:pStyle w:val="TableContents"/>
              <w:bidi w:val="0"/>
              <w:spacing w:before="0" w:after="283"/>
              <w:jc w:val="left"/>
            </w:pPr>
            <w:r>
              <w:t> </w:t>
            </w:r>
          </w:p>
        </w:tc>
        <w:tc>
          <w:tcPr>
            <w:tcW w:w="938"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35" w:type="dxa"/>
            <w:tcBorders/>
            <w:shd w:fill="FFFFFF" w:val="clear"/>
            <w:vAlign w:val="center"/>
          </w:tcPr>
          <w:p>
            <w:pPr>
              <w:pStyle w:val="TableContents"/>
              <w:bidi w:val="0"/>
              <w:spacing w:before="0" w:after="283"/>
              <w:jc w:val="left"/>
            </w:pPr>
            <w:r>
              <w:t> </w:t>
            </w:r>
          </w:p>
        </w:tc>
        <w:tc>
          <w:tcPr>
            <w:tcW w:w="919" w:type="dxa"/>
            <w:tcBorders/>
            <w:shd w:fill="FFFFFF" w:val="clear"/>
            <w:vAlign w:val="center"/>
          </w:tcPr>
          <w:p>
            <w:pPr>
              <w:pStyle w:val="TableContents"/>
              <w:bidi w:val="0"/>
              <w:spacing w:before="0" w:after="283"/>
              <w:jc w:val="left"/>
            </w:pPr>
            <w:r>
              <w:t> </w:t>
            </w:r>
          </w:p>
        </w:tc>
        <w:tc>
          <w:tcPr>
            <w:tcW w:w="83" w:type="dxa"/>
            <w:tcBorders/>
            <w:shd w:fill="FFFFFF" w:val="clear"/>
            <w:vAlign w:val="center"/>
          </w:tcPr>
          <w:p>
            <w:pPr>
              <w:pStyle w:val="TableContents"/>
              <w:bidi w:val="0"/>
              <w:spacing w:before="0" w:after="283"/>
              <w:jc w:val="left"/>
            </w:pPr>
            <w:r>
              <w:t> </w:t>
            </w:r>
          </w:p>
        </w:tc>
      </w:tr>
      <w:tr>
        <w:tc>
          <w:tcPr>
            <w:tcW w:w="7792" w:type="dxa"/>
            <w:tcBorders/>
            <w:shd w:fill="CCEE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Cash and cash equivalents</w:t>
            </w:r>
          </w:p>
        </w:tc>
        <w:tc>
          <w:tcPr>
            <w:tcW w:w="60" w:type="dxa"/>
            <w:tcBorders/>
            <w:shd w:fill="CCEEFF" w:val="clear"/>
            <w:vAlign w:val="center"/>
          </w:tcPr>
          <w:p>
            <w:pPr>
              <w:pStyle w:val="TableContents"/>
              <w:bidi w:val="0"/>
              <w:spacing w:before="0" w:after="283"/>
              <w:ind w:left="0" w:right="0" w:hanging="0"/>
              <w:jc w:val="left"/>
            </w:pPr>
            <w:r>
              <w:t> </w:t>
            </w:r>
          </w:p>
        </w:tc>
        <w:tc>
          <w:tcPr>
            <w:tcW w:w="138" w:type="dxa"/>
            <w:tcBorders/>
            <w:shd w:fill="CCEEFF" w:val="clear"/>
            <w:vAlign w:val="center"/>
          </w:tcPr>
          <w:p>
            <w:pPr>
              <w:pStyle w:val="TableContents"/>
              <w:bidi w:val="0"/>
              <w:spacing w:before="0" w:after="283"/>
              <w:ind w:left="0" w:right="0" w:hanging="0"/>
              <w:jc w:val="left"/>
              <w:rPr>
                <w:sz w:val="20"/>
              </w:rPr>
            </w:pPr>
            <w:r>
              <w:rPr>
                <w:sz w:val="20"/>
              </w:rPr>
              <w:t>$</w:t>
            </w:r>
          </w:p>
        </w:tc>
        <w:tc>
          <w:tcPr>
            <w:tcW w:w="938" w:type="dxa"/>
            <w:tcBorders/>
            <w:shd w:fill="CCEEFF" w:val="clear"/>
            <w:vAlign w:val="center"/>
          </w:tcPr>
          <w:p>
            <w:pPr>
              <w:pStyle w:val="TableContents"/>
              <w:bidi w:val="0"/>
              <w:spacing w:before="0" w:after="283"/>
              <w:ind w:left="0" w:right="0" w:hanging="0"/>
              <w:jc w:val="right"/>
              <w:rPr>
                <w:sz w:val="20"/>
              </w:rPr>
            </w:pPr>
            <w:r>
              <w:rPr>
                <w:sz w:val="20"/>
              </w:rPr>
              <w:t>605,413</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35" w:type="dxa"/>
            <w:tcBorders/>
            <w:shd w:fill="CCEEFF" w:val="clear"/>
            <w:vAlign w:val="center"/>
          </w:tcPr>
          <w:p>
            <w:pPr>
              <w:pStyle w:val="TableContents"/>
              <w:bidi w:val="0"/>
              <w:spacing w:before="0" w:after="283"/>
              <w:ind w:left="0" w:right="0" w:hanging="0"/>
              <w:jc w:val="left"/>
              <w:rPr>
                <w:sz w:val="20"/>
              </w:rPr>
            </w:pPr>
            <w:r>
              <w:rPr>
                <w:sz w:val="20"/>
              </w:rPr>
              <w:t>$</w:t>
            </w:r>
          </w:p>
        </w:tc>
        <w:tc>
          <w:tcPr>
            <w:tcW w:w="919" w:type="dxa"/>
            <w:tcBorders/>
            <w:shd w:fill="CCEEFF" w:val="clear"/>
            <w:vAlign w:val="center"/>
          </w:tcPr>
          <w:p>
            <w:pPr>
              <w:pStyle w:val="TableContents"/>
              <w:bidi w:val="0"/>
              <w:spacing w:before="0" w:after="283"/>
              <w:ind w:left="0" w:right="0" w:hanging="0"/>
              <w:jc w:val="right"/>
              <w:rPr>
                <w:sz w:val="20"/>
              </w:rPr>
            </w:pPr>
            <w:r>
              <w:rPr>
                <w:sz w:val="20"/>
              </w:rPr>
              <w:t>206,140</w:t>
            </w:r>
          </w:p>
        </w:tc>
        <w:tc>
          <w:tcPr>
            <w:tcW w:w="83" w:type="dxa"/>
            <w:tcBorders/>
            <w:shd w:fill="CCEEFF" w:val="clear"/>
            <w:vAlign w:val="center"/>
          </w:tcPr>
          <w:p>
            <w:pPr>
              <w:pStyle w:val="TableContents"/>
              <w:bidi w:val="0"/>
              <w:spacing w:before="0" w:after="283"/>
              <w:jc w:val="left"/>
            </w:pPr>
            <w:r>
              <w:t> </w:t>
            </w:r>
          </w:p>
        </w:tc>
      </w:tr>
      <w:tr>
        <w:tc>
          <w:tcPr>
            <w:tcW w:w="7792" w:type="dxa"/>
            <w:tcBorders/>
            <w:shd w:fill="FFFF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Restricted cash</w:t>
            </w:r>
          </w:p>
        </w:tc>
        <w:tc>
          <w:tcPr>
            <w:tcW w:w="60" w:type="dxa"/>
            <w:tcBorders/>
            <w:shd w:fill="FFFFFF" w:val="clear"/>
            <w:vAlign w:val="center"/>
          </w:tcPr>
          <w:p>
            <w:pPr>
              <w:pStyle w:val="TableContents"/>
              <w:bidi w:val="0"/>
              <w:spacing w:before="0" w:after="283"/>
              <w:jc w:val="left"/>
            </w:pPr>
            <w:r>
              <w:t> </w:t>
            </w:r>
          </w:p>
        </w:tc>
        <w:tc>
          <w:tcPr>
            <w:tcW w:w="138" w:type="dxa"/>
            <w:tcBorders/>
            <w:shd w:fill="FFFFFF" w:val="clear"/>
            <w:vAlign w:val="center"/>
          </w:tcPr>
          <w:p>
            <w:pPr>
              <w:pStyle w:val="TableContents"/>
              <w:bidi w:val="0"/>
              <w:spacing w:before="0" w:after="283"/>
              <w:ind w:left="0" w:right="0" w:hanging="0"/>
              <w:jc w:val="left"/>
            </w:pPr>
            <w:r>
              <w:t> </w:t>
            </w:r>
          </w:p>
        </w:tc>
        <w:tc>
          <w:tcPr>
            <w:tcW w:w="938" w:type="dxa"/>
            <w:tcBorders/>
            <w:shd w:fill="FFFFFF" w:val="clear"/>
            <w:vAlign w:val="center"/>
          </w:tcPr>
          <w:p>
            <w:pPr>
              <w:pStyle w:val="TableContents"/>
              <w:bidi w:val="0"/>
              <w:spacing w:before="0" w:after="283"/>
              <w:ind w:left="0" w:right="0" w:hanging="0"/>
              <w:jc w:val="right"/>
              <w:rPr>
                <w:sz w:val="20"/>
              </w:rPr>
            </w:pPr>
            <w:r>
              <w:rPr>
                <w:sz w:val="20"/>
              </w:rPr>
              <w:t>16,044</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35" w:type="dxa"/>
            <w:tcBorders/>
            <w:shd w:fill="FFFFFF" w:val="clear"/>
            <w:vAlign w:val="center"/>
          </w:tcPr>
          <w:p>
            <w:pPr>
              <w:pStyle w:val="TableContents"/>
              <w:bidi w:val="0"/>
              <w:spacing w:before="0" w:after="283"/>
              <w:ind w:left="0" w:right="0" w:hanging="0"/>
              <w:jc w:val="left"/>
            </w:pPr>
            <w:r>
              <w:t> </w:t>
            </w:r>
          </w:p>
        </w:tc>
        <w:tc>
          <w:tcPr>
            <w:tcW w:w="919" w:type="dxa"/>
            <w:tcBorders/>
            <w:shd w:fill="FFFFFF" w:val="clear"/>
            <w:vAlign w:val="center"/>
          </w:tcPr>
          <w:p>
            <w:pPr>
              <w:pStyle w:val="TableContents"/>
              <w:bidi w:val="0"/>
              <w:spacing w:before="0" w:after="283"/>
              <w:ind w:left="0" w:right="0" w:hanging="0"/>
              <w:jc w:val="right"/>
              <w:rPr>
                <w:sz w:val="20"/>
              </w:rPr>
            </w:pPr>
            <w:r>
              <w:rPr>
                <w:sz w:val="20"/>
              </w:rPr>
              <w:t>9,895</w:t>
            </w:r>
          </w:p>
        </w:tc>
        <w:tc>
          <w:tcPr>
            <w:tcW w:w="83" w:type="dxa"/>
            <w:tcBorders/>
            <w:shd w:fill="FFFFFF" w:val="clear"/>
            <w:vAlign w:val="center"/>
          </w:tcPr>
          <w:p>
            <w:pPr>
              <w:pStyle w:val="TableContents"/>
              <w:bidi w:val="0"/>
              <w:spacing w:before="0" w:after="283"/>
              <w:jc w:val="left"/>
            </w:pPr>
            <w:r>
              <w:t> </w:t>
            </w:r>
          </w:p>
        </w:tc>
      </w:tr>
      <w:tr>
        <w:tc>
          <w:tcPr>
            <w:tcW w:w="7792" w:type="dxa"/>
            <w:tcBorders/>
            <w:shd w:fill="CCEE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Accounts receivable, net</w:t>
            </w:r>
          </w:p>
        </w:tc>
        <w:tc>
          <w:tcPr>
            <w:tcW w:w="60" w:type="dxa"/>
            <w:tcBorders/>
            <w:shd w:fill="CCEEFF" w:val="clear"/>
            <w:vAlign w:val="center"/>
          </w:tcPr>
          <w:p>
            <w:pPr>
              <w:pStyle w:val="TableContents"/>
              <w:bidi w:val="0"/>
              <w:spacing w:before="0" w:after="283"/>
              <w:jc w:val="left"/>
            </w:pPr>
            <w:r>
              <w:t> </w:t>
            </w:r>
          </w:p>
        </w:tc>
        <w:tc>
          <w:tcPr>
            <w:tcW w:w="138" w:type="dxa"/>
            <w:tcBorders/>
            <w:shd w:fill="CCEEFF" w:val="clear"/>
            <w:vAlign w:val="center"/>
          </w:tcPr>
          <w:p>
            <w:pPr>
              <w:pStyle w:val="TableContents"/>
              <w:bidi w:val="0"/>
              <w:spacing w:before="0" w:after="283"/>
              <w:ind w:left="0" w:right="0" w:hanging="0"/>
              <w:jc w:val="left"/>
            </w:pPr>
            <w:r>
              <w:t> </w:t>
            </w:r>
          </w:p>
        </w:tc>
        <w:tc>
          <w:tcPr>
            <w:tcW w:w="938" w:type="dxa"/>
            <w:tcBorders/>
            <w:shd w:fill="CCEEFF" w:val="clear"/>
            <w:vAlign w:val="center"/>
          </w:tcPr>
          <w:p>
            <w:pPr>
              <w:pStyle w:val="TableContents"/>
              <w:bidi w:val="0"/>
              <w:spacing w:before="0" w:after="283"/>
              <w:ind w:left="0" w:right="0" w:hanging="0"/>
              <w:jc w:val="right"/>
              <w:rPr>
                <w:sz w:val="20"/>
              </w:rPr>
            </w:pPr>
            <w:r>
              <w:rPr>
                <w:sz w:val="20"/>
              </w:rPr>
              <w:t>413,760</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35" w:type="dxa"/>
            <w:tcBorders/>
            <w:shd w:fill="CCEEFF" w:val="clear"/>
            <w:vAlign w:val="center"/>
          </w:tcPr>
          <w:p>
            <w:pPr>
              <w:pStyle w:val="TableContents"/>
              <w:bidi w:val="0"/>
              <w:spacing w:before="0" w:after="283"/>
              <w:ind w:left="0" w:right="0" w:hanging="0"/>
              <w:jc w:val="left"/>
            </w:pPr>
            <w:r>
              <w:t> </w:t>
            </w:r>
          </w:p>
        </w:tc>
        <w:tc>
          <w:tcPr>
            <w:tcW w:w="919" w:type="dxa"/>
            <w:tcBorders/>
            <w:shd w:fill="CCEEFF" w:val="clear"/>
            <w:vAlign w:val="center"/>
          </w:tcPr>
          <w:p>
            <w:pPr>
              <w:pStyle w:val="TableContents"/>
              <w:bidi w:val="0"/>
              <w:spacing w:before="0" w:after="283"/>
              <w:ind w:left="0" w:right="0" w:hanging="0"/>
              <w:jc w:val="right"/>
              <w:rPr>
                <w:sz w:val="20"/>
              </w:rPr>
            </w:pPr>
            <w:r>
              <w:rPr>
                <w:sz w:val="20"/>
              </w:rPr>
              <w:t>244,404</w:t>
            </w:r>
          </w:p>
        </w:tc>
        <w:tc>
          <w:tcPr>
            <w:tcW w:w="83" w:type="dxa"/>
            <w:tcBorders/>
            <w:shd w:fill="CCEEFF" w:val="clear"/>
            <w:vAlign w:val="center"/>
          </w:tcPr>
          <w:p>
            <w:pPr>
              <w:pStyle w:val="TableContents"/>
              <w:bidi w:val="0"/>
              <w:spacing w:before="0" w:after="283"/>
              <w:jc w:val="left"/>
            </w:pPr>
            <w:r>
              <w:t> </w:t>
            </w:r>
          </w:p>
        </w:tc>
      </w:tr>
      <w:tr>
        <w:tc>
          <w:tcPr>
            <w:tcW w:w="7792" w:type="dxa"/>
            <w:tcBorders/>
            <w:shd w:fill="FFFF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Inventories, net</w:t>
            </w:r>
          </w:p>
        </w:tc>
        <w:tc>
          <w:tcPr>
            <w:tcW w:w="60" w:type="dxa"/>
            <w:tcBorders/>
            <w:shd w:fill="FFFFFF" w:val="clear"/>
            <w:vAlign w:val="center"/>
          </w:tcPr>
          <w:p>
            <w:pPr>
              <w:pStyle w:val="TableContents"/>
              <w:bidi w:val="0"/>
              <w:spacing w:before="0" w:after="283"/>
              <w:jc w:val="left"/>
            </w:pPr>
            <w:r>
              <w:t> </w:t>
            </w:r>
          </w:p>
        </w:tc>
        <w:tc>
          <w:tcPr>
            <w:tcW w:w="138" w:type="dxa"/>
            <w:tcBorders/>
            <w:shd w:fill="FFFFFF" w:val="clear"/>
            <w:vAlign w:val="center"/>
          </w:tcPr>
          <w:p>
            <w:pPr>
              <w:pStyle w:val="TableContents"/>
              <w:bidi w:val="0"/>
              <w:spacing w:before="0" w:after="283"/>
              <w:ind w:left="0" w:right="0" w:hanging="0"/>
              <w:jc w:val="left"/>
            </w:pPr>
            <w:r>
              <w:t> </w:t>
            </w:r>
          </w:p>
        </w:tc>
        <w:tc>
          <w:tcPr>
            <w:tcW w:w="938" w:type="dxa"/>
            <w:tcBorders/>
            <w:shd w:fill="FFFFFF" w:val="clear"/>
            <w:vAlign w:val="center"/>
          </w:tcPr>
          <w:p>
            <w:pPr>
              <w:pStyle w:val="TableContents"/>
              <w:bidi w:val="0"/>
              <w:spacing w:before="0" w:after="283"/>
              <w:ind w:left="0" w:right="0" w:hanging="0"/>
              <w:jc w:val="right"/>
              <w:rPr>
                <w:sz w:val="20"/>
              </w:rPr>
            </w:pPr>
            <w:r>
              <w:rPr>
                <w:sz w:val="20"/>
              </w:rPr>
              <w:t>377,991</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35" w:type="dxa"/>
            <w:tcBorders/>
            <w:shd w:fill="FFFFFF" w:val="clear"/>
            <w:vAlign w:val="center"/>
          </w:tcPr>
          <w:p>
            <w:pPr>
              <w:pStyle w:val="TableContents"/>
              <w:bidi w:val="0"/>
              <w:spacing w:before="0" w:after="283"/>
              <w:ind w:left="0" w:right="0" w:hanging="0"/>
              <w:jc w:val="left"/>
            </w:pPr>
            <w:r>
              <w:t> </w:t>
            </w:r>
          </w:p>
        </w:tc>
        <w:tc>
          <w:tcPr>
            <w:tcW w:w="919" w:type="dxa"/>
            <w:tcBorders/>
            <w:shd w:fill="FFFFFF" w:val="clear"/>
            <w:vAlign w:val="center"/>
          </w:tcPr>
          <w:p>
            <w:pPr>
              <w:pStyle w:val="TableContents"/>
              <w:bidi w:val="0"/>
              <w:spacing w:before="0" w:after="283"/>
              <w:ind w:left="0" w:right="0" w:hanging="0"/>
              <w:jc w:val="right"/>
              <w:rPr>
                <w:sz w:val="20"/>
              </w:rPr>
            </w:pPr>
            <w:r>
              <w:rPr>
                <w:sz w:val="20"/>
              </w:rPr>
              <w:t>183,105</w:t>
            </w:r>
          </w:p>
        </w:tc>
        <w:tc>
          <w:tcPr>
            <w:tcW w:w="83" w:type="dxa"/>
            <w:tcBorders/>
            <w:shd w:fill="FFFFFF" w:val="clear"/>
            <w:vAlign w:val="center"/>
          </w:tcPr>
          <w:p>
            <w:pPr>
              <w:pStyle w:val="TableContents"/>
              <w:bidi w:val="0"/>
              <w:spacing w:before="0" w:after="283"/>
              <w:jc w:val="left"/>
            </w:pPr>
            <w:r>
              <w:t> </w:t>
            </w:r>
          </w:p>
        </w:tc>
      </w:tr>
      <w:tr>
        <w:tc>
          <w:tcPr>
            <w:tcW w:w="7792" w:type="dxa"/>
            <w:tcBorders/>
            <w:shd w:fill="CCEE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Prepaid expenses and other current assets</w:t>
            </w:r>
          </w:p>
        </w:tc>
        <w:tc>
          <w:tcPr>
            <w:tcW w:w="60" w:type="dxa"/>
            <w:tcBorders/>
            <w:shd w:fill="CCEEFF" w:val="clear"/>
            <w:vAlign w:val="center"/>
          </w:tcPr>
          <w:p>
            <w:pPr>
              <w:pStyle w:val="TableContents"/>
              <w:bidi w:val="0"/>
              <w:spacing w:before="0" w:after="283"/>
              <w:jc w:val="left"/>
            </w:pPr>
            <w:r>
              <w:t> </w:t>
            </w:r>
          </w:p>
        </w:tc>
        <w:tc>
          <w:tcPr>
            <w:tcW w:w="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93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131,557</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91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32,183</w:t>
            </w:r>
          </w:p>
        </w:tc>
        <w:tc>
          <w:tcPr>
            <w:tcW w:w="83" w:type="dxa"/>
            <w:tcBorders/>
            <w:shd w:fill="CCEEFF" w:val="clear"/>
            <w:vAlign w:val="center"/>
          </w:tcPr>
          <w:p>
            <w:pPr>
              <w:pStyle w:val="TableContents"/>
              <w:bidi w:val="0"/>
              <w:spacing w:before="0" w:after="283"/>
              <w:jc w:val="left"/>
            </w:pPr>
            <w:r>
              <w:t> </w:t>
            </w:r>
          </w:p>
        </w:tc>
      </w:tr>
      <w:tr>
        <w:tc>
          <w:tcPr>
            <w:tcW w:w="7792" w:type="dxa"/>
            <w:tcBorders/>
            <w:shd w:fill="FFFFFF" w:val="clear"/>
            <w:vAlign w:val="center"/>
          </w:tcPr>
          <w:p>
            <w:pPr>
              <w:pStyle w:val="TableContents"/>
              <w:bidi w:val="0"/>
              <w:spacing w:before="0" w:after="0"/>
              <w:ind w:left="0" w:right="0" w:firstLine="360"/>
              <w:jc w:val="left"/>
              <w:rPr>
                <w:rFonts w:ascii="Times New Roman;Times;serif" w:hAnsi="Times New Roman;Times;serif"/>
                <w:b w:val="false"/>
                <w:sz w:val="20"/>
              </w:rPr>
            </w:pPr>
            <w:r>
              <w:rPr>
                <w:rFonts w:ascii="Times New Roman;Times;serif" w:hAnsi="Times New Roman;Times;serif"/>
                <w:b w:val="false"/>
                <w:sz w:val="20"/>
              </w:rPr>
              <w:t>Total current assets</w:t>
            </w:r>
          </w:p>
        </w:tc>
        <w:tc>
          <w:tcPr>
            <w:tcW w:w="60" w:type="dxa"/>
            <w:tcBorders/>
            <w:shd w:fill="FFFFFF" w:val="clear"/>
            <w:vAlign w:val="center"/>
          </w:tcPr>
          <w:p>
            <w:pPr>
              <w:pStyle w:val="TableContents"/>
              <w:bidi w:val="0"/>
              <w:spacing w:before="0" w:after="283"/>
              <w:jc w:val="left"/>
            </w:pPr>
            <w:r>
              <w:t> </w:t>
            </w:r>
          </w:p>
        </w:tc>
        <w:tc>
          <w:tcPr>
            <w:tcW w:w="138" w:type="dxa"/>
            <w:tcBorders/>
            <w:shd w:fill="FFFFFF" w:val="clear"/>
            <w:vAlign w:val="center"/>
          </w:tcPr>
          <w:p>
            <w:pPr>
              <w:pStyle w:val="TableContents"/>
              <w:bidi w:val="0"/>
              <w:spacing w:before="0" w:after="283"/>
              <w:ind w:left="0" w:right="0" w:hanging="0"/>
              <w:jc w:val="left"/>
            </w:pPr>
            <w:r>
              <w:t> </w:t>
            </w:r>
          </w:p>
        </w:tc>
        <w:tc>
          <w:tcPr>
            <w:tcW w:w="938" w:type="dxa"/>
            <w:tcBorders/>
            <w:shd w:fill="FFFFFF" w:val="clear"/>
            <w:vAlign w:val="center"/>
          </w:tcPr>
          <w:p>
            <w:pPr>
              <w:pStyle w:val="TableContents"/>
              <w:bidi w:val="0"/>
              <w:spacing w:before="0" w:after="283"/>
              <w:ind w:left="0" w:right="0" w:hanging="0"/>
              <w:jc w:val="right"/>
              <w:rPr>
                <w:sz w:val="20"/>
              </w:rPr>
            </w:pPr>
            <w:r>
              <w:rPr>
                <w:sz w:val="20"/>
              </w:rPr>
              <w:t>1,544,765</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35" w:type="dxa"/>
            <w:tcBorders/>
            <w:shd w:fill="FFFFFF" w:val="clear"/>
            <w:vAlign w:val="center"/>
          </w:tcPr>
          <w:p>
            <w:pPr>
              <w:pStyle w:val="TableContents"/>
              <w:bidi w:val="0"/>
              <w:spacing w:before="0" w:after="283"/>
              <w:ind w:left="0" w:right="0" w:hanging="0"/>
              <w:jc w:val="left"/>
            </w:pPr>
            <w:r>
              <w:t> </w:t>
            </w:r>
          </w:p>
        </w:tc>
        <w:tc>
          <w:tcPr>
            <w:tcW w:w="919" w:type="dxa"/>
            <w:tcBorders/>
            <w:shd w:fill="FFFFFF" w:val="clear"/>
            <w:vAlign w:val="center"/>
          </w:tcPr>
          <w:p>
            <w:pPr>
              <w:pStyle w:val="TableContents"/>
              <w:bidi w:val="0"/>
              <w:spacing w:before="0" w:after="283"/>
              <w:ind w:left="0" w:right="0" w:hanging="0"/>
              <w:jc w:val="right"/>
              <w:rPr>
                <w:sz w:val="20"/>
              </w:rPr>
            </w:pPr>
            <w:r>
              <w:rPr>
                <w:sz w:val="20"/>
              </w:rPr>
              <w:t>675,727</w:t>
            </w:r>
          </w:p>
        </w:tc>
        <w:tc>
          <w:tcPr>
            <w:tcW w:w="83" w:type="dxa"/>
            <w:tcBorders/>
            <w:shd w:fill="FFFFFF" w:val="clear"/>
            <w:vAlign w:val="center"/>
          </w:tcPr>
          <w:p>
            <w:pPr>
              <w:pStyle w:val="TableContents"/>
              <w:bidi w:val="0"/>
              <w:spacing w:before="0" w:after="283"/>
              <w:jc w:val="left"/>
            </w:pPr>
            <w:r>
              <w:t> </w:t>
            </w:r>
          </w:p>
        </w:tc>
      </w:tr>
      <w:tr>
        <w:tc>
          <w:tcPr>
            <w:tcW w:w="7792" w:type="dxa"/>
            <w:tcBorders/>
            <w:shd w:fill="CCEE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Property, plant and equipment, net</w:t>
            </w:r>
          </w:p>
        </w:tc>
        <w:tc>
          <w:tcPr>
            <w:tcW w:w="60" w:type="dxa"/>
            <w:tcBorders/>
            <w:shd w:fill="CCEEFF" w:val="clear"/>
            <w:vAlign w:val="center"/>
          </w:tcPr>
          <w:p>
            <w:pPr>
              <w:pStyle w:val="TableContents"/>
              <w:bidi w:val="0"/>
              <w:spacing w:before="0" w:after="283"/>
              <w:jc w:val="left"/>
            </w:pPr>
            <w:r>
              <w:t> </w:t>
            </w:r>
          </w:p>
        </w:tc>
        <w:tc>
          <w:tcPr>
            <w:tcW w:w="138" w:type="dxa"/>
            <w:tcBorders/>
            <w:shd w:fill="CCEEFF" w:val="clear"/>
            <w:vAlign w:val="center"/>
          </w:tcPr>
          <w:p>
            <w:pPr>
              <w:pStyle w:val="TableContents"/>
              <w:bidi w:val="0"/>
              <w:spacing w:before="0" w:after="283"/>
              <w:ind w:left="0" w:right="0" w:hanging="0"/>
              <w:jc w:val="left"/>
            </w:pPr>
            <w:r>
              <w:t> </w:t>
            </w:r>
          </w:p>
        </w:tc>
        <w:tc>
          <w:tcPr>
            <w:tcW w:w="938" w:type="dxa"/>
            <w:tcBorders/>
            <w:shd w:fill="CCEEFF" w:val="clear"/>
            <w:vAlign w:val="center"/>
          </w:tcPr>
          <w:p>
            <w:pPr>
              <w:pStyle w:val="TableContents"/>
              <w:bidi w:val="0"/>
              <w:spacing w:before="0" w:after="283"/>
              <w:ind w:left="0" w:right="0" w:hanging="0"/>
              <w:jc w:val="right"/>
              <w:rPr>
                <w:sz w:val="20"/>
              </w:rPr>
            </w:pPr>
            <w:r>
              <w:rPr>
                <w:sz w:val="20"/>
              </w:rPr>
              <w:t>1,043,993</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35" w:type="dxa"/>
            <w:tcBorders/>
            <w:shd w:fill="CCEEFF" w:val="clear"/>
            <w:vAlign w:val="center"/>
          </w:tcPr>
          <w:p>
            <w:pPr>
              <w:pStyle w:val="TableContents"/>
              <w:bidi w:val="0"/>
              <w:spacing w:before="0" w:after="283"/>
              <w:ind w:left="0" w:right="0" w:hanging="0"/>
              <w:jc w:val="left"/>
            </w:pPr>
            <w:r>
              <w:t> </w:t>
            </w:r>
          </w:p>
        </w:tc>
        <w:tc>
          <w:tcPr>
            <w:tcW w:w="919" w:type="dxa"/>
            <w:tcBorders/>
            <w:shd w:fill="CCEEFF" w:val="clear"/>
            <w:vAlign w:val="center"/>
          </w:tcPr>
          <w:p>
            <w:pPr>
              <w:pStyle w:val="TableContents"/>
              <w:bidi w:val="0"/>
              <w:spacing w:before="0" w:after="283"/>
              <w:ind w:left="0" w:right="0" w:hanging="0"/>
              <w:jc w:val="right"/>
              <w:rPr>
                <w:sz w:val="20"/>
              </w:rPr>
            </w:pPr>
            <w:r>
              <w:rPr>
                <w:sz w:val="20"/>
              </w:rPr>
              <w:t>376,050</w:t>
            </w:r>
          </w:p>
        </w:tc>
        <w:tc>
          <w:tcPr>
            <w:tcW w:w="83" w:type="dxa"/>
            <w:tcBorders/>
            <w:shd w:fill="CCEEFF" w:val="clear"/>
            <w:vAlign w:val="center"/>
          </w:tcPr>
          <w:p>
            <w:pPr>
              <w:pStyle w:val="TableContents"/>
              <w:bidi w:val="0"/>
              <w:spacing w:before="0" w:after="283"/>
              <w:jc w:val="left"/>
            </w:pPr>
            <w:r>
              <w:t> </w:t>
            </w:r>
          </w:p>
        </w:tc>
      </w:tr>
      <w:tr>
        <w:tc>
          <w:tcPr>
            <w:tcW w:w="7792" w:type="dxa"/>
            <w:tcBorders/>
            <w:shd w:fill="FFFF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Land use rights, net</w:t>
            </w:r>
          </w:p>
        </w:tc>
        <w:tc>
          <w:tcPr>
            <w:tcW w:w="60" w:type="dxa"/>
            <w:tcBorders/>
            <w:shd w:fill="FFFFFF" w:val="clear"/>
            <w:vAlign w:val="center"/>
          </w:tcPr>
          <w:p>
            <w:pPr>
              <w:pStyle w:val="TableContents"/>
              <w:bidi w:val="0"/>
              <w:spacing w:before="0" w:after="283"/>
              <w:jc w:val="left"/>
            </w:pPr>
            <w:r>
              <w:t> </w:t>
            </w:r>
          </w:p>
        </w:tc>
        <w:tc>
          <w:tcPr>
            <w:tcW w:w="138" w:type="dxa"/>
            <w:tcBorders/>
            <w:shd w:fill="FFFFFF" w:val="clear"/>
            <w:vAlign w:val="center"/>
          </w:tcPr>
          <w:p>
            <w:pPr>
              <w:pStyle w:val="TableContents"/>
              <w:bidi w:val="0"/>
              <w:spacing w:before="0" w:after="283"/>
              <w:ind w:left="0" w:right="0" w:hanging="0"/>
              <w:jc w:val="left"/>
            </w:pPr>
            <w:r>
              <w:t> </w:t>
            </w:r>
          </w:p>
        </w:tc>
        <w:tc>
          <w:tcPr>
            <w:tcW w:w="938" w:type="dxa"/>
            <w:tcBorders/>
            <w:shd w:fill="FFFFFF" w:val="clear"/>
            <w:vAlign w:val="center"/>
          </w:tcPr>
          <w:p>
            <w:pPr>
              <w:pStyle w:val="TableContents"/>
              <w:bidi w:val="0"/>
              <w:spacing w:before="0" w:after="283"/>
              <w:ind w:left="0" w:right="0" w:hanging="0"/>
              <w:jc w:val="right"/>
              <w:rPr>
                <w:sz w:val="20"/>
              </w:rPr>
            </w:pPr>
            <w:r>
              <w:rPr>
                <w:sz w:val="20"/>
              </w:rPr>
              <w:t>4,940</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35" w:type="dxa"/>
            <w:tcBorders/>
            <w:shd w:fill="FFFFFF" w:val="clear"/>
            <w:vAlign w:val="center"/>
          </w:tcPr>
          <w:p>
            <w:pPr>
              <w:pStyle w:val="TableContents"/>
              <w:bidi w:val="0"/>
              <w:spacing w:before="0" w:after="283"/>
              <w:ind w:left="0" w:right="0" w:hanging="0"/>
              <w:jc w:val="left"/>
            </w:pPr>
            <w:r>
              <w:t> </w:t>
            </w:r>
          </w:p>
        </w:tc>
        <w:tc>
          <w:tcPr>
            <w:tcW w:w="919" w:type="dxa"/>
            <w:tcBorders/>
            <w:shd w:fill="FFFFFF" w:val="clear"/>
            <w:vAlign w:val="center"/>
          </w:tcPr>
          <w:p>
            <w:pPr>
              <w:pStyle w:val="TableContents"/>
              <w:bidi w:val="0"/>
              <w:spacing w:before="0" w:after="283"/>
              <w:ind w:left="0" w:right="0" w:hanging="0"/>
              <w:jc w:val="right"/>
              <w:rPr>
                <w:sz w:val="20"/>
              </w:rPr>
            </w:pPr>
            <w:r>
              <w:rPr>
                <w:sz w:val="20"/>
              </w:rPr>
              <w:t>4,825</w:t>
            </w:r>
          </w:p>
        </w:tc>
        <w:tc>
          <w:tcPr>
            <w:tcW w:w="83" w:type="dxa"/>
            <w:tcBorders/>
            <w:shd w:fill="FFFFFF" w:val="clear"/>
            <w:vAlign w:val="center"/>
          </w:tcPr>
          <w:p>
            <w:pPr>
              <w:pStyle w:val="TableContents"/>
              <w:bidi w:val="0"/>
              <w:spacing w:before="0" w:after="283"/>
              <w:jc w:val="left"/>
            </w:pPr>
            <w:r>
              <w:t> </w:t>
            </w:r>
          </w:p>
        </w:tc>
      </w:tr>
      <w:tr>
        <w:tc>
          <w:tcPr>
            <w:tcW w:w="7792" w:type="dxa"/>
            <w:tcBorders/>
            <w:shd w:fill="CCEE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Operating right of use assets</w:t>
            </w:r>
          </w:p>
        </w:tc>
        <w:tc>
          <w:tcPr>
            <w:tcW w:w="60" w:type="dxa"/>
            <w:tcBorders/>
            <w:shd w:fill="CCEEFF" w:val="clear"/>
            <w:vAlign w:val="center"/>
          </w:tcPr>
          <w:p>
            <w:pPr>
              <w:pStyle w:val="TableContents"/>
              <w:bidi w:val="0"/>
              <w:spacing w:before="0" w:after="283"/>
              <w:jc w:val="left"/>
            </w:pPr>
            <w:r>
              <w:t> </w:t>
            </w:r>
          </w:p>
        </w:tc>
        <w:tc>
          <w:tcPr>
            <w:tcW w:w="138" w:type="dxa"/>
            <w:tcBorders/>
            <w:shd w:fill="CCEEFF" w:val="clear"/>
            <w:vAlign w:val="center"/>
          </w:tcPr>
          <w:p>
            <w:pPr>
              <w:pStyle w:val="TableContents"/>
              <w:bidi w:val="0"/>
              <w:spacing w:before="0" w:after="283"/>
              <w:ind w:left="0" w:right="0" w:hanging="0"/>
              <w:jc w:val="left"/>
            </w:pPr>
            <w:r>
              <w:t> </w:t>
            </w:r>
          </w:p>
        </w:tc>
        <w:tc>
          <w:tcPr>
            <w:tcW w:w="938" w:type="dxa"/>
            <w:tcBorders/>
            <w:shd w:fill="CCEEFF" w:val="clear"/>
            <w:vAlign w:val="center"/>
          </w:tcPr>
          <w:p>
            <w:pPr>
              <w:pStyle w:val="TableContents"/>
              <w:bidi w:val="0"/>
              <w:spacing w:before="0" w:after="283"/>
              <w:ind w:left="0" w:right="0" w:hanging="0"/>
              <w:jc w:val="right"/>
              <w:rPr>
                <w:sz w:val="20"/>
              </w:rPr>
            </w:pPr>
            <w:r>
              <w:rPr>
                <w:sz w:val="20"/>
              </w:rPr>
              <w:t>70,509</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35" w:type="dxa"/>
            <w:tcBorders/>
            <w:shd w:fill="CCEEFF" w:val="clear"/>
            <w:vAlign w:val="center"/>
          </w:tcPr>
          <w:p>
            <w:pPr>
              <w:pStyle w:val="TableContents"/>
              <w:bidi w:val="0"/>
              <w:spacing w:before="0" w:after="283"/>
              <w:ind w:left="0" w:right="0" w:hanging="0"/>
              <w:jc w:val="left"/>
            </w:pPr>
            <w:r>
              <w:t> </w:t>
            </w:r>
          </w:p>
        </w:tc>
        <w:tc>
          <w:tcPr>
            <w:tcW w:w="919" w:type="dxa"/>
            <w:tcBorders/>
            <w:shd w:fill="CCEEFF" w:val="clear"/>
            <w:vAlign w:val="center"/>
          </w:tcPr>
          <w:p>
            <w:pPr>
              <w:pStyle w:val="TableContents"/>
              <w:bidi w:val="0"/>
              <w:spacing w:before="0" w:after="283"/>
              <w:ind w:left="0" w:right="0" w:hanging="0"/>
              <w:jc w:val="right"/>
              <w:rPr>
                <w:sz w:val="20"/>
              </w:rPr>
            </w:pPr>
            <w:r>
              <w:rPr>
                <w:sz w:val="20"/>
              </w:rPr>
              <w:t>49,697</w:t>
            </w:r>
          </w:p>
        </w:tc>
        <w:tc>
          <w:tcPr>
            <w:tcW w:w="83" w:type="dxa"/>
            <w:tcBorders/>
            <w:shd w:fill="CCEEFF" w:val="clear"/>
            <w:vAlign w:val="center"/>
          </w:tcPr>
          <w:p>
            <w:pPr>
              <w:pStyle w:val="TableContents"/>
              <w:bidi w:val="0"/>
              <w:spacing w:before="0" w:after="283"/>
              <w:jc w:val="left"/>
            </w:pPr>
            <w:r>
              <w:t> </w:t>
            </w:r>
          </w:p>
        </w:tc>
      </w:tr>
      <w:tr>
        <w:tc>
          <w:tcPr>
            <w:tcW w:w="7792" w:type="dxa"/>
            <w:tcBorders/>
            <w:shd w:fill="FFFF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Intangible assets, net</w:t>
            </w:r>
          </w:p>
        </w:tc>
        <w:tc>
          <w:tcPr>
            <w:tcW w:w="60" w:type="dxa"/>
            <w:tcBorders/>
            <w:shd w:fill="FFFFFF" w:val="clear"/>
            <w:vAlign w:val="center"/>
          </w:tcPr>
          <w:p>
            <w:pPr>
              <w:pStyle w:val="TableContents"/>
              <w:bidi w:val="0"/>
              <w:spacing w:before="0" w:after="283"/>
              <w:jc w:val="left"/>
            </w:pPr>
            <w:r>
              <w:t> </w:t>
            </w:r>
          </w:p>
        </w:tc>
        <w:tc>
          <w:tcPr>
            <w:tcW w:w="138" w:type="dxa"/>
            <w:tcBorders/>
            <w:shd w:fill="FFFFFF" w:val="clear"/>
            <w:vAlign w:val="center"/>
          </w:tcPr>
          <w:p>
            <w:pPr>
              <w:pStyle w:val="TableContents"/>
              <w:bidi w:val="0"/>
              <w:spacing w:before="0" w:after="283"/>
              <w:ind w:left="0" w:right="0" w:hanging="0"/>
              <w:jc w:val="left"/>
            </w:pPr>
            <w:r>
              <w:t> </w:t>
            </w:r>
          </w:p>
        </w:tc>
        <w:tc>
          <w:tcPr>
            <w:tcW w:w="938" w:type="dxa"/>
            <w:tcBorders/>
            <w:shd w:fill="FFFFFF" w:val="clear"/>
            <w:vAlign w:val="center"/>
          </w:tcPr>
          <w:p>
            <w:pPr>
              <w:pStyle w:val="TableContents"/>
              <w:bidi w:val="0"/>
              <w:spacing w:before="0" w:after="283"/>
              <w:ind w:left="0" w:right="0" w:hanging="0"/>
              <w:jc w:val="right"/>
              <w:rPr>
                <w:sz w:val="20"/>
              </w:rPr>
            </w:pPr>
            <w:r>
              <w:rPr>
                <w:sz w:val="20"/>
              </w:rPr>
              <w:t>3,692</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35" w:type="dxa"/>
            <w:tcBorders/>
            <w:shd w:fill="FFFFFF" w:val="clear"/>
            <w:vAlign w:val="center"/>
          </w:tcPr>
          <w:p>
            <w:pPr>
              <w:pStyle w:val="TableContents"/>
              <w:bidi w:val="0"/>
              <w:spacing w:before="0" w:after="283"/>
              <w:ind w:left="0" w:right="0" w:hanging="0"/>
              <w:jc w:val="left"/>
            </w:pPr>
            <w:r>
              <w:t> </w:t>
            </w:r>
          </w:p>
        </w:tc>
        <w:tc>
          <w:tcPr>
            <w:tcW w:w="919" w:type="dxa"/>
            <w:tcBorders/>
            <w:shd w:fill="FFFFFF" w:val="clear"/>
            <w:vAlign w:val="center"/>
          </w:tcPr>
          <w:p>
            <w:pPr>
              <w:pStyle w:val="TableContents"/>
              <w:bidi w:val="0"/>
              <w:spacing w:before="0" w:after="283"/>
              <w:ind w:left="0" w:right="0" w:hanging="0"/>
              <w:jc w:val="right"/>
              <w:rPr>
                <w:sz w:val="20"/>
              </w:rPr>
            </w:pPr>
            <w:r>
              <w:rPr>
                <w:sz w:val="20"/>
              </w:rPr>
              <w:t>3,623</w:t>
            </w:r>
          </w:p>
        </w:tc>
        <w:tc>
          <w:tcPr>
            <w:tcW w:w="83" w:type="dxa"/>
            <w:tcBorders/>
            <w:shd w:fill="FFFFFF" w:val="clear"/>
            <w:vAlign w:val="center"/>
          </w:tcPr>
          <w:p>
            <w:pPr>
              <w:pStyle w:val="TableContents"/>
              <w:bidi w:val="0"/>
              <w:spacing w:before="0" w:after="283"/>
              <w:jc w:val="left"/>
            </w:pPr>
            <w:r>
              <w:t> </w:t>
            </w:r>
          </w:p>
        </w:tc>
      </w:tr>
      <w:tr>
        <w:tc>
          <w:tcPr>
            <w:tcW w:w="7792" w:type="dxa"/>
            <w:tcBorders/>
            <w:shd w:fill="CCEE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Deferred income tax assets</w:t>
            </w:r>
          </w:p>
        </w:tc>
        <w:tc>
          <w:tcPr>
            <w:tcW w:w="60" w:type="dxa"/>
            <w:tcBorders/>
            <w:shd w:fill="CCEEFF" w:val="clear"/>
            <w:vAlign w:val="center"/>
          </w:tcPr>
          <w:p>
            <w:pPr>
              <w:pStyle w:val="TableContents"/>
              <w:bidi w:val="0"/>
              <w:spacing w:before="0" w:after="283"/>
              <w:jc w:val="left"/>
            </w:pPr>
            <w:r>
              <w:t> </w:t>
            </w:r>
          </w:p>
        </w:tc>
        <w:tc>
          <w:tcPr>
            <w:tcW w:w="138" w:type="dxa"/>
            <w:tcBorders/>
            <w:shd w:fill="CCEEFF" w:val="clear"/>
            <w:vAlign w:val="center"/>
          </w:tcPr>
          <w:p>
            <w:pPr>
              <w:pStyle w:val="TableContents"/>
              <w:bidi w:val="0"/>
              <w:spacing w:before="0" w:after="283"/>
              <w:jc w:val="left"/>
            </w:pPr>
            <w:r>
              <w:t> </w:t>
            </w:r>
          </w:p>
        </w:tc>
        <w:tc>
          <w:tcPr>
            <w:tcW w:w="938" w:type="dxa"/>
            <w:tcBorders/>
            <w:shd w:fill="CCEEFF" w:val="clear"/>
            <w:vAlign w:val="center"/>
          </w:tcPr>
          <w:p>
            <w:pPr>
              <w:pStyle w:val="TableContents"/>
              <w:bidi w:val="0"/>
              <w:spacing w:before="0" w:after="283"/>
              <w:jc w:val="right"/>
              <w:rPr>
                <w:sz w:val="20"/>
              </w:rPr>
            </w:pPr>
            <w:r>
              <w:rPr>
                <w:sz w:val="20"/>
              </w:rPr>
              <w:t>2,020</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35" w:type="dxa"/>
            <w:tcBorders/>
            <w:shd w:fill="CCEEFF" w:val="clear"/>
            <w:vAlign w:val="center"/>
          </w:tcPr>
          <w:p>
            <w:pPr>
              <w:pStyle w:val="TableContents"/>
              <w:bidi w:val="0"/>
              <w:spacing w:before="0" w:after="283"/>
              <w:jc w:val="left"/>
            </w:pPr>
            <w:r>
              <w:t> </w:t>
            </w:r>
          </w:p>
        </w:tc>
        <w:tc>
          <w:tcPr>
            <w:tcW w:w="919" w:type="dxa"/>
            <w:tcBorders/>
            <w:shd w:fill="CCEEFF" w:val="clear"/>
            <w:vAlign w:val="center"/>
          </w:tcPr>
          <w:p>
            <w:pPr>
              <w:pStyle w:val="TableContents"/>
              <w:bidi w:val="0"/>
              <w:spacing w:before="0" w:after="283"/>
              <w:jc w:val="right"/>
              <w:rPr>
                <w:sz w:val="20"/>
              </w:rPr>
            </w:pPr>
            <w:r>
              <w:rPr>
                <w:sz w:val="20"/>
              </w:rPr>
              <w:t>7,616</w:t>
            </w:r>
          </w:p>
        </w:tc>
        <w:tc>
          <w:tcPr>
            <w:tcW w:w="83" w:type="dxa"/>
            <w:tcBorders/>
            <w:shd w:fill="CCEEFF" w:val="clear"/>
            <w:vAlign w:val="center"/>
          </w:tcPr>
          <w:p>
            <w:pPr>
              <w:pStyle w:val="TableContents"/>
              <w:bidi w:val="0"/>
              <w:spacing w:before="0" w:after="283"/>
              <w:jc w:val="left"/>
            </w:pPr>
            <w:r>
              <w:t> </w:t>
            </w:r>
          </w:p>
        </w:tc>
      </w:tr>
      <w:tr>
        <w:tc>
          <w:tcPr>
            <w:tcW w:w="7792" w:type="dxa"/>
            <w:tcBorders/>
            <w:shd w:fill="FFFF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Other assets, net</w:t>
            </w:r>
          </w:p>
        </w:tc>
        <w:tc>
          <w:tcPr>
            <w:tcW w:w="60" w:type="dxa"/>
            <w:tcBorders/>
            <w:shd w:fill="FFFFFF" w:val="clear"/>
            <w:vAlign w:val="center"/>
          </w:tcPr>
          <w:p>
            <w:pPr>
              <w:pStyle w:val="TableContents"/>
              <w:bidi w:val="0"/>
              <w:spacing w:before="0" w:after="283"/>
              <w:jc w:val="left"/>
            </w:pPr>
            <w:r>
              <w:t> </w:t>
            </w:r>
          </w:p>
        </w:tc>
        <w:tc>
          <w:tcPr>
            <w:tcW w:w="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9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465,707</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91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50,885</w:t>
            </w:r>
          </w:p>
        </w:tc>
        <w:tc>
          <w:tcPr>
            <w:tcW w:w="83" w:type="dxa"/>
            <w:tcBorders/>
            <w:shd w:fill="FFFFFF" w:val="clear"/>
            <w:vAlign w:val="center"/>
          </w:tcPr>
          <w:p>
            <w:pPr>
              <w:pStyle w:val="TableContents"/>
              <w:bidi w:val="0"/>
              <w:spacing w:before="0" w:after="283"/>
              <w:jc w:val="left"/>
            </w:pPr>
            <w:r>
              <w:t> </w:t>
            </w:r>
          </w:p>
        </w:tc>
      </w:tr>
      <w:tr>
        <w:tc>
          <w:tcPr>
            <w:tcW w:w="7792" w:type="dxa"/>
            <w:tcBorders/>
            <w:shd w:fill="CCEE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TOTAL ASSETS</w:t>
            </w:r>
          </w:p>
        </w:tc>
        <w:tc>
          <w:tcPr>
            <w:tcW w:w="60" w:type="dxa"/>
            <w:tcBorders/>
            <w:shd w:fill="CCEEFF" w:val="clear"/>
            <w:vAlign w:val="center"/>
          </w:tcPr>
          <w:p>
            <w:pPr>
              <w:pStyle w:val="TableContents"/>
              <w:bidi w:val="0"/>
              <w:spacing w:before="0" w:after="283"/>
              <w:ind w:left="0" w:right="0" w:hanging="0"/>
              <w:jc w:val="left"/>
            </w:pPr>
            <w:r>
              <w:t> </w:t>
            </w:r>
          </w:p>
        </w:tc>
        <w:tc>
          <w:tcPr>
            <w:tcW w:w="13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93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3,135,626</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91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1,168,423</w:t>
            </w:r>
          </w:p>
        </w:tc>
        <w:tc>
          <w:tcPr>
            <w:tcW w:w="83" w:type="dxa"/>
            <w:tcBorders/>
            <w:shd w:fill="CCEEFF" w:val="clear"/>
            <w:vAlign w:val="center"/>
          </w:tcPr>
          <w:p>
            <w:pPr>
              <w:pStyle w:val="TableContents"/>
              <w:bidi w:val="0"/>
              <w:spacing w:before="0" w:after="283"/>
              <w:jc w:val="left"/>
            </w:pPr>
            <w:r>
              <w:t> </w:t>
            </w:r>
          </w:p>
        </w:tc>
      </w:tr>
      <w:tr>
        <w:tc>
          <w:tcPr>
            <w:tcW w:w="7792"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LIABILITIES AND STOCKHOLDERS' EQUITY</w:t>
            </w:r>
          </w:p>
        </w:tc>
        <w:tc>
          <w:tcPr>
            <w:tcW w:w="60" w:type="dxa"/>
            <w:tcBorders/>
            <w:shd w:fill="FFFFFF" w:val="clear"/>
            <w:vAlign w:val="center"/>
          </w:tcPr>
          <w:p>
            <w:pPr>
              <w:pStyle w:val="TableContents"/>
              <w:bidi w:val="0"/>
              <w:spacing w:before="0" w:after="283"/>
              <w:jc w:val="left"/>
            </w:pPr>
            <w:r>
              <w:t> </w:t>
            </w:r>
          </w:p>
        </w:tc>
        <w:tc>
          <w:tcPr>
            <w:tcW w:w="138" w:type="dxa"/>
            <w:tcBorders/>
            <w:shd w:fill="FFFFFF" w:val="clear"/>
            <w:vAlign w:val="center"/>
          </w:tcPr>
          <w:p>
            <w:pPr>
              <w:pStyle w:val="TableContents"/>
              <w:bidi w:val="0"/>
              <w:spacing w:before="0" w:after="283"/>
              <w:jc w:val="left"/>
            </w:pPr>
            <w:r>
              <w:t> </w:t>
            </w:r>
          </w:p>
        </w:tc>
        <w:tc>
          <w:tcPr>
            <w:tcW w:w="938"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35" w:type="dxa"/>
            <w:tcBorders/>
            <w:shd w:fill="FFFFFF" w:val="clear"/>
            <w:vAlign w:val="center"/>
          </w:tcPr>
          <w:p>
            <w:pPr>
              <w:pStyle w:val="TableContents"/>
              <w:bidi w:val="0"/>
              <w:spacing w:before="0" w:after="283"/>
              <w:jc w:val="left"/>
            </w:pPr>
            <w:r>
              <w:t> </w:t>
            </w:r>
          </w:p>
        </w:tc>
        <w:tc>
          <w:tcPr>
            <w:tcW w:w="919" w:type="dxa"/>
            <w:tcBorders/>
            <w:shd w:fill="FFFFFF" w:val="clear"/>
            <w:vAlign w:val="center"/>
          </w:tcPr>
          <w:p>
            <w:pPr>
              <w:pStyle w:val="TableContents"/>
              <w:bidi w:val="0"/>
              <w:spacing w:before="0" w:after="283"/>
              <w:jc w:val="left"/>
            </w:pPr>
            <w:r>
              <w:t> </w:t>
            </w:r>
          </w:p>
        </w:tc>
        <w:tc>
          <w:tcPr>
            <w:tcW w:w="83" w:type="dxa"/>
            <w:tcBorders/>
            <w:shd w:fill="FFFFFF" w:val="clear"/>
            <w:vAlign w:val="center"/>
          </w:tcPr>
          <w:p>
            <w:pPr>
              <w:pStyle w:val="TableContents"/>
              <w:bidi w:val="0"/>
              <w:spacing w:before="0" w:after="283"/>
              <w:jc w:val="left"/>
            </w:pPr>
            <w:r>
              <w:t> </w:t>
            </w:r>
          </w:p>
        </w:tc>
      </w:tr>
      <w:tr>
        <w:tc>
          <w:tcPr>
            <w:tcW w:w="7792"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Current liabilities</w:t>
            </w:r>
          </w:p>
        </w:tc>
        <w:tc>
          <w:tcPr>
            <w:tcW w:w="60" w:type="dxa"/>
            <w:tcBorders/>
            <w:shd w:fill="CCEEFF" w:val="clear"/>
            <w:vAlign w:val="center"/>
          </w:tcPr>
          <w:p>
            <w:pPr>
              <w:pStyle w:val="TableContents"/>
              <w:bidi w:val="0"/>
              <w:spacing w:before="0" w:after="283"/>
              <w:jc w:val="left"/>
            </w:pPr>
            <w:r>
              <w:t> </w:t>
            </w:r>
          </w:p>
        </w:tc>
        <w:tc>
          <w:tcPr>
            <w:tcW w:w="138" w:type="dxa"/>
            <w:tcBorders/>
            <w:shd w:fill="CCEEFF" w:val="clear"/>
            <w:vAlign w:val="center"/>
          </w:tcPr>
          <w:p>
            <w:pPr>
              <w:pStyle w:val="TableContents"/>
              <w:bidi w:val="0"/>
              <w:spacing w:before="0" w:after="283"/>
              <w:jc w:val="left"/>
            </w:pPr>
            <w:r>
              <w:t> </w:t>
            </w:r>
          </w:p>
        </w:tc>
        <w:tc>
          <w:tcPr>
            <w:tcW w:w="938"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35" w:type="dxa"/>
            <w:tcBorders/>
            <w:shd w:fill="CCEEFF" w:val="clear"/>
            <w:vAlign w:val="center"/>
          </w:tcPr>
          <w:p>
            <w:pPr>
              <w:pStyle w:val="TableContents"/>
              <w:bidi w:val="0"/>
              <w:spacing w:before="0" w:after="283"/>
              <w:jc w:val="left"/>
            </w:pPr>
            <w:r>
              <w:t> </w:t>
            </w:r>
          </w:p>
        </w:tc>
        <w:tc>
          <w:tcPr>
            <w:tcW w:w="919" w:type="dxa"/>
            <w:tcBorders/>
            <w:shd w:fill="CCEEFF" w:val="clear"/>
            <w:vAlign w:val="center"/>
          </w:tcPr>
          <w:p>
            <w:pPr>
              <w:pStyle w:val="TableContents"/>
              <w:bidi w:val="0"/>
              <w:spacing w:before="0" w:after="283"/>
              <w:jc w:val="left"/>
            </w:pPr>
            <w:r>
              <w:t> </w:t>
            </w:r>
          </w:p>
        </w:tc>
        <w:tc>
          <w:tcPr>
            <w:tcW w:w="83" w:type="dxa"/>
            <w:tcBorders/>
            <w:shd w:fill="CCEEFF" w:val="clear"/>
            <w:vAlign w:val="center"/>
          </w:tcPr>
          <w:p>
            <w:pPr>
              <w:pStyle w:val="TableContents"/>
              <w:bidi w:val="0"/>
              <w:spacing w:before="0" w:after="283"/>
              <w:jc w:val="left"/>
            </w:pPr>
            <w:r>
              <w:t> </w:t>
            </w:r>
          </w:p>
        </w:tc>
      </w:tr>
      <w:tr>
        <w:tc>
          <w:tcPr>
            <w:tcW w:w="7792" w:type="dxa"/>
            <w:tcBorders/>
            <w:shd w:fill="FFFF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Accounts payable</w:t>
            </w:r>
          </w:p>
        </w:tc>
        <w:tc>
          <w:tcPr>
            <w:tcW w:w="60" w:type="dxa"/>
            <w:tcBorders/>
            <w:shd w:fill="FFFFFF" w:val="clear"/>
            <w:vAlign w:val="center"/>
          </w:tcPr>
          <w:p>
            <w:pPr>
              <w:pStyle w:val="TableContents"/>
              <w:bidi w:val="0"/>
              <w:spacing w:before="0" w:after="283"/>
              <w:ind w:left="0" w:right="0" w:hanging="0"/>
              <w:jc w:val="left"/>
            </w:pPr>
            <w:r>
              <w:t> </w:t>
            </w:r>
          </w:p>
        </w:tc>
        <w:tc>
          <w:tcPr>
            <w:tcW w:w="138" w:type="dxa"/>
            <w:tcBorders/>
            <w:shd w:fill="FFFFFF" w:val="clear"/>
            <w:vAlign w:val="center"/>
          </w:tcPr>
          <w:p>
            <w:pPr>
              <w:pStyle w:val="TableContents"/>
              <w:bidi w:val="0"/>
              <w:spacing w:before="0" w:after="283"/>
              <w:ind w:left="0" w:right="0" w:hanging="0"/>
              <w:jc w:val="left"/>
              <w:rPr>
                <w:sz w:val="20"/>
              </w:rPr>
            </w:pPr>
            <w:r>
              <w:rPr>
                <w:sz w:val="20"/>
              </w:rPr>
              <w:t>$</w:t>
            </w:r>
          </w:p>
        </w:tc>
        <w:tc>
          <w:tcPr>
            <w:tcW w:w="938" w:type="dxa"/>
            <w:tcBorders/>
            <w:shd w:fill="FFFFFF" w:val="clear"/>
            <w:vAlign w:val="center"/>
          </w:tcPr>
          <w:p>
            <w:pPr>
              <w:pStyle w:val="TableContents"/>
              <w:bidi w:val="0"/>
              <w:spacing w:before="0" w:after="283"/>
              <w:ind w:left="0" w:right="0" w:hanging="0"/>
              <w:jc w:val="right"/>
              <w:rPr>
                <w:sz w:val="20"/>
              </w:rPr>
            </w:pPr>
            <w:r>
              <w:rPr>
                <w:sz w:val="20"/>
              </w:rPr>
              <w:t>494,279</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35" w:type="dxa"/>
            <w:tcBorders/>
            <w:shd w:fill="FFFFFF" w:val="clear"/>
            <w:vAlign w:val="center"/>
          </w:tcPr>
          <w:p>
            <w:pPr>
              <w:pStyle w:val="TableContents"/>
              <w:bidi w:val="0"/>
              <w:spacing w:before="0" w:after="283"/>
              <w:ind w:left="0" w:right="0" w:hanging="0"/>
              <w:jc w:val="left"/>
              <w:rPr>
                <w:sz w:val="20"/>
              </w:rPr>
            </w:pPr>
            <w:r>
              <w:rPr>
                <w:sz w:val="20"/>
              </w:rPr>
              <w:t>$</w:t>
            </w:r>
          </w:p>
        </w:tc>
        <w:tc>
          <w:tcPr>
            <w:tcW w:w="919" w:type="dxa"/>
            <w:tcBorders/>
            <w:shd w:fill="FFFFFF" w:val="clear"/>
            <w:vAlign w:val="center"/>
          </w:tcPr>
          <w:p>
            <w:pPr>
              <w:pStyle w:val="TableContents"/>
              <w:bidi w:val="0"/>
              <w:spacing w:before="0" w:after="283"/>
              <w:ind w:left="0" w:right="0" w:hanging="0"/>
              <w:jc w:val="right"/>
              <w:rPr>
                <w:sz w:val="20"/>
              </w:rPr>
            </w:pPr>
            <w:r>
              <w:rPr>
                <w:sz w:val="20"/>
              </w:rPr>
              <w:t>143,932</w:t>
            </w:r>
          </w:p>
        </w:tc>
        <w:tc>
          <w:tcPr>
            <w:tcW w:w="83" w:type="dxa"/>
            <w:tcBorders/>
            <w:shd w:fill="FFFFFF" w:val="clear"/>
            <w:vAlign w:val="center"/>
          </w:tcPr>
          <w:p>
            <w:pPr>
              <w:pStyle w:val="TableContents"/>
              <w:bidi w:val="0"/>
              <w:spacing w:before="0" w:after="283"/>
              <w:jc w:val="left"/>
            </w:pPr>
            <w:r>
              <w:t> </w:t>
            </w:r>
          </w:p>
        </w:tc>
      </w:tr>
      <w:tr>
        <w:tc>
          <w:tcPr>
            <w:tcW w:w="7792" w:type="dxa"/>
            <w:tcBorders/>
            <w:shd w:fill="CCEE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Bank acceptance payable</w:t>
            </w:r>
          </w:p>
        </w:tc>
        <w:tc>
          <w:tcPr>
            <w:tcW w:w="60" w:type="dxa"/>
            <w:tcBorders/>
            <w:shd w:fill="CCEEFF" w:val="clear"/>
            <w:vAlign w:val="center"/>
          </w:tcPr>
          <w:p>
            <w:pPr>
              <w:pStyle w:val="TableContents"/>
              <w:bidi w:val="0"/>
              <w:spacing w:before="0" w:after="283"/>
              <w:jc w:val="left"/>
            </w:pPr>
            <w:r>
              <w:t> </w:t>
            </w:r>
          </w:p>
        </w:tc>
        <w:tc>
          <w:tcPr>
            <w:tcW w:w="138" w:type="dxa"/>
            <w:tcBorders/>
            <w:shd w:fill="CCEEFF" w:val="clear"/>
            <w:vAlign w:val="center"/>
          </w:tcPr>
          <w:p>
            <w:pPr>
              <w:pStyle w:val="TableContents"/>
              <w:bidi w:val="0"/>
              <w:spacing w:before="0" w:after="283"/>
              <w:ind w:left="0" w:right="0" w:hanging="0"/>
              <w:jc w:val="left"/>
            </w:pPr>
            <w:r>
              <w:t> </w:t>
            </w:r>
          </w:p>
        </w:tc>
        <w:tc>
          <w:tcPr>
            <w:tcW w:w="938" w:type="dxa"/>
            <w:tcBorders/>
            <w:shd w:fill="CCEEFF" w:val="clear"/>
            <w:vAlign w:val="center"/>
          </w:tcPr>
          <w:p>
            <w:pPr>
              <w:pStyle w:val="TableContents"/>
              <w:bidi w:val="0"/>
              <w:spacing w:before="0" w:after="283"/>
              <w:ind w:left="0" w:right="0" w:hanging="0"/>
              <w:jc w:val="right"/>
              <w:rPr>
                <w:sz w:val="20"/>
              </w:rPr>
            </w:pPr>
            <w:r>
              <w:rPr>
                <w:sz w:val="20"/>
              </w:rPr>
              <w:t>51,509</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35" w:type="dxa"/>
            <w:tcBorders/>
            <w:shd w:fill="CCEEFF" w:val="clear"/>
            <w:vAlign w:val="center"/>
          </w:tcPr>
          <w:p>
            <w:pPr>
              <w:pStyle w:val="TableContents"/>
              <w:bidi w:val="0"/>
              <w:spacing w:before="0" w:after="283"/>
              <w:ind w:left="0" w:right="0" w:hanging="0"/>
              <w:jc w:val="left"/>
            </w:pPr>
            <w:r>
              <w:t> </w:t>
            </w:r>
          </w:p>
        </w:tc>
        <w:tc>
          <w:tcPr>
            <w:tcW w:w="919" w:type="dxa"/>
            <w:tcBorders/>
            <w:shd w:fill="CCEEFF" w:val="clear"/>
            <w:vAlign w:val="center"/>
          </w:tcPr>
          <w:p>
            <w:pPr>
              <w:pStyle w:val="TableContents"/>
              <w:bidi w:val="0"/>
              <w:spacing w:before="0" w:after="283"/>
              <w:ind w:left="0" w:right="0" w:hanging="0"/>
              <w:jc w:val="right"/>
              <w:rPr>
                <w:sz w:val="20"/>
              </w:rPr>
            </w:pPr>
            <w:r>
              <w:rPr>
                <w:sz w:val="20"/>
              </w:rPr>
              <w:t>33,363</w:t>
            </w:r>
          </w:p>
        </w:tc>
        <w:tc>
          <w:tcPr>
            <w:tcW w:w="83" w:type="dxa"/>
            <w:tcBorders/>
            <w:shd w:fill="CCEEFF" w:val="clear"/>
            <w:vAlign w:val="center"/>
          </w:tcPr>
          <w:p>
            <w:pPr>
              <w:pStyle w:val="TableContents"/>
              <w:bidi w:val="0"/>
              <w:spacing w:before="0" w:after="283"/>
              <w:jc w:val="left"/>
            </w:pPr>
            <w:r>
              <w:t> </w:t>
            </w:r>
          </w:p>
        </w:tc>
      </w:tr>
      <w:tr>
        <w:tc>
          <w:tcPr>
            <w:tcW w:w="7792" w:type="dxa"/>
            <w:tcBorders/>
            <w:shd w:fill="FFFF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Accrued liabilities</w:t>
            </w:r>
          </w:p>
        </w:tc>
        <w:tc>
          <w:tcPr>
            <w:tcW w:w="60" w:type="dxa"/>
            <w:tcBorders/>
            <w:shd w:fill="FFFFFF" w:val="clear"/>
            <w:vAlign w:val="center"/>
          </w:tcPr>
          <w:p>
            <w:pPr>
              <w:pStyle w:val="TableContents"/>
              <w:bidi w:val="0"/>
              <w:spacing w:before="0" w:after="283"/>
              <w:jc w:val="left"/>
            </w:pPr>
            <w:r>
              <w:t> </w:t>
            </w:r>
          </w:p>
        </w:tc>
        <w:tc>
          <w:tcPr>
            <w:tcW w:w="138" w:type="dxa"/>
            <w:tcBorders/>
            <w:shd w:fill="FFFFFF" w:val="clear"/>
            <w:vAlign w:val="center"/>
          </w:tcPr>
          <w:p>
            <w:pPr>
              <w:pStyle w:val="TableContents"/>
              <w:bidi w:val="0"/>
              <w:spacing w:before="0" w:after="283"/>
              <w:ind w:left="0" w:right="0" w:hanging="0"/>
              <w:jc w:val="left"/>
            </w:pPr>
            <w:r>
              <w:t> </w:t>
            </w:r>
          </w:p>
        </w:tc>
        <w:tc>
          <w:tcPr>
            <w:tcW w:w="938" w:type="dxa"/>
            <w:tcBorders/>
            <w:shd w:fill="FFFFFF" w:val="clear"/>
            <w:vAlign w:val="center"/>
          </w:tcPr>
          <w:p>
            <w:pPr>
              <w:pStyle w:val="TableContents"/>
              <w:bidi w:val="0"/>
              <w:spacing w:before="0" w:after="283"/>
              <w:ind w:left="0" w:right="0" w:hanging="0"/>
              <w:jc w:val="right"/>
              <w:rPr>
                <w:sz w:val="20"/>
              </w:rPr>
            </w:pPr>
            <w:r>
              <w:rPr>
                <w:sz w:val="20"/>
              </w:rPr>
              <w:t>49,794</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35" w:type="dxa"/>
            <w:tcBorders/>
            <w:shd w:fill="FFFFFF" w:val="clear"/>
            <w:vAlign w:val="center"/>
          </w:tcPr>
          <w:p>
            <w:pPr>
              <w:pStyle w:val="TableContents"/>
              <w:bidi w:val="0"/>
              <w:spacing w:before="0" w:after="283"/>
              <w:ind w:left="0" w:right="0" w:hanging="0"/>
              <w:jc w:val="left"/>
            </w:pPr>
            <w:r>
              <w:t> </w:t>
            </w:r>
          </w:p>
        </w:tc>
        <w:tc>
          <w:tcPr>
            <w:tcW w:w="919" w:type="dxa"/>
            <w:tcBorders/>
            <w:shd w:fill="FFFFFF" w:val="clear"/>
            <w:vAlign w:val="center"/>
          </w:tcPr>
          <w:p>
            <w:pPr>
              <w:pStyle w:val="TableContents"/>
              <w:bidi w:val="0"/>
              <w:spacing w:before="0" w:after="283"/>
              <w:ind w:left="0" w:right="0" w:hanging="0"/>
              <w:jc w:val="right"/>
              <w:rPr>
                <w:sz w:val="20"/>
              </w:rPr>
            </w:pPr>
            <w:r>
              <w:rPr>
                <w:sz w:val="20"/>
              </w:rPr>
              <w:t>42,491</w:t>
            </w:r>
          </w:p>
        </w:tc>
        <w:tc>
          <w:tcPr>
            <w:tcW w:w="83" w:type="dxa"/>
            <w:tcBorders/>
            <w:shd w:fill="FFFFFF" w:val="clear"/>
            <w:vAlign w:val="center"/>
          </w:tcPr>
          <w:p>
            <w:pPr>
              <w:pStyle w:val="TableContents"/>
              <w:bidi w:val="0"/>
              <w:spacing w:before="0" w:after="283"/>
              <w:jc w:val="left"/>
            </w:pPr>
            <w:r>
              <w:t> </w:t>
            </w:r>
          </w:p>
        </w:tc>
      </w:tr>
      <w:tr>
        <w:tc>
          <w:tcPr>
            <w:tcW w:w="7792" w:type="dxa"/>
            <w:tcBorders/>
            <w:shd w:fill="CCEE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Current lease liabilities - operating</w:t>
            </w:r>
          </w:p>
        </w:tc>
        <w:tc>
          <w:tcPr>
            <w:tcW w:w="60" w:type="dxa"/>
            <w:tcBorders/>
            <w:shd w:fill="CCEEFF" w:val="clear"/>
            <w:vAlign w:val="center"/>
          </w:tcPr>
          <w:p>
            <w:pPr>
              <w:pStyle w:val="TableContents"/>
              <w:bidi w:val="0"/>
              <w:spacing w:before="0" w:after="283"/>
              <w:jc w:val="left"/>
            </w:pPr>
            <w:r>
              <w:t> </w:t>
            </w:r>
          </w:p>
        </w:tc>
        <w:tc>
          <w:tcPr>
            <w:tcW w:w="138" w:type="dxa"/>
            <w:tcBorders/>
            <w:shd w:fill="CCEEFF" w:val="clear"/>
            <w:vAlign w:val="center"/>
          </w:tcPr>
          <w:p>
            <w:pPr>
              <w:pStyle w:val="TableContents"/>
              <w:bidi w:val="0"/>
              <w:spacing w:before="0" w:after="283"/>
              <w:ind w:left="0" w:right="0" w:hanging="0"/>
              <w:jc w:val="left"/>
            </w:pPr>
            <w:r>
              <w:t> </w:t>
            </w:r>
          </w:p>
        </w:tc>
        <w:tc>
          <w:tcPr>
            <w:tcW w:w="938" w:type="dxa"/>
            <w:tcBorders/>
            <w:shd w:fill="CCEEFF" w:val="clear"/>
            <w:vAlign w:val="center"/>
          </w:tcPr>
          <w:p>
            <w:pPr>
              <w:pStyle w:val="TableContents"/>
              <w:bidi w:val="0"/>
              <w:spacing w:before="0" w:after="283"/>
              <w:ind w:left="0" w:right="0" w:hanging="0"/>
              <w:jc w:val="right"/>
              <w:rPr>
                <w:sz w:val="20"/>
              </w:rPr>
            </w:pPr>
            <w:r>
              <w:rPr>
                <w:sz w:val="20"/>
              </w:rPr>
              <w:t>5,182</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35" w:type="dxa"/>
            <w:tcBorders/>
            <w:shd w:fill="CCEEFF" w:val="clear"/>
            <w:vAlign w:val="center"/>
          </w:tcPr>
          <w:p>
            <w:pPr>
              <w:pStyle w:val="TableContents"/>
              <w:bidi w:val="0"/>
              <w:spacing w:before="0" w:after="283"/>
              <w:ind w:left="0" w:right="0" w:hanging="0"/>
              <w:jc w:val="left"/>
            </w:pPr>
            <w:r>
              <w:t> </w:t>
            </w:r>
          </w:p>
        </w:tc>
        <w:tc>
          <w:tcPr>
            <w:tcW w:w="919" w:type="dxa"/>
            <w:tcBorders/>
            <w:shd w:fill="CCEEFF" w:val="clear"/>
            <w:vAlign w:val="center"/>
          </w:tcPr>
          <w:p>
            <w:pPr>
              <w:pStyle w:val="TableContents"/>
              <w:bidi w:val="0"/>
              <w:spacing w:before="0" w:after="283"/>
              <w:ind w:left="0" w:right="0" w:hanging="0"/>
              <w:jc w:val="right"/>
              <w:rPr>
                <w:sz w:val="20"/>
              </w:rPr>
            </w:pPr>
            <w:r>
              <w:rPr>
                <w:sz w:val="20"/>
              </w:rPr>
              <w:t>3,522</w:t>
            </w:r>
          </w:p>
        </w:tc>
        <w:tc>
          <w:tcPr>
            <w:tcW w:w="83" w:type="dxa"/>
            <w:tcBorders/>
            <w:shd w:fill="CCEEFF" w:val="clear"/>
            <w:vAlign w:val="center"/>
          </w:tcPr>
          <w:p>
            <w:pPr>
              <w:pStyle w:val="TableContents"/>
              <w:bidi w:val="0"/>
              <w:spacing w:before="0" w:after="283"/>
              <w:jc w:val="left"/>
            </w:pPr>
            <w:r>
              <w:t> </w:t>
            </w:r>
          </w:p>
        </w:tc>
      </w:tr>
      <w:tr>
        <w:tc>
          <w:tcPr>
            <w:tcW w:w="7792" w:type="dxa"/>
            <w:tcBorders/>
            <w:shd w:fill="FFFF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Current portion of long-term debt</w:t>
            </w:r>
          </w:p>
        </w:tc>
        <w:tc>
          <w:tcPr>
            <w:tcW w:w="60" w:type="dxa"/>
            <w:tcBorders/>
            <w:shd w:fill="FFFFFF" w:val="clear"/>
            <w:vAlign w:val="center"/>
          </w:tcPr>
          <w:p>
            <w:pPr>
              <w:pStyle w:val="TableContents"/>
              <w:bidi w:val="0"/>
              <w:spacing w:before="0" w:after="283"/>
              <w:jc w:val="left"/>
            </w:pPr>
            <w:r>
              <w:t> </w:t>
            </w:r>
          </w:p>
        </w:tc>
        <w:tc>
          <w:tcPr>
            <w:tcW w:w="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9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59,990</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91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33,975</w:t>
            </w:r>
          </w:p>
        </w:tc>
        <w:tc>
          <w:tcPr>
            <w:tcW w:w="83" w:type="dxa"/>
            <w:tcBorders/>
            <w:shd w:fill="FFFFFF" w:val="clear"/>
            <w:vAlign w:val="center"/>
          </w:tcPr>
          <w:p>
            <w:pPr>
              <w:pStyle w:val="TableContents"/>
              <w:bidi w:val="0"/>
              <w:spacing w:before="0" w:after="283"/>
              <w:jc w:val="left"/>
            </w:pPr>
            <w:r>
              <w:t> </w:t>
            </w:r>
          </w:p>
        </w:tc>
      </w:tr>
      <w:tr>
        <w:tc>
          <w:tcPr>
            <w:tcW w:w="7792" w:type="dxa"/>
            <w:tcBorders/>
            <w:shd w:fill="CCEEFF" w:val="clear"/>
            <w:vAlign w:val="center"/>
          </w:tcPr>
          <w:p>
            <w:pPr>
              <w:pStyle w:val="TableContents"/>
              <w:bidi w:val="0"/>
              <w:spacing w:before="0" w:after="0"/>
              <w:ind w:left="0" w:right="0" w:firstLine="360"/>
              <w:jc w:val="left"/>
              <w:rPr>
                <w:rFonts w:ascii="Times New Roman;Times;serif" w:hAnsi="Times New Roman;Times;serif"/>
                <w:b w:val="false"/>
                <w:sz w:val="20"/>
              </w:rPr>
            </w:pPr>
            <w:r>
              <w:rPr>
                <w:rFonts w:ascii="Times New Roman;Times;serif" w:hAnsi="Times New Roman;Times;serif"/>
                <w:b w:val="false"/>
                <w:sz w:val="20"/>
              </w:rPr>
              <w:t>Total current liabilities</w:t>
            </w:r>
          </w:p>
        </w:tc>
        <w:tc>
          <w:tcPr>
            <w:tcW w:w="60" w:type="dxa"/>
            <w:tcBorders/>
            <w:shd w:fill="CCEEFF" w:val="clear"/>
            <w:vAlign w:val="center"/>
          </w:tcPr>
          <w:p>
            <w:pPr>
              <w:pStyle w:val="TableContents"/>
              <w:bidi w:val="0"/>
              <w:spacing w:before="0" w:after="283"/>
              <w:jc w:val="left"/>
            </w:pPr>
            <w:r>
              <w:t> </w:t>
            </w:r>
          </w:p>
        </w:tc>
        <w:tc>
          <w:tcPr>
            <w:tcW w:w="138" w:type="dxa"/>
            <w:tcBorders/>
            <w:shd w:fill="CCEEFF" w:val="clear"/>
            <w:vAlign w:val="center"/>
          </w:tcPr>
          <w:p>
            <w:pPr>
              <w:pStyle w:val="TableContents"/>
              <w:bidi w:val="0"/>
              <w:spacing w:before="0" w:after="283"/>
              <w:ind w:left="0" w:right="0" w:hanging="0"/>
              <w:jc w:val="left"/>
            </w:pPr>
            <w:r>
              <w:t> </w:t>
            </w:r>
          </w:p>
        </w:tc>
        <w:tc>
          <w:tcPr>
            <w:tcW w:w="938" w:type="dxa"/>
            <w:tcBorders/>
            <w:shd w:fill="CCEEFF" w:val="clear"/>
            <w:vAlign w:val="center"/>
          </w:tcPr>
          <w:p>
            <w:pPr>
              <w:pStyle w:val="TableContents"/>
              <w:bidi w:val="0"/>
              <w:spacing w:before="0" w:after="283"/>
              <w:ind w:left="0" w:right="0" w:hanging="0"/>
              <w:jc w:val="right"/>
              <w:rPr>
                <w:sz w:val="20"/>
              </w:rPr>
            </w:pPr>
            <w:r>
              <w:rPr>
                <w:sz w:val="20"/>
              </w:rPr>
              <w:t>660,754</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35" w:type="dxa"/>
            <w:tcBorders/>
            <w:shd w:fill="CCEEFF" w:val="clear"/>
            <w:vAlign w:val="center"/>
          </w:tcPr>
          <w:p>
            <w:pPr>
              <w:pStyle w:val="TableContents"/>
              <w:bidi w:val="0"/>
              <w:spacing w:before="0" w:after="283"/>
              <w:ind w:left="0" w:right="0" w:hanging="0"/>
              <w:jc w:val="left"/>
            </w:pPr>
            <w:r>
              <w:t> </w:t>
            </w:r>
          </w:p>
        </w:tc>
        <w:tc>
          <w:tcPr>
            <w:tcW w:w="919" w:type="dxa"/>
            <w:tcBorders/>
            <w:shd w:fill="CCEEFF" w:val="clear"/>
            <w:vAlign w:val="center"/>
          </w:tcPr>
          <w:p>
            <w:pPr>
              <w:pStyle w:val="TableContents"/>
              <w:bidi w:val="0"/>
              <w:spacing w:before="0" w:after="283"/>
              <w:ind w:left="0" w:right="0" w:hanging="0"/>
              <w:jc w:val="right"/>
              <w:rPr>
                <w:sz w:val="20"/>
              </w:rPr>
            </w:pPr>
            <w:r>
              <w:rPr>
                <w:sz w:val="20"/>
              </w:rPr>
              <w:t>257,283</w:t>
            </w:r>
          </w:p>
        </w:tc>
        <w:tc>
          <w:tcPr>
            <w:tcW w:w="83" w:type="dxa"/>
            <w:tcBorders/>
            <w:shd w:fill="CCEEFF" w:val="clear"/>
            <w:vAlign w:val="center"/>
          </w:tcPr>
          <w:p>
            <w:pPr>
              <w:pStyle w:val="TableContents"/>
              <w:bidi w:val="0"/>
              <w:spacing w:before="0" w:after="283"/>
              <w:jc w:val="left"/>
            </w:pPr>
            <w:r>
              <w:t> </w:t>
            </w:r>
          </w:p>
        </w:tc>
      </w:tr>
      <w:tr>
        <w:tc>
          <w:tcPr>
            <w:tcW w:w="7792" w:type="dxa"/>
            <w:tcBorders/>
            <w:shd w:fill="FFFF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Non-current lease liabilities - operating</w:t>
            </w:r>
          </w:p>
        </w:tc>
        <w:tc>
          <w:tcPr>
            <w:tcW w:w="60" w:type="dxa"/>
            <w:tcBorders/>
            <w:shd w:fill="FFFFFF" w:val="clear"/>
            <w:vAlign w:val="center"/>
          </w:tcPr>
          <w:p>
            <w:pPr>
              <w:pStyle w:val="TableContents"/>
              <w:bidi w:val="0"/>
              <w:spacing w:before="0" w:after="283"/>
              <w:jc w:val="left"/>
            </w:pPr>
            <w:r>
              <w:t> </w:t>
            </w:r>
          </w:p>
        </w:tc>
        <w:tc>
          <w:tcPr>
            <w:tcW w:w="138" w:type="dxa"/>
            <w:tcBorders/>
            <w:shd w:fill="FFFFFF" w:val="clear"/>
            <w:vAlign w:val="center"/>
          </w:tcPr>
          <w:p>
            <w:pPr>
              <w:pStyle w:val="TableContents"/>
              <w:bidi w:val="0"/>
              <w:spacing w:before="0" w:after="283"/>
              <w:ind w:left="0" w:right="0" w:hanging="0"/>
              <w:jc w:val="left"/>
            </w:pPr>
            <w:r>
              <w:t> </w:t>
            </w:r>
          </w:p>
        </w:tc>
        <w:tc>
          <w:tcPr>
            <w:tcW w:w="938" w:type="dxa"/>
            <w:tcBorders/>
            <w:shd w:fill="FFFFFF" w:val="clear"/>
            <w:vAlign w:val="center"/>
          </w:tcPr>
          <w:p>
            <w:pPr>
              <w:pStyle w:val="TableContents"/>
              <w:bidi w:val="0"/>
              <w:spacing w:before="0" w:after="283"/>
              <w:ind w:left="0" w:right="0" w:hanging="0"/>
              <w:jc w:val="right"/>
              <w:rPr>
                <w:sz w:val="20"/>
              </w:rPr>
            </w:pPr>
            <w:r>
              <w:rPr>
                <w:sz w:val="20"/>
              </w:rPr>
              <w:t>68,102</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35" w:type="dxa"/>
            <w:tcBorders/>
            <w:shd w:fill="FFFFFF" w:val="clear"/>
            <w:vAlign w:val="center"/>
          </w:tcPr>
          <w:p>
            <w:pPr>
              <w:pStyle w:val="TableContents"/>
              <w:bidi w:val="0"/>
              <w:spacing w:before="0" w:after="283"/>
              <w:ind w:left="0" w:right="0" w:hanging="0"/>
              <w:jc w:val="left"/>
            </w:pPr>
            <w:r>
              <w:t> </w:t>
            </w:r>
          </w:p>
        </w:tc>
        <w:tc>
          <w:tcPr>
            <w:tcW w:w="919" w:type="dxa"/>
            <w:tcBorders/>
            <w:shd w:fill="FFFFFF" w:val="clear"/>
            <w:vAlign w:val="center"/>
          </w:tcPr>
          <w:p>
            <w:pPr>
              <w:pStyle w:val="TableContents"/>
              <w:bidi w:val="0"/>
              <w:spacing w:before="0" w:after="283"/>
              <w:ind w:left="0" w:right="0" w:hanging="0"/>
              <w:jc w:val="right"/>
              <w:rPr>
                <w:sz w:val="20"/>
              </w:rPr>
            </w:pPr>
            <w:r>
              <w:rPr>
                <w:sz w:val="20"/>
              </w:rPr>
              <w:t>47,393</w:t>
            </w:r>
          </w:p>
        </w:tc>
        <w:tc>
          <w:tcPr>
            <w:tcW w:w="83" w:type="dxa"/>
            <w:tcBorders/>
            <w:shd w:fill="FFFFFF" w:val="clear"/>
            <w:vAlign w:val="center"/>
          </w:tcPr>
          <w:p>
            <w:pPr>
              <w:pStyle w:val="TableContents"/>
              <w:bidi w:val="0"/>
              <w:spacing w:before="0" w:after="283"/>
              <w:jc w:val="left"/>
            </w:pPr>
            <w:r>
              <w:t> </w:t>
            </w:r>
          </w:p>
        </w:tc>
      </w:tr>
      <w:tr>
        <w:tc>
          <w:tcPr>
            <w:tcW w:w="7792" w:type="dxa"/>
            <w:tcBorders/>
            <w:shd w:fill="CCEEFF" w:val="clear"/>
            <w:vAlign w:val="center"/>
          </w:tcPr>
          <w:p>
            <w:pPr>
              <w:pStyle w:val="TableContents"/>
              <w:bidi w:val="0"/>
              <w:spacing w:before="0" w:after="0"/>
              <w:ind w:left="180" w:right="0" w:hanging="0"/>
              <w:jc w:val="left"/>
              <w:rPr>
                <w:rFonts w:ascii="Times New Roman;Times;serif" w:hAnsi="Times New Roman;Times;serif"/>
                <w:b w:val="false"/>
                <w:sz w:val="20"/>
              </w:rPr>
            </w:pPr>
            <w:r>
              <w:rPr>
                <w:rFonts w:ascii="Times New Roman;Times;serif" w:hAnsi="Times New Roman;Times;serif"/>
                <w:b w:val="false"/>
                <w:sz w:val="20"/>
              </w:rPr>
              <w:t>Non-current portion of long-term debt</w:t>
            </w:r>
          </w:p>
        </w:tc>
        <w:tc>
          <w:tcPr>
            <w:tcW w:w="60" w:type="dxa"/>
            <w:tcBorders/>
            <w:shd w:fill="CCEEFF" w:val="clear"/>
            <w:vAlign w:val="center"/>
          </w:tcPr>
          <w:p>
            <w:pPr>
              <w:pStyle w:val="TableContents"/>
              <w:bidi w:val="0"/>
              <w:spacing w:before="0" w:after="283"/>
              <w:jc w:val="left"/>
            </w:pPr>
            <w:r>
              <w:t> </w:t>
            </w:r>
          </w:p>
        </w:tc>
        <w:tc>
          <w:tcPr>
            <w:tcW w:w="138" w:type="dxa"/>
            <w:tcBorders/>
            <w:shd w:fill="CCEEFF" w:val="clear"/>
            <w:vAlign w:val="center"/>
          </w:tcPr>
          <w:p>
            <w:pPr>
              <w:pStyle w:val="TableContents"/>
              <w:bidi w:val="0"/>
              <w:spacing w:before="0" w:after="283"/>
              <w:jc w:val="left"/>
            </w:pPr>
            <w:r>
              <w:t> </w:t>
            </w:r>
          </w:p>
        </w:tc>
        <w:tc>
          <w:tcPr>
            <w:tcW w:w="938" w:type="dxa"/>
            <w:tcBorders/>
            <w:shd w:fill="CCEEFF" w:val="clear"/>
            <w:vAlign w:val="center"/>
          </w:tcPr>
          <w:p>
            <w:pPr>
              <w:pStyle w:val="TableContents"/>
              <w:bidi w:val="0"/>
              <w:spacing w:before="0" w:after="283"/>
              <w:jc w:val="right"/>
              <w:rPr>
                <w:sz w:val="20"/>
              </w:rPr>
            </w:pPr>
            <w:r>
              <w:rPr>
                <w:sz w:val="20"/>
              </w:rPr>
              <w:t>36,586</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35" w:type="dxa"/>
            <w:tcBorders/>
            <w:shd w:fill="CCEEFF" w:val="clear"/>
            <w:vAlign w:val="center"/>
          </w:tcPr>
          <w:p>
            <w:pPr>
              <w:pStyle w:val="TableContents"/>
              <w:bidi w:val="0"/>
              <w:spacing w:before="0" w:after="283"/>
              <w:jc w:val="left"/>
            </w:pPr>
            <w:r>
              <w:t> </w:t>
            </w:r>
          </w:p>
        </w:tc>
        <w:tc>
          <w:tcPr>
            <w:tcW w:w="919" w:type="dxa"/>
            <w:tcBorders/>
            <w:shd w:fill="CCEEFF" w:val="clear"/>
            <w:vAlign w:val="center"/>
          </w:tcPr>
          <w:p>
            <w:pPr>
              <w:pStyle w:val="TableContents"/>
              <w:bidi w:val="0"/>
              <w:spacing w:before="0" w:after="283"/>
              <w:jc w:val="right"/>
            </w:pPr>
            <w:r>
              <w:t>—</w:t>
            </w:r>
          </w:p>
        </w:tc>
        <w:tc>
          <w:tcPr>
            <w:tcW w:w="83" w:type="dxa"/>
            <w:tcBorders/>
            <w:shd w:fill="CCEEFF" w:val="clear"/>
            <w:vAlign w:val="center"/>
          </w:tcPr>
          <w:p>
            <w:pPr>
              <w:pStyle w:val="TableContents"/>
              <w:bidi w:val="0"/>
              <w:spacing w:before="0" w:after="283"/>
              <w:jc w:val="left"/>
            </w:pPr>
            <w:r>
              <w:t> </w:t>
            </w:r>
          </w:p>
        </w:tc>
      </w:tr>
      <w:tr>
        <w:tc>
          <w:tcPr>
            <w:tcW w:w="7792" w:type="dxa"/>
            <w:tcBorders/>
            <w:shd w:fill="FFFF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Convertible senior notes</w:t>
            </w:r>
          </w:p>
        </w:tc>
        <w:tc>
          <w:tcPr>
            <w:tcW w:w="60" w:type="dxa"/>
            <w:tcBorders/>
            <w:shd w:fill="FFFFFF" w:val="clear"/>
            <w:vAlign w:val="center"/>
          </w:tcPr>
          <w:p>
            <w:pPr>
              <w:pStyle w:val="TableContents"/>
              <w:bidi w:val="0"/>
              <w:spacing w:before="0" w:after="283"/>
              <w:jc w:val="left"/>
            </w:pPr>
            <w:r>
              <w:t> </w:t>
            </w:r>
          </w:p>
        </w:tc>
        <w:tc>
          <w:tcPr>
            <w:tcW w:w="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9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128,836</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91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129,829</w:t>
            </w:r>
          </w:p>
        </w:tc>
        <w:tc>
          <w:tcPr>
            <w:tcW w:w="83" w:type="dxa"/>
            <w:tcBorders/>
            <w:shd w:fill="FFFFFF" w:val="clear"/>
            <w:vAlign w:val="center"/>
          </w:tcPr>
          <w:p>
            <w:pPr>
              <w:pStyle w:val="TableContents"/>
              <w:bidi w:val="0"/>
              <w:spacing w:before="0" w:after="283"/>
              <w:jc w:val="left"/>
            </w:pPr>
            <w:r>
              <w:t> </w:t>
            </w:r>
          </w:p>
        </w:tc>
      </w:tr>
      <w:tr>
        <w:tc>
          <w:tcPr>
            <w:tcW w:w="7792" w:type="dxa"/>
            <w:tcBorders/>
            <w:shd w:fill="CCEE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TOTAL LIABILITIES</w:t>
            </w:r>
          </w:p>
        </w:tc>
        <w:tc>
          <w:tcPr>
            <w:tcW w:w="60" w:type="dxa"/>
            <w:tcBorders/>
            <w:shd w:fill="CCEEFF" w:val="clear"/>
            <w:vAlign w:val="center"/>
          </w:tcPr>
          <w:p>
            <w:pPr>
              <w:pStyle w:val="TableContents"/>
              <w:bidi w:val="0"/>
              <w:spacing w:before="0" w:after="283"/>
              <w:jc w:val="left"/>
            </w:pPr>
            <w:r>
              <w:t> </w:t>
            </w:r>
          </w:p>
        </w:tc>
        <w:tc>
          <w:tcPr>
            <w:tcW w:w="138" w:type="dxa"/>
            <w:tcBorders/>
            <w:shd w:fill="CCEEFF" w:val="clear"/>
            <w:vAlign w:val="center"/>
          </w:tcPr>
          <w:p>
            <w:pPr>
              <w:pStyle w:val="TableContents"/>
              <w:bidi w:val="0"/>
              <w:spacing w:before="0" w:after="283"/>
              <w:ind w:left="0" w:right="0" w:hanging="0"/>
              <w:jc w:val="left"/>
            </w:pPr>
            <w:r>
              <w:t> </w:t>
            </w:r>
          </w:p>
        </w:tc>
        <w:tc>
          <w:tcPr>
            <w:tcW w:w="938" w:type="dxa"/>
            <w:tcBorders/>
            <w:shd w:fill="CCEEFF" w:val="clear"/>
            <w:vAlign w:val="center"/>
          </w:tcPr>
          <w:p>
            <w:pPr>
              <w:pStyle w:val="TableContents"/>
              <w:bidi w:val="0"/>
              <w:spacing w:before="0" w:after="283"/>
              <w:ind w:left="0" w:right="0" w:hanging="0"/>
              <w:jc w:val="right"/>
              <w:rPr>
                <w:sz w:val="20"/>
              </w:rPr>
            </w:pPr>
            <w:r>
              <w:rPr>
                <w:sz w:val="20"/>
              </w:rPr>
              <w:t>894,278</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35" w:type="dxa"/>
            <w:tcBorders/>
            <w:shd w:fill="CCEEFF" w:val="clear"/>
            <w:vAlign w:val="center"/>
          </w:tcPr>
          <w:p>
            <w:pPr>
              <w:pStyle w:val="TableContents"/>
              <w:bidi w:val="0"/>
              <w:spacing w:before="0" w:after="283"/>
              <w:ind w:left="0" w:right="0" w:hanging="0"/>
              <w:jc w:val="left"/>
            </w:pPr>
            <w:r>
              <w:t> </w:t>
            </w:r>
          </w:p>
        </w:tc>
        <w:tc>
          <w:tcPr>
            <w:tcW w:w="919" w:type="dxa"/>
            <w:tcBorders/>
            <w:shd w:fill="CCEEFF" w:val="clear"/>
            <w:vAlign w:val="center"/>
          </w:tcPr>
          <w:p>
            <w:pPr>
              <w:pStyle w:val="TableContents"/>
              <w:bidi w:val="0"/>
              <w:spacing w:before="0" w:after="283"/>
              <w:ind w:left="0" w:right="0" w:hanging="0"/>
              <w:jc w:val="right"/>
              <w:rPr>
                <w:sz w:val="20"/>
              </w:rPr>
            </w:pPr>
            <w:r>
              <w:rPr>
                <w:sz w:val="20"/>
              </w:rPr>
              <w:t>434,505</w:t>
            </w:r>
          </w:p>
        </w:tc>
        <w:tc>
          <w:tcPr>
            <w:tcW w:w="83" w:type="dxa"/>
            <w:tcBorders/>
            <w:shd w:fill="CCEEFF" w:val="clear"/>
            <w:vAlign w:val="center"/>
          </w:tcPr>
          <w:p>
            <w:pPr>
              <w:pStyle w:val="TableContents"/>
              <w:bidi w:val="0"/>
              <w:spacing w:before="0" w:after="283"/>
              <w:jc w:val="left"/>
            </w:pPr>
            <w:r>
              <w:t> </w:t>
            </w:r>
          </w:p>
        </w:tc>
      </w:tr>
      <w:tr>
        <w:tc>
          <w:tcPr>
            <w:tcW w:w="7792" w:type="dxa"/>
            <w:tcBorders/>
            <w:shd w:fill="FFFF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Commitments and contingencies (Note 18)</w:t>
            </w:r>
          </w:p>
        </w:tc>
        <w:tc>
          <w:tcPr>
            <w:tcW w:w="60" w:type="dxa"/>
            <w:tcBorders/>
            <w:shd w:fill="FFFFFF" w:val="clear"/>
            <w:vAlign w:val="center"/>
          </w:tcPr>
          <w:p>
            <w:pPr>
              <w:pStyle w:val="TableContents"/>
              <w:bidi w:val="0"/>
              <w:spacing w:before="0" w:after="283"/>
              <w:jc w:val="left"/>
            </w:pPr>
            <w:r>
              <w:t> </w:t>
            </w:r>
          </w:p>
        </w:tc>
        <w:tc>
          <w:tcPr>
            <w:tcW w:w="138" w:type="dxa"/>
            <w:tcBorders/>
            <w:shd w:fill="FFFFFF" w:val="clear"/>
            <w:vAlign w:val="center"/>
          </w:tcPr>
          <w:p>
            <w:pPr>
              <w:pStyle w:val="TableContents"/>
              <w:bidi w:val="0"/>
              <w:spacing w:before="0" w:after="283"/>
              <w:jc w:val="left"/>
            </w:pPr>
            <w:r>
              <w:t> </w:t>
            </w:r>
          </w:p>
        </w:tc>
        <w:tc>
          <w:tcPr>
            <w:tcW w:w="938"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35" w:type="dxa"/>
            <w:tcBorders/>
            <w:shd w:fill="FFFFFF" w:val="clear"/>
            <w:vAlign w:val="center"/>
          </w:tcPr>
          <w:p>
            <w:pPr>
              <w:pStyle w:val="TableContents"/>
              <w:bidi w:val="0"/>
              <w:spacing w:before="0" w:after="283"/>
              <w:jc w:val="left"/>
            </w:pPr>
            <w:r>
              <w:t> </w:t>
            </w:r>
          </w:p>
        </w:tc>
        <w:tc>
          <w:tcPr>
            <w:tcW w:w="919" w:type="dxa"/>
            <w:tcBorders/>
            <w:shd w:fill="FFFFFF" w:val="clear"/>
            <w:vAlign w:val="center"/>
          </w:tcPr>
          <w:p>
            <w:pPr>
              <w:pStyle w:val="TableContents"/>
              <w:bidi w:val="0"/>
              <w:spacing w:before="0" w:after="283"/>
              <w:jc w:val="left"/>
            </w:pPr>
            <w:r>
              <w:t>  </w:t>
            </w:r>
          </w:p>
        </w:tc>
        <w:tc>
          <w:tcPr>
            <w:tcW w:w="83" w:type="dxa"/>
            <w:tcBorders/>
            <w:shd w:fill="FFFFFF" w:val="clear"/>
            <w:vAlign w:val="center"/>
          </w:tcPr>
          <w:p>
            <w:pPr>
              <w:pStyle w:val="TableContents"/>
              <w:bidi w:val="0"/>
              <w:spacing w:before="0" w:after="283"/>
              <w:jc w:val="left"/>
            </w:pPr>
            <w:r>
              <w:t> </w:t>
            </w:r>
          </w:p>
        </w:tc>
      </w:tr>
      <w:tr>
        <w:tc>
          <w:tcPr>
            <w:tcW w:w="7792"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Stockholders' equity:</w:t>
            </w:r>
          </w:p>
        </w:tc>
        <w:tc>
          <w:tcPr>
            <w:tcW w:w="60" w:type="dxa"/>
            <w:tcBorders/>
            <w:shd w:fill="CCEEFF" w:val="clear"/>
            <w:vAlign w:val="center"/>
          </w:tcPr>
          <w:p>
            <w:pPr>
              <w:pStyle w:val="TableContents"/>
              <w:bidi w:val="0"/>
              <w:spacing w:before="0" w:after="283"/>
              <w:jc w:val="left"/>
            </w:pPr>
            <w:r>
              <w:t> </w:t>
            </w:r>
          </w:p>
        </w:tc>
        <w:tc>
          <w:tcPr>
            <w:tcW w:w="138" w:type="dxa"/>
            <w:tcBorders/>
            <w:shd w:fill="CCEEFF" w:val="clear"/>
            <w:vAlign w:val="center"/>
          </w:tcPr>
          <w:p>
            <w:pPr>
              <w:pStyle w:val="TableContents"/>
              <w:bidi w:val="0"/>
              <w:spacing w:before="0" w:after="283"/>
              <w:jc w:val="left"/>
            </w:pPr>
            <w:r>
              <w:t> </w:t>
            </w:r>
          </w:p>
        </w:tc>
        <w:tc>
          <w:tcPr>
            <w:tcW w:w="938"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35" w:type="dxa"/>
            <w:tcBorders/>
            <w:shd w:fill="CCEEFF" w:val="clear"/>
            <w:vAlign w:val="center"/>
          </w:tcPr>
          <w:p>
            <w:pPr>
              <w:pStyle w:val="TableContents"/>
              <w:bidi w:val="0"/>
              <w:spacing w:before="0" w:after="283"/>
              <w:jc w:val="left"/>
            </w:pPr>
            <w:r>
              <w:t> </w:t>
            </w:r>
          </w:p>
        </w:tc>
        <w:tc>
          <w:tcPr>
            <w:tcW w:w="919" w:type="dxa"/>
            <w:tcBorders/>
            <w:shd w:fill="CCEEFF" w:val="clear"/>
            <w:vAlign w:val="center"/>
          </w:tcPr>
          <w:p>
            <w:pPr>
              <w:pStyle w:val="TableContents"/>
              <w:bidi w:val="0"/>
              <w:spacing w:before="0" w:after="283"/>
              <w:jc w:val="left"/>
            </w:pPr>
            <w:r>
              <w:t> </w:t>
            </w:r>
          </w:p>
        </w:tc>
        <w:tc>
          <w:tcPr>
            <w:tcW w:w="83" w:type="dxa"/>
            <w:tcBorders/>
            <w:shd w:fill="CCEEFF" w:val="clear"/>
            <w:vAlign w:val="center"/>
          </w:tcPr>
          <w:p>
            <w:pPr>
              <w:pStyle w:val="TableContents"/>
              <w:bidi w:val="0"/>
              <w:spacing w:before="0" w:after="283"/>
              <w:jc w:val="left"/>
            </w:pPr>
            <w:r>
              <w:t> </w:t>
            </w:r>
          </w:p>
        </w:tc>
      </w:tr>
      <w:tr>
        <w:tc>
          <w:tcPr>
            <w:tcW w:w="7792" w:type="dxa"/>
            <w:tcBorders/>
            <w:shd w:fill="FFFFFF" w:val="clear"/>
            <w:vAlign w:val="center"/>
          </w:tcPr>
          <w:p>
            <w:pPr>
              <w:pStyle w:val="TableContents"/>
              <w:bidi w:val="0"/>
              <w:spacing w:before="0" w:after="0"/>
              <w:ind w:left="180" w:right="0" w:hanging="0"/>
              <w:jc w:val="left"/>
              <w:rPr>
                <w:rFonts w:ascii="Times New Roman;Times;serif" w:hAnsi="Times New Roman;Times;serif"/>
                <w:b w:val="false"/>
                <w:sz w:val="20"/>
              </w:rPr>
            </w:pPr>
            <w:r>
              <w:rPr>
                <w:rFonts w:ascii="Times New Roman;Times;serif" w:hAnsi="Times New Roman;Times;serif"/>
                <w:b w:val="false"/>
                <w:sz w:val="20"/>
              </w:rPr>
              <w:t>Preferred Stock; 5,000 shares authorized at $0.001 par value; no shares issued and outstanding at September 30, 2026 and December 31, 2025, respectively</w:t>
            </w:r>
          </w:p>
        </w:tc>
        <w:tc>
          <w:tcPr>
            <w:tcW w:w="60" w:type="dxa"/>
            <w:tcBorders/>
            <w:shd w:fill="FFFFFF" w:val="clear"/>
            <w:vAlign w:val="center"/>
          </w:tcPr>
          <w:p>
            <w:pPr>
              <w:pStyle w:val="TableContents"/>
              <w:bidi w:val="0"/>
              <w:spacing w:before="0" w:after="283"/>
              <w:jc w:val="left"/>
            </w:pPr>
            <w:r>
              <w:t> </w:t>
            </w:r>
          </w:p>
        </w:tc>
        <w:tc>
          <w:tcPr>
            <w:tcW w:w="138" w:type="dxa"/>
            <w:tcBorders/>
            <w:shd w:fill="FFFFFF" w:val="clear"/>
            <w:vAlign w:val="center"/>
          </w:tcPr>
          <w:p>
            <w:pPr>
              <w:pStyle w:val="TableContents"/>
              <w:bidi w:val="0"/>
              <w:spacing w:before="0" w:after="283"/>
              <w:ind w:left="0" w:right="0" w:hanging="0"/>
              <w:jc w:val="left"/>
            </w:pPr>
            <w:r>
              <w:t> </w:t>
            </w:r>
          </w:p>
        </w:tc>
        <w:tc>
          <w:tcPr>
            <w:tcW w:w="938"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35" w:type="dxa"/>
            <w:tcBorders/>
            <w:shd w:fill="FFFFFF" w:val="clear"/>
            <w:vAlign w:val="center"/>
          </w:tcPr>
          <w:p>
            <w:pPr>
              <w:pStyle w:val="TableContents"/>
              <w:bidi w:val="0"/>
              <w:spacing w:before="0" w:after="283"/>
              <w:ind w:left="0" w:right="0" w:hanging="0"/>
              <w:jc w:val="left"/>
            </w:pPr>
            <w:r>
              <w:t> </w:t>
            </w:r>
          </w:p>
        </w:tc>
        <w:tc>
          <w:tcPr>
            <w:tcW w:w="919" w:type="dxa"/>
            <w:tcBorders/>
            <w:shd w:fill="FFFFFF" w:val="clear"/>
            <w:vAlign w:val="center"/>
          </w:tcPr>
          <w:p>
            <w:pPr>
              <w:pStyle w:val="TableContents"/>
              <w:bidi w:val="0"/>
              <w:spacing w:before="0" w:after="283"/>
              <w:ind w:left="0" w:right="0" w:hanging="0"/>
              <w:jc w:val="right"/>
            </w:pPr>
            <w:r>
              <w:t>—</w:t>
            </w:r>
          </w:p>
        </w:tc>
        <w:tc>
          <w:tcPr>
            <w:tcW w:w="83" w:type="dxa"/>
            <w:tcBorders/>
            <w:shd w:fill="FFFFFF" w:val="clear"/>
            <w:vAlign w:val="center"/>
          </w:tcPr>
          <w:p>
            <w:pPr>
              <w:pStyle w:val="TableContents"/>
              <w:bidi w:val="0"/>
              <w:spacing w:before="0" w:after="283"/>
              <w:jc w:val="left"/>
            </w:pPr>
            <w:r>
              <w:t> </w:t>
            </w:r>
          </w:p>
        </w:tc>
      </w:tr>
      <w:tr>
        <w:tc>
          <w:tcPr>
            <w:tcW w:w="7792" w:type="dxa"/>
            <w:tcBorders/>
            <w:shd w:fill="CCEEFF" w:val="clear"/>
            <w:vAlign w:val="center"/>
          </w:tcPr>
          <w:p>
            <w:pPr>
              <w:pStyle w:val="TableContents"/>
              <w:bidi w:val="0"/>
              <w:spacing w:before="0" w:after="0"/>
              <w:ind w:left="180" w:right="0" w:hanging="0"/>
              <w:jc w:val="left"/>
              <w:rPr>
                <w:rFonts w:ascii="Times New Roman;Times;serif" w:hAnsi="Times New Roman;Times;serif"/>
                <w:b w:val="false"/>
                <w:sz w:val="20"/>
              </w:rPr>
            </w:pPr>
            <w:r>
              <w:rPr>
                <w:rFonts w:ascii="Times New Roman;Times;serif" w:hAnsi="Times New Roman;Times;serif"/>
                <w:b w:val="false"/>
                <w:sz w:val="20"/>
              </w:rPr>
              <w:t>Common Stock; 120,000 shares authorized at $0.001 par value; 89,885 and 74,998 shares issued and outstanding at September 30, 2026 and December 31, 2025, respectively</w:t>
            </w:r>
          </w:p>
        </w:tc>
        <w:tc>
          <w:tcPr>
            <w:tcW w:w="60" w:type="dxa"/>
            <w:tcBorders/>
            <w:shd w:fill="CCEEFF" w:val="clear"/>
            <w:vAlign w:val="center"/>
          </w:tcPr>
          <w:p>
            <w:pPr>
              <w:pStyle w:val="TableContents"/>
              <w:bidi w:val="0"/>
              <w:spacing w:before="0" w:after="283"/>
              <w:jc w:val="left"/>
            </w:pPr>
            <w:r>
              <w:t> </w:t>
            </w:r>
          </w:p>
        </w:tc>
        <w:tc>
          <w:tcPr>
            <w:tcW w:w="138" w:type="dxa"/>
            <w:tcBorders/>
            <w:shd w:fill="CCEEFF" w:val="clear"/>
            <w:vAlign w:val="center"/>
          </w:tcPr>
          <w:p>
            <w:pPr>
              <w:pStyle w:val="TableContents"/>
              <w:bidi w:val="0"/>
              <w:spacing w:before="0" w:after="283"/>
              <w:ind w:left="0" w:right="0" w:hanging="0"/>
              <w:jc w:val="left"/>
            </w:pPr>
            <w:r>
              <w:t> </w:t>
            </w:r>
          </w:p>
        </w:tc>
        <w:tc>
          <w:tcPr>
            <w:tcW w:w="938" w:type="dxa"/>
            <w:tcBorders/>
            <w:shd w:fill="CCEEFF" w:val="clear"/>
            <w:vAlign w:val="center"/>
          </w:tcPr>
          <w:p>
            <w:pPr>
              <w:pStyle w:val="TableContents"/>
              <w:bidi w:val="0"/>
              <w:spacing w:before="0" w:after="283"/>
              <w:ind w:left="0" w:right="0" w:hanging="0"/>
              <w:jc w:val="right"/>
              <w:rPr>
                <w:sz w:val="20"/>
              </w:rPr>
            </w:pPr>
            <w:r>
              <w:rPr>
                <w:sz w:val="20"/>
              </w:rPr>
              <w:t>90</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35" w:type="dxa"/>
            <w:tcBorders/>
            <w:shd w:fill="CCEEFF" w:val="clear"/>
            <w:vAlign w:val="center"/>
          </w:tcPr>
          <w:p>
            <w:pPr>
              <w:pStyle w:val="TableContents"/>
              <w:bidi w:val="0"/>
              <w:spacing w:before="0" w:after="283"/>
              <w:ind w:left="0" w:right="0" w:hanging="0"/>
              <w:jc w:val="left"/>
            </w:pPr>
            <w:r>
              <w:t> </w:t>
            </w:r>
          </w:p>
        </w:tc>
        <w:tc>
          <w:tcPr>
            <w:tcW w:w="919" w:type="dxa"/>
            <w:tcBorders/>
            <w:shd w:fill="CCEEFF" w:val="clear"/>
            <w:vAlign w:val="center"/>
          </w:tcPr>
          <w:p>
            <w:pPr>
              <w:pStyle w:val="TableContents"/>
              <w:bidi w:val="0"/>
              <w:spacing w:before="0" w:after="283"/>
              <w:ind w:left="0" w:right="0" w:hanging="0"/>
              <w:jc w:val="right"/>
              <w:rPr>
                <w:sz w:val="20"/>
              </w:rPr>
            </w:pPr>
            <w:r>
              <w:rPr>
                <w:sz w:val="20"/>
              </w:rPr>
              <w:t>75</w:t>
            </w:r>
          </w:p>
        </w:tc>
        <w:tc>
          <w:tcPr>
            <w:tcW w:w="83" w:type="dxa"/>
            <w:tcBorders/>
            <w:shd w:fill="CCEEFF" w:val="clear"/>
            <w:vAlign w:val="center"/>
          </w:tcPr>
          <w:p>
            <w:pPr>
              <w:pStyle w:val="TableContents"/>
              <w:bidi w:val="0"/>
              <w:spacing w:before="0" w:after="283"/>
              <w:jc w:val="left"/>
            </w:pPr>
            <w:r>
              <w:t> </w:t>
            </w:r>
          </w:p>
        </w:tc>
      </w:tr>
      <w:tr>
        <w:tc>
          <w:tcPr>
            <w:tcW w:w="7792" w:type="dxa"/>
            <w:tcBorders/>
            <w:shd w:fill="FFFFFF" w:val="clear"/>
            <w:vAlign w:val="center"/>
          </w:tcPr>
          <w:p>
            <w:pPr>
              <w:pStyle w:val="TableContents"/>
              <w:bidi w:val="0"/>
              <w:spacing w:before="0" w:after="0"/>
              <w:ind w:left="180" w:right="0" w:hanging="0"/>
              <w:jc w:val="left"/>
              <w:rPr>
                <w:rFonts w:ascii="Times New Roman;Times;serif" w:hAnsi="Times New Roman;Times;serif"/>
                <w:b w:val="false"/>
                <w:sz w:val="20"/>
              </w:rPr>
            </w:pPr>
            <w:r>
              <w:rPr>
                <w:rFonts w:ascii="Times New Roman;Times;serif" w:hAnsi="Times New Roman;Times;serif"/>
                <w:b w:val="false"/>
                <w:sz w:val="20"/>
              </w:rPr>
              <w:t>Additional paid-in capital</w:t>
            </w:r>
          </w:p>
        </w:tc>
        <w:tc>
          <w:tcPr>
            <w:tcW w:w="60" w:type="dxa"/>
            <w:tcBorders/>
            <w:shd w:fill="FFFFFF" w:val="clear"/>
            <w:vAlign w:val="center"/>
          </w:tcPr>
          <w:p>
            <w:pPr>
              <w:pStyle w:val="TableContents"/>
              <w:bidi w:val="0"/>
              <w:spacing w:before="0" w:after="283"/>
              <w:jc w:val="left"/>
            </w:pPr>
            <w:r>
              <w:t> </w:t>
            </w:r>
          </w:p>
        </w:tc>
        <w:tc>
          <w:tcPr>
            <w:tcW w:w="138" w:type="dxa"/>
            <w:tcBorders/>
            <w:shd w:fill="FFFFFF" w:val="clear"/>
            <w:vAlign w:val="center"/>
          </w:tcPr>
          <w:p>
            <w:pPr>
              <w:pStyle w:val="TableContents"/>
              <w:bidi w:val="0"/>
              <w:spacing w:before="0" w:after="283"/>
              <w:ind w:left="0" w:right="0" w:hanging="0"/>
              <w:jc w:val="left"/>
            </w:pPr>
            <w:r>
              <w:t> </w:t>
            </w:r>
          </w:p>
        </w:tc>
        <w:tc>
          <w:tcPr>
            <w:tcW w:w="938" w:type="dxa"/>
            <w:tcBorders/>
            <w:shd w:fill="FFFFFF" w:val="clear"/>
            <w:vAlign w:val="center"/>
          </w:tcPr>
          <w:p>
            <w:pPr>
              <w:pStyle w:val="TableContents"/>
              <w:bidi w:val="0"/>
              <w:spacing w:before="0" w:after="283"/>
              <w:ind w:left="0" w:right="0" w:hanging="0"/>
              <w:jc w:val="right"/>
              <w:rPr>
                <w:sz w:val="20"/>
              </w:rPr>
            </w:pPr>
            <w:r>
              <w:rPr>
                <w:sz w:val="20"/>
              </w:rPr>
              <w:t>2,757,548</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35" w:type="dxa"/>
            <w:tcBorders/>
            <w:shd w:fill="FFFFFF" w:val="clear"/>
            <w:vAlign w:val="center"/>
          </w:tcPr>
          <w:p>
            <w:pPr>
              <w:pStyle w:val="TableContents"/>
              <w:bidi w:val="0"/>
              <w:spacing w:before="0" w:after="283"/>
              <w:ind w:left="0" w:right="0" w:hanging="0"/>
              <w:jc w:val="left"/>
            </w:pPr>
            <w:r>
              <w:t> </w:t>
            </w:r>
          </w:p>
        </w:tc>
        <w:tc>
          <w:tcPr>
            <w:tcW w:w="919" w:type="dxa"/>
            <w:tcBorders/>
            <w:shd w:fill="FFFFFF" w:val="clear"/>
            <w:vAlign w:val="center"/>
          </w:tcPr>
          <w:p>
            <w:pPr>
              <w:pStyle w:val="TableContents"/>
              <w:bidi w:val="0"/>
              <w:spacing w:before="0" w:after="283"/>
              <w:ind w:left="0" w:right="0" w:hanging="0"/>
              <w:jc w:val="right"/>
              <w:rPr>
                <w:sz w:val="20"/>
              </w:rPr>
            </w:pPr>
            <w:r>
              <w:rPr>
                <w:sz w:val="20"/>
              </w:rPr>
              <w:t>1,224,538</w:t>
            </w:r>
          </w:p>
        </w:tc>
        <w:tc>
          <w:tcPr>
            <w:tcW w:w="83" w:type="dxa"/>
            <w:tcBorders/>
            <w:shd w:fill="FFFFFF" w:val="clear"/>
            <w:vAlign w:val="center"/>
          </w:tcPr>
          <w:p>
            <w:pPr>
              <w:pStyle w:val="TableContents"/>
              <w:bidi w:val="0"/>
              <w:spacing w:before="0" w:after="283"/>
              <w:jc w:val="left"/>
            </w:pPr>
            <w:r>
              <w:t> </w:t>
            </w:r>
          </w:p>
        </w:tc>
      </w:tr>
      <w:tr>
        <w:tc>
          <w:tcPr>
            <w:tcW w:w="7792" w:type="dxa"/>
            <w:tcBorders/>
            <w:shd w:fill="CCEEFF" w:val="clear"/>
            <w:vAlign w:val="center"/>
          </w:tcPr>
          <w:p>
            <w:pPr>
              <w:pStyle w:val="TableContents"/>
              <w:bidi w:val="0"/>
              <w:spacing w:before="0" w:after="0"/>
              <w:ind w:left="180" w:right="0" w:hanging="0"/>
              <w:jc w:val="left"/>
              <w:rPr>
                <w:rFonts w:ascii="Times New Roman;Times;serif" w:hAnsi="Times New Roman;Times;serif"/>
                <w:b w:val="false"/>
                <w:sz w:val="20"/>
              </w:rPr>
            </w:pPr>
            <w:r>
              <w:rPr>
                <w:rFonts w:ascii="Times New Roman;Times;serif" w:hAnsi="Times New Roman;Times;serif"/>
                <w:b w:val="false"/>
                <w:sz w:val="20"/>
              </w:rPr>
              <w:t>Accumulated other comprehensive income (loss)</w:t>
            </w:r>
          </w:p>
        </w:tc>
        <w:tc>
          <w:tcPr>
            <w:tcW w:w="60" w:type="dxa"/>
            <w:tcBorders/>
            <w:shd w:fill="CCEEFF" w:val="clear"/>
            <w:vAlign w:val="center"/>
          </w:tcPr>
          <w:p>
            <w:pPr>
              <w:pStyle w:val="TableContents"/>
              <w:bidi w:val="0"/>
              <w:spacing w:before="0" w:after="283"/>
              <w:jc w:val="left"/>
            </w:pPr>
            <w:r>
              <w:t> </w:t>
            </w:r>
          </w:p>
        </w:tc>
        <w:tc>
          <w:tcPr>
            <w:tcW w:w="138" w:type="dxa"/>
            <w:tcBorders/>
            <w:shd w:fill="CCEEFF" w:val="clear"/>
            <w:vAlign w:val="center"/>
          </w:tcPr>
          <w:p>
            <w:pPr>
              <w:pStyle w:val="TableContents"/>
              <w:bidi w:val="0"/>
              <w:spacing w:before="0" w:after="283"/>
              <w:ind w:left="0" w:right="0" w:hanging="0"/>
              <w:jc w:val="left"/>
            </w:pPr>
            <w:r>
              <w:t> </w:t>
            </w:r>
          </w:p>
        </w:tc>
        <w:tc>
          <w:tcPr>
            <w:tcW w:w="938" w:type="dxa"/>
            <w:tcBorders/>
            <w:shd w:fill="CCEEFF" w:val="clear"/>
            <w:vAlign w:val="center"/>
          </w:tcPr>
          <w:p>
            <w:pPr>
              <w:pStyle w:val="TableContents"/>
              <w:bidi w:val="0"/>
              <w:spacing w:before="0" w:after="283"/>
              <w:ind w:left="0" w:right="0" w:hanging="0"/>
              <w:jc w:val="right"/>
              <w:rPr>
                <w:sz w:val="20"/>
              </w:rPr>
            </w:pPr>
            <w:r>
              <w:rPr>
                <w:sz w:val="20"/>
              </w:rPr>
              <w:t>4,551</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35" w:type="dxa"/>
            <w:tcBorders/>
            <w:shd w:fill="CCEEFF" w:val="clear"/>
            <w:vAlign w:val="center"/>
          </w:tcPr>
          <w:p>
            <w:pPr>
              <w:pStyle w:val="TableContents"/>
              <w:bidi w:val="0"/>
              <w:spacing w:before="0" w:after="283"/>
              <w:ind w:left="0" w:right="0" w:hanging="0"/>
              <w:jc w:val="left"/>
            </w:pPr>
            <w:r>
              <w:t> </w:t>
            </w:r>
          </w:p>
        </w:tc>
        <w:tc>
          <w:tcPr>
            <w:tcW w:w="919" w:type="dxa"/>
            <w:tcBorders/>
            <w:shd w:fill="CCEEFF" w:val="clear"/>
            <w:vAlign w:val="center"/>
          </w:tcPr>
          <w:p>
            <w:pPr>
              <w:pStyle w:val="TableContents"/>
              <w:bidi w:val="0"/>
              <w:spacing w:before="0" w:after="283"/>
              <w:ind w:left="0" w:right="0" w:hanging="0"/>
              <w:jc w:val="right"/>
              <w:rPr>
                <w:sz w:val="20"/>
              </w:rPr>
            </w:pPr>
            <w:r>
              <w:rPr>
                <w:sz w:val="20"/>
              </w:rPr>
              <w:t>(617</w:t>
            </w:r>
          </w:p>
        </w:tc>
        <w:tc>
          <w:tcPr>
            <w:tcW w:w="83" w:type="dxa"/>
            <w:tcBorders/>
            <w:shd w:fill="CCEEFF" w:val="clear"/>
            <w:vAlign w:val="center"/>
          </w:tcPr>
          <w:p>
            <w:pPr>
              <w:pStyle w:val="TableContents"/>
              <w:bidi w:val="0"/>
              <w:spacing w:before="0" w:after="283"/>
              <w:jc w:val="left"/>
              <w:rPr>
                <w:sz w:val="20"/>
              </w:rPr>
            </w:pPr>
            <w:r>
              <w:rPr>
                <w:sz w:val="20"/>
              </w:rPr>
              <w:t>)</w:t>
            </w:r>
          </w:p>
        </w:tc>
      </w:tr>
      <w:tr>
        <w:tc>
          <w:tcPr>
            <w:tcW w:w="7792" w:type="dxa"/>
            <w:tcBorders/>
            <w:shd w:fill="FFFFFF" w:val="clear"/>
            <w:vAlign w:val="center"/>
          </w:tcPr>
          <w:p>
            <w:pPr>
              <w:pStyle w:val="TableContents"/>
              <w:bidi w:val="0"/>
              <w:spacing w:before="0" w:after="0"/>
              <w:ind w:left="180" w:right="0" w:hanging="0"/>
              <w:jc w:val="left"/>
              <w:rPr>
                <w:rFonts w:ascii="Times New Roman;Times;serif" w:hAnsi="Times New Roman;Times;serif"/>
                <w:b w:val="false"/>
                <w:sz w:val="20"/>
              </w:rPr>
            </w:pPr>
            <w:r>
              <w:rPr>
                <w:rFonts w:ascii="Times New Roman;Times;serif" w:hAnsi="Times New Roman;Times;serif"/>
                <w:b w:val="false"/>
                <w:sz w:val="20"/>
              </w:rPr>
              <w:t>Accumulated deficit</w:t>
            </w:r>
          </w:p>
        </w:tc>
        <w:tc>
          <w:tcPr>
            <w:tcW w:w="60" w:type="dxa"/>
            <w:tcBorders/>
            <w:shd w:fill="FFFFFF" w:val="clear"/>
            <w:vAlign w:val="center"/>
          </w:tcPr>
          <w:p>
            <w:pPr>
              <w:pStyle w:val="TableContents"/>
              <w:bidi w:val="0"/>
              <w:spacing w:before="0" w:after="283"/>
              <w:jc w:val="left"/>
            </w:pPr>
            <w:r>
              <w:t> </w:t>
            </w:r>
          </w:p>
        </w:tc>
        <w:tc>
          <w:tcPr>
            <w:tcW w:w="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9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(520,841</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pPr>
            <w: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91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(490,078</w:t>
            </w:r>
          </w:p>
        </w:tc>
        <w:tc>
          <w:tcPr>
            <w:tcW w:w="83" w:type="dxa"/>
            <w:tcBorders/>
            <w:shd w:fill="FFFFFF" w:val="clear"/>
            <w:vAlign w:val="center"/>
          </w:tcPr>
          <w:p>
            <w:pPr>
              <w:pStyle w:val="TableContents"/>
              <w:bidi w:val="0"/>
              <w:spacing w:before="0" w:after="283"/>
              <w:jc w:val="left"/>
              <w:rPr>
                <w:sz w:val="20"/>
              </w:rPr>
            </w:pPr>
            <w:r>
              <w:rPr>
                <w:sz w:val="20"/>
              </w:rPr>
              <w:t>)</w:t>
            </w:r>
          </w:p>
        </w:tc>
      </w:tr>
      <w:tr>
        <w:tc>
          <w:tcPr>
            <w:tcW w:w="7792" w:type="dxa"/>
            <w:tcBorders/>
            <w:shd w:fill="CCEEFF" w:val="clear"/>
            <w:vAlign w:val="center"/>
          </w:tcPr>
          <w:p>
            <w:pPr>
              <w:pStyle w:val="TableContents"/>
              <w:bidi w:val="0"/>
              <w:spacing w:before="0" w:after="0"/>
              <w:ind w:left="180" w:right="0" w:hanging="0"/>
              <w:jc w:val="left"/>
              <w:rPr>
                <w:rFonts w:ascii="Times New Roman;Times;serif" w:hAnsi="Times New Roman;Times;serif"/>
                <w:b w:val="false"/>
                <w:sz w:val="20"/>
              </w:rPr>
            </w:pPr>
            <w:r>
              <w:rPr>
                <w:rFonts w:ascii="Times New Roman;Times;serif" w:hAnsi="Times New Roman;Times;serif"/>
                <w:b w:val="false"/>
                <w:sz w:val="20"/>
              </w:rPr>
              <w:t>TOTAL STOCKHOLDERS' EQUITY</w:t>
            </w:r>
          </w:p>
        </w:tc>
        <w:tc>
          <w:tcPr>
            <w:tcW w:w="60" w:type="dxa"/>
            <w:tcBorders/>
            <w:shd w:fill="CCEEFF" w:val="clear"/>
            <w:vAlign w:val="center"/>
          </w:tcPr>
          <w:p>
            <w:pPr>
              <w:pStyle w:val="TableContents"/>
              <w:bidi w:val="0"/>
              <w:spacing w:before="0" w:after="283"/>
              <w:jc w:val="left"/>
            </w:pPr>
            <w:r>
              <w:t> </w:t>
            </w:r>
          </w:p>
        </w:tc>
        <w:tc>
          <w:tcPr>
            <w:tcW w:w="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93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2,241,348</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91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733,918</w:t>
            </w:r>
          </w:p>
        </w:tc>
        <w:tc>
          <w:tcPr>
            <w:tcW w:w="83" w:type="dxa"/>
            <w:tcBorders/>
            <w:shd w:fill="CCEEFF" w:val="clear"/>
            <w:vAlign w:val="center"/>
          </w:tcPr>
          <w:p>
            <w:pPr>
              <w:pStyle w:val="TableContents"/>
              <w:bidi w:val="0"/>
              <w:spacing w:before="0" w:after="283"/>
              <w:jc w:val="left"/>
            </w:pPr>
            <w:r>
              <w:t> </w:t>
            </w:r>
          </w:p>
        </w:tc>
      </w:tr>
      <w:tr>
        <w:tc>
          <w:tcPr>
            <w:tcW w:w="7792" w:type="dxa"/>
            <w:tcBorders/>
            <w:shd w:fill="FFFFFF" w:val="clear"/>
            <w:vAlign w:val="center"/>
          </w:tcPr>
          <w:p>
            <w:pPr>
              <w:pStyle w:val="TableContents"/>
              <w:bidi w:val="0"/>
              <w:spacing w:before="0" w:after="0"/>
              <w:ind w:left="180" w:right="0" w:hanging="0"/>
              <w:jc w:val="left"/>
              <w:rPr>
                <w:rFonts w:ascii="Times New Roman;Times;serif" w:hAnsi="Times New Roman;Times;serif"/>
                <w:b w:val="false"/>
                <w:sz w:val="20"/>
              </w:rPr>
            </w:pPr>
            <w:r>
              <w:rPr>
                <w:rFonts w:ascii="Times New Roman;Times;serif" w:hAnsi="Times New Roman;Times;serif"/>
                <w:b w:val="false"/>
                <w:sz w:val="20"/>
              </w:rPr>
              <w:t>TOTAL LIABILITIES AND STOCKHOLDERS' EQUITY</w:t>
            </w:r>
          </w:p>
        </w:tc>
        <w:tc>
          <w:tcPr>
            <w:tcW w:w="60" w:type="dxa"/>
            <w:tcBorders/>
            <w:shd w:fill="FFFFFF" w:val="clear"/>
            <w:vAlign w:val="center"/>
          </w:tcPr>
          <w:p>
            <w:pPr>
              <w:pStyle w:val="TableContents"/>
              <w:bidi w:val="0"/>
              <w:spacing w:before="0" w:after="283"/>
              <w:ind w:left="0" w:right="0" w:hanging="0"/>
              <w:jc w:val="left"/>
            </w:pPr>
            <w:r>
              <w:t> </w:t>
            </w:r>
          </w:p>
        </w:tc>
        <w:tc>
          <w:tcPr>
            <w:tcW w:w="13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sz w:val="20"/>
              </w:rPr>
            </w:pPr>
            <w:r>
              <w:rPr>
                <w:sz w:val="20"/>
              </w:rPr>
              <w:t>$</w:t>
            </w:r>
          </w:p>
        </w:tc>
        <w:tc>
          <w:tcPr>
            <w:tcW w:w="93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3,135,626</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3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sz w:val="20"/>
              </w:rPr>
            </w:pPr>
            <w:r>
              <w:rPr>
                <w:sz w:val="20"/>
              </w:rPr>
              <w:t>$</w:t>
            </w:r>
          </w:p>
        </w:tc>
        <w:tc>
          <w:tcPr>
            <w:tcW w:w="91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1,168,423</w:t>
            </w:r>
          </w:p>
        </w:tc>
        <w:tc>
          <w:tcPr>
            <w:tcW w:w="83" w:type="dxa"/>
            <w:tcBorders/>
            <w:shd w:fill="FFFFFF" w:val="clear"/>
            <w:vAlign w:val="center"/>
          </w:tcPr>
          <w:p>
            <w:pPr>
              <w:pStyle w:val="TableContents"/>
              <w:bidi w:val="0"/>
              <w:spacing w:before="0" w:after="283"/>
              <w:jc w:val="left"/>
            </w:pPr>
            <w:r>
              <w:t> </w:t>
            </w:r>
          </w:p>
        </w:tc>
      </w:tr>
    </w:tbl>
    <w:p>
      <w:pPr>
        <w:pStyle w:val="TextBody"/>
        <w:bidi w:val="0"/>
        <w:spacing w:before="0" w:after="0"/>
        <w:ind w:left="0" w:right="0" w:hanging="0"/>
        <w:jc w:val="center"/>
      </w:pPr>
      <w:r>
        <w:t>​</w:t>
      </w:r>
    </w:p>
    <w:p>
      <w:pPr>
        <w:pStyle w:val="TextBody"/>
        <w:bidi w:val="0"/>
        <w:spacing w:before="0" w:after="0"/>
        <w:ind w:left="0" w:right="0" w:hanging="0"/>
        <w:jc w:val="center"/>
        <w:rPr>
          <w:rFonts w:ascii="Times New Roman" w:hAnsi="Times New Roman"/>
          <w:sz w:val="20"/>
        </w:rPr>
      </w:pPr>
      <w:r>
        <w:rPr>
          <w:rFonts w:ascii="Times New Roman" w:hAnsi="Times New Roman"/>
          <w:i/>
          <w:sz w:val="20"/>
        </w:rPr>
        <w:t>The accompanying notes are an integral part of these condensed consolidated financial statements.</w:t>
      </w:r>
      <w:r>
        <w:rPr>
          <w:rFonts w:ascii="Times New Roman" w:hAnsi="Times New Roman"/>
          <w:sz w:val="20"/>
        </w:rPr>
        <w:t>​</w:t>
      </w:r>
    </w:p>
    <w:p>
      <w:pPr>
        <w:pStyle w:val="TextBody"/>
        <w:bidi w:val="0"/>
        <w:spacing w:before="0" w:after="0"/>
        <w:ind w:left="0" w:right="0" w:hanging="0"/>
        <w:jc w:val="center"/>
      </w:pPr>
      <w: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 </w:t>
      </w:r>
    </w:p>
    <w:p>
      <w:pPr>
        <w:pStyle w:val="HorizontalLine"/>
        <w:pBdr>
          <w:bottom w:val="double" w:sz="2" w:space="0" w:color="808080"/>
        </w:pBdr>
        <w:bidi w:val="0"/>
        <w:spacing w:before="0" w:after="283"/>
        <w:jc w:val="left"/>
      </w:pPr>
      <w:r/>
    </w:p>
    <w:p>
      <w:pPr>
        <w:pStyle w:val="TextBody"/>
        <w:bidi w:val="0"/>
        <w:jc w:val="left"/>
      </w:pPr>
      <w:hyperlink w:anchor="toc">
        <w:r>
          <w:rPr>
            <w:rStyle w:val="InternetLink"/>
            <w:rFonts w:ascii="Times New Roman;Times;serif" w:hAnsi="Times New Roman;Times;serif"/>
            <w:sz w:val="20"/>
          </w:rPr>
          <w:t>Table of Contents</w:t>
        </w:r>
      </w:hyperlink>
      <w:r>
        <w:t xml:space="preserve"> </w:t>
      </w:r>
    </w:p>
    <w:p>
      <w:pPr>
        <w:pStyle w:val="TextBody"/>
        <w:bidi w:val="0"/>
        <w:spacing w:before="0" w:after="0"/>
        <w:ind w:left="0" w:right="0" w:hanging="0"/>
        <w:jc w:val="left"/>
      </w:pPr>
      <w:r>
        <w:t> </w:t>
      </w:r>
    </w:p>
    <w:p>
      <w:pPr>
        <w:pStyle w:val="TextBody"/>
        <w:bidi w:val="0"/>
        <w:spacing w:before="0" w:after="283"/>
        <w:jc w:val="left"/>
      </w:pPr>
      <w:r>
        <w:t xml:space="preserve">  </w:t>
      </w:r>
    </w:p>
    <w:p>
      <w:pPr>
        <w:pStyle w:val="TextBody"/>
        <w:bidi w:val="0"/>
        <w:spacing w:before="0" w:after="0"/>
        <w:ind w:left="0" w:right="0" w:hanging="0"/>
        <w:jc w:val="center"/>
        <w:rPr>
          <w:rFonts w:ascii="Times New Roman;Times;serif" w:hAnsi="Times New Roman;Times;serif"/>
          <w:b/>
          <w:sz w:val="20"/>
        </w:rPr>
      </w:pPr>
      <w:bookmarkStart w:id="6" w:name="ops"/>
      <w:bookmarkEnd w:id="6"/>
      <w:r>
        <w:rPr>
          <w:rFonts w:ascii="Times New Roman;Times;serif" w:hAnsi="Times New Roman;Times;serif"/>
          <w:b/>
          <w:sz w:val="20"/>
        </w:rPr>
        <w:t>Applied Optoelectronics,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OPERATIONS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in thousands, except per share data)</w:t>
      </w:r>
    </w:p>
    <w:p>
      <w:pPr>
        <w:pStyle w:val="TextBody"/>
        <w:bidi w:val="0"/>
        <w:spacing w:before="0" w:after="0"/>
        <w:ind w:left="0" w:right="0" w:hanging="0"/>
        <w:jc w:val="center"/>
      </w:pPr>
      <w:r>
        <w:t> </w:t>
      </w:r>
    </w:p>
    <w:tbl>
      <w:tblPr>
        <w:tblW w:w="10205" w:type="dxa"/>
        <w:jc w:val="left"/>
        <w:tblInd w:w="0" w:type="dxa"/>
        <w:tblLayout w:type="fixed"/>
        <w:tblCellMar>
          <w:top w:w="0" w:type="dxa"/>
          <w:left w:w="0" w:type="dxa"/>
          <w:bottom w:w="0" w:type="dxa"/>
          <w:right w:w="0" w:type="dxa"/>
        </w:tblCellMar>
      </w:tblPr>
      <w:tblGrid>
        <w:gridCol w:w="4686"/>
        <w:gridCol w:w="60"/>
        <w:gridCol w:w="186"/>
        <w:gridCol w:w="1036"/>
        <w:gridCol w:w="119"/>
        <w:gridCol w:w="88"/>
        <w:gridCol w:w="186"/>
        <w:gridCol w:w="1036"/>
        <w:gridCol w:w="80"/>
        <w:gridCol w:w="60"/>
        <w:gridCol w:w="181"/>
        <w:gridCol w:w="1009"/>
        <w:gridCol w:w="115"/>
        <w:gridCol w:w="86"/>
        <w:gridCol w:w="181"/>
        <w:gridCol w:w="1009"/>
        <w:gridCol w:w="87"/>
      </w:tblGrid>
      <w:tr>
        <w:tc>
          <w:tcPr>
            <w:tcW w:w="4686"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65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Three months ended September 30,</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58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Nine months ended September 30,</w:t>
            </w:r>
          </w:p>
        </w:tc>
        <w:tc>
          <w:tcPr>
            <w:tcW w:w="87" w:type="dxa"/>
            <w:tcBorders/>
            <w:shd w:fill="FFFFFF" w:val="clear"/>
            <w:vAlign w:val="center"/>
          </w:tcPr>
          <w:p>
            <w:pPr>
              <w:pStyle w:val="TableContents"/>
              <w:bidi w:val="0"/>
              <w:spacing w:before="0" w:after="283"/>
              <w:jc w:val="left"/>
            </w:pPr>
            <w:r>
              <w:t> </w:t>
            </w:r>
          </w:p>
        </w:tc>
      </w:tr>
      <w:tr>
        <w:tc>
          <w:tcPr>
            <w:tcW w:w="4686"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2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2026</w:t>
            </w:r>
          </w:p>
        </w:tc>
        <w:tc>
          <w:tcPr>
            <w:tcW w:w="119" w:type="dxa"/>
            <w:tcBorders/>
            <w:shd w:fill="FFFFFF" w:val="clear"/>
            <w:vAlign w:val="center"/>
          </w:tcPr>
          <w:p>
            <w:pPr>
              <w:pStyle w:val="TableContents"/>
              <w:bidi w:val="0"/>
              <w:spacing w:before="0" w:after="283"/>
              <w:jc w:val="left"/>
            </w:pPr>
            <w:r>
              <w:t> </w:t>
            </w:r>
          </w:p>
        </w:tc>
        <w:tc>
          <w:tcPr>
            <w:tcW w:w="88" w:type="dxa"/>
            <w:tcBorders/>
            <w:shd w:fill="FFFFFF" w:val="clear"/>
            <w:vAlign w:val="center"/>
          </w:tcPr>
          <w:p>
            <w:pPr>
              <w:pStyle w:val="TableContents"/>
              <w:bidi w:val="0"/>
              <w:spacing w:before="0" w:after="283"/>
              <w:ind w:left="0" w:right="0" w:hanging="0"/>
              <w:jc w:val="left"/>
            </w:pPr>
            <w:r>
              <w:t> </w:t>
            </w:r>
          </w:p>
        </w:tc>
        <w:tc>
          <w:tcPr>
            <w:tcW w:w="122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9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2026</w:t>
            </w:r>
          </w:p>
        </w:tc>
        <w:tc>
          <w:tcPr>
            <w:tcW w:w="115" w:type="dxa"/>
            <w:tcBorders/>
            <w:shd w:fill="FFFFFF" w:val="clear"/>
            <w:vAlign w:val="center"/>
          </w:tcPr>
          <w:p>
            <w:pPr>
              <w:pStyle w:val="TableContents"/>
              <w:bidi w:val="0"/>
              <w:spacing w:before="0" w:after="283"/>
              <w:jc w:val="left"/>
            </w:pPr>
            <w:r>
              <w:t> </w:t>
            </w:r>
          </w:p>
        </w:tc>
        <w:tc>
          <w:tcPr>
            <w:tcW w:w="86" w:type="dxa"/>
            <w:tcBorders/>
            <w:shd w:fill="FFFFFF" w:val="clear"/>
            <w:vAlign w:val="center"/>
          </w:tcPr>
          <w:p>
            <w:pPr>
              <w:pStyle w:val="TableContents"/>
              <w:bidi w:val="0"/>
              <w:spacing w:before="0" w:after="283"/>
              <w:ind w:left="0" w:right="0" w:hanging="0"/>
              <w:jc w:val="left"/>
            </w:pPr>
            <w:r>
              <w:t> </w:t>
            </w:r>
          </w:p>
        </w:tc>
        <w:tc>
          <w:tcPr>
            <w:tcW w:w="119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2025</w:t>
            </w:r>
          </w:p>
        </w:tc>
        <w:tc>
          <w:tcPr>
            <w:tcW w:w="87" w:type="dxa"/>
            <w:tcBorders/>
            <w:shd w:fill="FFFFFF" w:val="clear"/>
            <w:vAlign w:val="center"/>
          </w:tcPr>
          <w:p>
            <w:pPr>
              <w:pStyle w:val="TableContents"/>
              <w:bidi w:val="0"/>
              <w:spacing w:before="0" w:after="283"/>
              <w:jc w:val="left"/>
            </w:pPr>
            <w:r>
              <w:t> </w:t>
            </w:r>
          </w:p>
        </w:tc>
      </w:tr>
      <w:tr>
        <w:tc>
          <w:tcPr>
            <w:tcW w:w="468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 net</w:t>
            </w:r>
          </w:p>
        </w:tc>
        <w:tc>
          <w:tcPr>
            <w:tcW w:w="60" w:type="dxa"/>
            <w:tcBorders/>
            <w:shd w:fill="CCEEFF" w:val="clear"/>
            <w:vAlign w:val="center"/>
          </w:tcPr>
          <w:p>
            <w:pPr>
              <w:pStyle w:val="TableContents"/>
              <w:bidi w:val="0"/>
              <w:spacing w:before="0" w:after="283"/>
              <w:ind w:left="0" w:right="0" w:hanging="0"/>
              <w:jc w:val="left"/>
            </w:pPr>
            <w:r>
              <w:t> </w:t>
            </w:r>
          </w:p>
        </w:tc>
        <w:tc>
          <w:tcPr>
            <w:tcW w:w="18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269,875</w:t>
            </w:r>
          </w:p>
        </w:tc>
        <w:tc>
          <w:tcPr>
            <w:tcW w:w="119" w:type="dxa"/>
            <w:tcBorders/>
            <w:shd w:fill="CCEEFF" w:val="clear"/>
            <w:vAlign w:val="center"/>
          </w:tcPr>
          <w:p>
            <w:pPr>
              <w:pStyle w:val="TableContents"/>
              <w:bidi w:val="0"/>
              <w:spacing w:before="0" w:after="283"/>
              <w:jc w:val="left"/>
            </w:pPr>
            <w:r>
              <w:t> </w:t>
            </w:r>
          </w:p>
        </w:tc>
        <w:tc>
          <w:tcPr>
            <w:tcW w:w="88" w:type="dxa"/>
            <w:tcBorders/>
            <w:shd w:fill="CCEEFF" w:val="clear"/>
            <w:vAlign w:val="center"/>
          </w:tcPr>
          <w:p>
            <w:pPr>
              <w:pStyle w:val="TableContents"/>
              <w:bidi w:val="0"/>
              <w:spacing w:before="0" w:after="283"/>
              <w:ind w:left="0" w:right="0" w:hanging="0"/>
              <w:jc w:val="left"/>
            </w:pPr>
            <w:r>
              <w:t> </w:t>
            </w:r>
          </w:p>
        </w:tc>
        <w:tc>
          <w:tcPr>
            <w:tcW w:w="18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118,630</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8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612,942</w:t>
            </w:r>
          </w:p>
        </w:tc>
        <w:tc>
          <w:tcPr>
            <w:tcW w:w="115" w:type="dxa"/>
            <w:tcBorders/>
            <w:shd w:fill="CCEEFF" w:val="clear"/>
            <w:vAlign w:val="center"/>
          </w:tcPr>
          <w:p>
            <w:pPr>
              <w:pStyle w:val="TableContents"/>
              <w:bidi w:val="0"/>
              <w:spacing w:before="0" w:after="283"/>
              <w:jc w:val="left"/>
            </w:pPr>
            <w:r>
              <w:t> </w:t>
            </w:r>
          </w:p>
        </w:tc>
        <w:tc>
          <w:tcPr>
            <w:tcW w:w="86" w:type="dxa"/>
            <w:tcBorders/>
            <w:shd w:fill="CCEEFF" w:val="clear"/>
            <w:vAlign w:val="center"/>
          </w:tcPr>
          <w:p>
            <w:pPr>
              <w:pStyle w:val="TableContents"/>
              <w:bidi w:val="0"/>
              <w:spacing w:before="0" w:after="283"/>
              <w:ind w:left="0" w:right="0" w:hanging="0"/>
              <w:jc w:val="left"/>
            </w:pPr>
            <w:r>
              <w:t> </w:t>
            </w:r>
          </w:p>
        </w:tc>
        <w:tc>
          <w:tcPr>
            <w:tcW w:w="18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321,441</w:t>
            </w:r>
          </w:p>
        </w:tc>
        <w:tc>
          <w:tcPr>
            <w:tcW w:w="87" w:type="dxa"/>
            <w:tcBorders/>
            <w:shd w:fill="CCEEFF" w:val="clear"/>
            <w:vAlign w:val="center"/>
          </w:tcPr>
          <w:p>
            <w:pPr>
              <w:pStyle w:val="TableContents"/>
              <w:bidi w:val="0"/>
              <w:spacing w:before="0" w:after="283"/>
              <w:jc w:val="left"/>
            </w:pPr>
            <w:r>
              <w:t> </w:t>
            </w:r>
          </w:p>
        </w:tc>
      </w:tr>
      <w:tr>
        <w:tc>
          <w:tcPr>
            <w:tcW w:w="468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goods sold</w:t>
            </w:r>
          </w:p>
        </w:tc>
        <w:tc>
          <w:tcPr>
            <w:tcW w:w="60" w:type="dxa"/>
            <w:tcBorders/>
            <w:shd w:fill="FFFFFF" w:val="clear"/>
            <w:vAlign w:val="center"/>
          </w:tcPr>
          <w:p>
            <w:pPr>
              <w:pStyle w:val="TableContents"/>
              <w:bidi w:val="0"/>
              <w:spacing w:before="0" w:after="283"/>
              <w:jc w:val="left"/>
            </w:pPr>
            <w:r>
              <w:t> </w:t>
            </w:r>
          </w:p>
        </w:tc>
        <w:tc>
          <w:tcPr>
            <w:tcW w:w="18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0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193,720</w:t>
            </w:r>
          </w:p>
        </w:tc>
        <w:tc>
          <w:tcPr>
            <w:tcW w:w="119" w:type="dxa"/>
            <w:tcBorders/>
            <w:shd w:fill="FFFFFF" w:val="clear"/>
            <w:vAlign w:val="center"/>
          </w:tcPr>
          <w:p>
            <w:pPr>
              <w:pStyle w:val="TableContents"/>
              <w:bidi w:val="0"/>
              <w:spacing w:before="0" w:after="283"/>
              <w:jc w:val="left"/>
            </w:pPr>
            <w:r>
              <w:t> </w:t>
            </w:r>
          </w:p>
        </w:tc>
        <w:tc>
          <w:tcPr>
            <w:tcW w:w="88" w:type="dxa"/>
            <w:tcBorders/>
            <w:shd w:fill="FFFFFF" w:val="clear"/>
            <w:vAlign w:val="center"/>
          </w:tcPr>
          <w:p>
            <w:pPr>
              <w:pStyle w:val="TableContents"/>
              <w:bidi w:val="0"/>
              <w:spacing w:before="0" w:after="283"/>
              <w:jc w:val="left"/>
            </w:pPr>
            <w:r>
              <w:t> </w:t>
            </w:r>
          </w:p>
        </w:tc>
        <w:tc>
          <w:tcPr>
            <w:tcW w:w="18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0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85,367</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0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439,664</w:t>
            </w:r>
          </w:p>
        </w:tc>
        <w:tc>
          <w:tcPr>
            <w:tcW w:w="115" w:type="dxa"/>
            <w:tcBorders/>
            <w:shd w:fill="FFFFFF" w:val="clear"/>
            <w:vAlign w:val="center"/>
          </w:tcPr>
          <w:p>
            <w:pPr>
              <w:pStyle w:val="TableContents"/>
              <w:bidi w:val="0"/>
              <w:spacing w:before="0" w:after="283"/>
              <w:jc w:val="left"/>
            </w:pPr>
            <w:r>
              <w:t> </w:t>
            </w:r>
          </w:p>
        </w:tc>
        <w:tc>
          <w:tcPr>
            <w:tcW w:w="86" w:type="dxa"/>
            <w:tcBorders/>
            <w:shd w:fill="FFFFFF" w:val="clear"/>
            <w:vAlign w:val="center"/>
          </w:tcPr>
          <w:p>
            <w:pPr>
              <w:pStyle w:val="TableContents"/>
              <w:bidi w:val="0"/>
              <w:spacing w:before="0" w:after="283"/>
              <w:jc w:val="left"/>
            </w:pPr>
            <w:r>
              <w:t> </w:t>
            </w:r>
          </w:p>
        </w:tc>
        <w:tc>
          <w:tcPr>
            <w:tcW w:w="1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0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226,472</w:t>
            </w:r>
          </w:p>
        </w:tc>
        <w:tc>
          <w:tcPr>
            <w:tcW w:w="87" w:type="dxa"/>
            <w:tcBorders/>
            <w:shd w:fill="FFFFFF" w:val="clear"/>
            <w:vAlign w:val="center"/>
          </w:tcPr>
          <w:p>
            <w:pPr>
              <w:pStyle w:val="TableContents"/>
              <w:bidi w:val="0"/>
              <w:spacing w:before="0" w:after="283"/>
              <w:jc w:val="left"/>
            </w:pPr>
            <w:r>
              <w:t> </w:t>
            </w:r>
          </w:p>
        </w:tc>
      </w:tr>
      <w:tr>
        <w:tc>
          <w:tcPr>
            <w:tcW w:w="468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CCEEFF" w:val="clear"/>
            <w:vAlign w:val="center"/>
          </w:tcPr>
          <w:p>
            <w:pPr>
              <w:pStyle w:val="TableContents"/>
              <w:bidi w:val="0"/>
              <w:spacing w:before="0" w:after="283"/>
              <w:jc w:val="left"/>
            </w:pPr>
            <w:r>
              <w:t> </w:t>
            </w:r>
          </w:p>
        </w:tc>
        <w:tc>
          <w:tcPr>
            <w:tcW w:w="186" w:type="dxa"/>
            <w:tcBorders/>
            <w:shd w:fill="CCEEFF" w:val="clear"/>
            <w:vAlign w:val="center"/>
          </w:tcPr>
          <w:p>
            <w:pPr>
              <w:pStyle w:val="TableContents"/>
              <w:bidi w:val="0"/>
              <w:spacing w:before="0" w:after="283"/>
              <w:ind w:left="0" w:right="0" w:hanging="0"/>
              <w:jc w:val="left"/>
            </w:pPr>
            <w:r>
              <w:t> </w:t>
            </w:r>
          </w:p>
        </w:tc>
        <w:tc>
          <w:tcPr>
            <w:tcW w:w="10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76,155</w:t>
            </w:r>
          </w:p>
        </w:tc>
        <w:tc>
          <w:tcPr>
            <w:tcW w:w="119" w:type="dxa"/>
            <w:tcBorders/>
            <w:shd w:fill="CCEEFF" w:val="clear"/>
            <w:vAlign w:val="center"/>
          </w:tcPr>
          <w:p>
            <w:pPr>
              <w:pStyle w:val="TableContents"/>
              <w:bidi w:val="0"/>
              <w:spacing w:before="0" w:after="283"/>
              <w:jc w:val="left"/>
            </w:pPr>
            <w:r>
              <w:t> </w:t>
            </w:r>
          </w:p>
        </w:tc>
        <w:tc>
          <w:tcPr>
            <w:tcW w:w="88" w:type="dxa"/>
            <w:tcBorders/>
            <w:shd w:fill="CCEEFF" w:val="clear"/>
            <w:vAlign w:val="center"/>
          </w:tcPr>
          <w:p>
            <w:pPr>
              <w:pStyle w:val="TableContents"/>
              <w:bidi w:val="0"/>
              <w:spacing w:before="0" w:after="283"/>
              <w:jc w:val="left"/>
            </w:pPr>
            <w:r>
              <w:t> </w:t>
            </w:r>
          </w:p>
        </w:tc>
        <w:tc>
          <w:tcPr>
            <w:tcW w:w="186" w:type="dxa"/>
            <w:tcBorders/>
            <w:shd w:fill="CCEEFF" w:val="clear"/>
            <w:vAlign w:val="center"/>
          </w:tcPr>
          <w:p>
            <w:pPr>
              <w:pStyle w:val="TableContents"/>
              <w:bidi w:val="0"/>
              <w:spacing w:before="0" w:after="283"/>
              <w:ind w:left="0" w:right="0" w:hanging="0"/>
              <w:jc w:val="left"/>
            </w:pPr>
            <w:r>
              <w:t> </w:t>
            </w:r>
          </w:p>
        </w:tc>
        <w:tc>
          <w:tcPr>
            <w:tcW w:w="10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33,263</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81" w:type="dxa"/>
            <w:tcBorders/>
            <w:shd w:fill="CCEEFF" w:val="clear"/>
            <w:vAlign w:val="center"/>
          </w:tcPr>
          <w:p>
            <w:pPr>
              <w:pStyle w:val="TableContents"/>
              <w:bidi w:val="0"/>
              <w:spacing w:before="0" w:after="283"/>
              <w:ind w:left="0" w:right="0" w:hanging="0"/>
              <w:jc w:val="left"/>
            </w:pPr>
            <w:r>
              <w:t> </w:t>
            </w:r>
          </w:p>
        </w:tc>
        <w:tc>
          <w:tcPr>
            <w:tcW w:w="10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173,278</w:t>
            </w:r>
          </w:p>
        </w:tc>
        <w:tc>
          <w:tcPr>
            <w:tcW w:w="115" w:type="dxa"/>
            <w:tcBorders/>
            <w:shd w:fill="CCEEFF" w:val="clear"/>
            <w:vAlign w:val="center"/>
          </w:tcPr>
          <w:p>
            <w:pPr>
              <w:pStyle w:val="TableContents"/>
              <w:bidi w:val="0"/>
              <w:spacing w:before="0" w:after="283"/>
              <w:jc w:val="left"/>
            </w:pPr>
            <w:r>
              <w:t> </w:t>
            </w:r>
          </w:p>
        </w:tc>
        <w:tc>
          <w:tcPr>
            <w:tcW w:w="86" w:type="dxa"/>
            <w:tcBorders/>
            <w:shd w:fill="CCEEFF" w:val="clear"/>
            <w:vAlign w:val="center"/>
          </w:tcPr>
          <w:p>
            <w:pPr>
              <w:pStyle w:val="TableContents"/>
              <w:bidi w:val="0"/>
              <w:spacing w:before="0" w:after="283"/>
              <w:jc w:val="left"/>
            </w:pPr>
            <w:r>
              <w:t> </w:t>
            </w:r>
          </w:p>
        </w:tc>
        <w:tc>
          <w:tcPr>
            <w:tcW w:w="181" w:type="dxa"/>
            <w:tcBorders/>
            <w:shd w:fill="CCEEFF" w:val="clear"/>
            <w:vAlign w:val="center"/>
          </w:tcPr>
          <w:p>
            <w:pPr>
              <w:pStyle w:val="TableContents"/>
              <w:bidi w:val="0"/>
              <w:spacing w:before="0" w:after="283"/>
              <w:ind w:left="0" w:right="0" w:hanging="0"/>
              <w:jc w:val="left"/>
            </w:pPr>
            <w:r>
              <w:t> </w:t>
            </w:r>
          </w:p>
        </w:tc>
        <w:tc>
          <w:tcPr>
            <w:tcW w:w="10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94,969</w:t>
            </w:r>
          </w:p>
        </w:tc>
        <w:tc>
          <w:tcPr>
            <w:tcW w:w="87" w:type="dxa"/>
            <w:tcBorders/>
            <w:shd w:fill="CCEEFF" w:val="clear"/>
            <w:vAlign w:val="center"/>
          </w:tcPr>
          <w:p>
            <w:pPr>
              <w:pStyle w:val="TableContents"/>
              <w:bidi w:val="0"/>
              <w:spacing w:before="0" w:after="283"/>
              <w:jc w:val="left"/>
            </w:pPr>
            <w:r>
              <w:t> </w:t>
            </w:r>
          </w:p>
        </w:tc>
      </w:tr>
      <w:tr>
        <w:tc>
          <w:tcPr>
            <w:tcW w:w="468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expenses</w:t>
            </w:r>
          </w:p>
        </w:tc>
        <w:tc>
          <w:tcPr>
            <w:tcW w:w="60" w:type="dxa"/>
            <w:tcBorders/>
            <w:shd w:fill="FFFFFF" w:val="clear"/>
            <w:vAlign w:val="center"/>
          </w:tcPr>
          <w:p>
            <w:pPr>
              <w:pStyle w:val="TableContents"/>
              <w:bidi w:val="0"/>
              <w:spacing w:before="0" w:after="283"/>
              <w:jc w:val="left"/>
            </w:pPr>
            <w:r>
              <w:t> </w:t>
            </w:r>
          </w:p>
        </w:tc>
        <w:tc>
          <w:tcPr>
            <w:tcW w:w="186" w:type="dxa"/>
            <w:tcBorders/>
            <w:shd w:fill="FFFFFF" w:val="clear"/>
            <w:vAlign w:val="center"/>
          </w:tcPr>
          <w:p>
            <w:pPr>
              <w:pStyle w:val="TableContents"/>
              <w:bidi w:val="0"/>
              <w:spacing w:before="0" w:after="283"/>
              <w:jc w:val="left"/>
            </w:pPr>
            <w:r>
              <w:t> </w:t>
            </w:r>
          </w:p>
        </w:tc>
        <w:tc>
          <w:tcPr>
            <w:tcW w:w="1036" w:type="dxa"/>
            <w:tcBorders/>
            <w:shd w:fill="FFFFFF" w:val="clear"/>
            <w:vAlign w:val="center"/>
          </w:tcPr>
          <w:p>
            <w:pPr>
              <w:pStyle w:val="TableContents"/>
              <w:bidi w:val="0"/>
              <w:spacing w:before="0" w:after="283"/>
              <w:jc w:val="left"/>
            </w:pPr>
            <w:r>
              <w:t> </w:t>
            </w:r>
          </w:p>
        </w:tc>
        <w:tc>
          <w:tcPr>
            <w:tcW w:w="119" w:type="dxa"/>
            <w:tcBorders/>
            <w:shd w:fill="FFFFFF" w:val="clear"/>
            <w:vAlign w:val="center"/>
          </w:tcPr>
          <w:p>
            <w:pPr>
              <w:pStyle w:val="TableContents"/>
              <w:bidi w:val="0"/>
              <w:spacing w:before="0" w:after="283"/>
              <w:jc w:val="left"/>
            </w:pPr>
            <w:r>
              <w:t> </w:t>
            </w:r>
          </w:p>
        </w:tc>
        <w:tc>
          <w:tcPr>
            <w:tcW w:w="88" w:type="dxa"/>
            <w:tcBorders/>
            <w:shd w:fill="FFFFFF" w:val="clear"/>
            <w:vAlign w:val="center"/>
          </w:tcPr>
          <w:p>
            <w:pPr>
              <w:pStyle w:val="TableContents"/>
              <w:bidi w:val="0"/>
              <w:spacing w:before="0" w:after="283"/>
              <w:ind w:left="0" w:right="0" w:hanging="0"/>
              <w:jc w:val="left"/>
            </w:pPr>
            <w:r>
              <w:t> </w:t>
            </w:r>
          </w:p>
        </w:tc>
        <w:tc>
          <w:tcPr>
            <w:tcW w:w="1222" w:type="dxa"/>
            <w:gridSpan w:val="2"/>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81" w:type="dxa"/>
            <w:tcBorders/>
            <w:shd w:fill="FFFFFF" w:val="clear"/>
            <w:vAlign w:val="center"/>
          </w:tcPr>
          <w:p>
            <w:pPr>
              <w:pStyle w:val="TableContents"/>
              <w:bidi w:val="0"/>
              <w:spacing w:before="0" w:after="283"/>
              <w:jc w:val="left"/>
            </w:pPr>
            <w:r>
              <w:t> </w:t>
            </w:r>
          </w:p>
        </w:tc>
        <w:tc>
          <w:tcPr>
            <w:tcW w:w="1009" w:type="dxa"/>
            <w:tcBorders/>
            <w:shd w:fill="FFFFFF" w:val="clear"/>
            <w:vAlign w:val="center"/>
          </w:tcPr>
          <w:p>
            <w:pPr>
              <w:pStyle w:val="TableContents"/>
              <w:bidi w:val="0"/>
              <w:spacing w:before="0" w:after="283"/>
              <w:jc w:val="left"/>
            </w:pPr>
            <w:r>
              <w:t> </w:t>
            </w:r>
          </w:p>
        </w:tc>
        <w:tc>
          <w:tcPr>
            <w:tcW w:w="115" w:type="dxa"/>
            <w:tcBorders/>
            <w:shd w:fill="FFFFFF" w:val="clear"/>
            <w:vAlign w:val="center"/>
          </w:tcPr>
          <w:p>
            <w:pPr>
              <w:pStyle w:val="TableContents"/>
              <w:bidi w:val="0"/>
              <w:spacing w:before="0" w:after="283"/>
              <w:jc w:val="left"/>
            </w:pPr>
            <w:r>
              <w:t> </w:t>
            </w:r>
          </w:p>
        </w:tc>
        <w:tc>
          <w:tcPr>
            <w:tcW w:w="86" w:type="dxa"/>
            <w:tcBorders/>
            <w:shd w:fill="FFFFFF" w:val="clear"/>
            <w:vAlign w:val="center"/>
          </w:tcPr>
          <w:p>
            <w:pPr>
              <w:pStyle w:val="TableContents"/>
              <w:bidi w:val="0"/>
              <w:spacing w:before="0" w:after="283"/>
              <w:jc w:val="left"/>
            </w:pPr>
            <w:r>
              <w:t> </w:t>
            </w:r>
          </w:p>
        </w:tc>
        <w:tc>
          <w:tcPr>
            <w:tcW w:w="181" w:type="dxa"/>
            <w:tcBorders/>
            <w:shd w:fill="FFFFFF" w:val="clear"/>
            <w:vAlign w:val="center"/>
          </w:tcPr>
          <w:p>
            <w:pPr>
              <w:pStyle w:val="TableContents"/>
              <w:bidi w:val="0"/>
              <w:spacing w:before="0" w:after="283"/>
              <w:jc w:val="left"/>
            </w:pPr>
            <w:r>
              <w:t> </w:t>
            </w:r>
          </w:p>
        </w:tc>
        <w:tc>
          <w:tcPr>
            <w:tcW w:w="1009" w:type="dxa"/>
            <w:tcBorders/>
            <w:shd w:fill="FFFFFF" w:val="clear"/>
            <w:vAlign w:val="center"/>
          </w:tcPr>
          <w:p>
            <w:pPr>
              <w:pStyle w:val="TableContents"/>
              <w:bidi w:val="0"/>
              <w:spacing w:before="0" w:after="283"/>
              <w:jc w:val="left"/>
            </w:pPr>
            <w:r>
              <w:t> </w:t>
            </w:r>
          </w:p>
        </w:tc>
        <w:tc>
          <w:tcPr>
            <w:tcW w:w="87" w:type="dxa"/>
            <w:tcBorders/>
            <w:shd w:fill="FFFFFF" w:val="clear"/>
            <w:vAlign w:val="center"/>
          </w:tcPr>
          <w:p>
            <w:pPr>
              <w:pStyle w:val="TableContents"/>
              <w:bidi w:val="0"/>
              <w:spacing w:before="0" w:after="283"/>
              <w:jc w:val="left"/>
            </w:pPr>
            <w:r>
              <w:t> </w:t>
            </w:r>
          </w:p>
        </w:tc>
      </w:tr>
      <w:tr>
        <w:tc>
          <w:tcPr>
            <w:tcW w:w="468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CCEEFF" w:val="clear"/>
            <w:vAlign w:val="center"/>
          </w:tcPr>
          <w:p>
            <w:pPr>
              <w:pStyle w:val="TableContents"/>
              <w:bidi w:val="0"/>
              <w:spacing w:before="0" w:after="283"/>
              <w:jc w:val="left"/>
            </w:pPr>
            <w:r>
              <w:t> </w:t>
            </w:r>
          </w:p>
        </w:tc>
        <w:tc>
          <w:tcPr>
            <w:tcW w:w="186" w:type="dxa"/>
            <w:tcBorders/>
            <w:shd w:fill="CCEEFF" w:val="clear"/>
            <w:vAlign w:val="center"/>
          </w:tcPr>
          <w:p>
            <w:pPr>
              <w:pStyle w:val="TableContents"/>
              <w:bidi w:val="0"/>
              <w:spacing w:before="0" w:after="283"/>
              <w:ind w:left="0" w:right="0" w:hanging="0"/>
              <w:jc w:val="left"/>
            </w:pPr>
            <w:r>
              <w:t> </w:t>
            </w:r>
          </w:p>
        </w:tc>
        <w:tc>
          <w:tcPr>
            <w:tcW w:w="10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38,109</w:t>
            </w:r>
          </w:p>
        </w:tc>
        <w:tc>
          <w:tcPr>
            <w:tcW w:w="119" w:type="dxa"/>
            <w:tcBorders/>
            <w:shd w:fill="CCEEFF" w:val="clear"/>
            <w:vAlign w:val="center"/>
          </w:tcPr>
          <w:p>
            <w:pPr>
              <w:pStyle w:val="TableContents"/>
              <w:bidi w:val="0"/>
              <w:spacing w:before="0" w:after="283"/>
              <w:jc w:val="left"/>
            </w:pPr>
            <w:r>
              <w:t> </w:t>
            </w:r>
          </w:p>
        </w:tc>
        <w:tc>
          <w:tcPr>
            <w:tcW w:w="88" w:type="dxa"/>
            <w:tcBorders/>
            <w:shd w:fill="CCEEFF" w:val="clear"/>
            <w:vAlign w:val="center"/>
          </w:tcPr>
          <w:p>
            <w:pPr>
              <w:pStyle w:val="TableContents"/>
              <w:bidi w:val="0"/>
              <w:spacing w:before="0" w:after="283"/>
              <w:jc w:val="left"/>
            </w:pPr>
            <w:r>
              <w:t> </w:t>
            </w:r>
          </w:p>
        </w:tc>
        <w:tc>
          <w:tcPr>
            <w:tcW w:w="186" w:type="dxa"/>
            <w:tcBorders/>
            <w:shd w:fill="CCEEFF" w:val="clear"/>
            <w:vAlign w:val="center"/>
          </w:tcPr>
          <w:p>
            <w:pPr>
              <w:pStyle w:val="TableContents"/>
              <w:bidi w:val="0"/>
              <w:spacing w:before="0" w:after="283"/>
              <w:ind w:left="0" w:right="0" w:hanging="0"/>
              <w:jc w:val="left"/>
            </w:pPr>
            <w:r>
              <w:t> </w:t>
            </w:r>
          </w:p>
        </w:tc>
        <w:tc>
          <w:tcPr>
            <w:tcW w:w="10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21,265</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81" w:type="dxa"/>
            <w:tcBorders/>
            <w:shd w:fill="CCEEFF" w:val="clear"/>
            <w:vAlign w:val="center"/>
          </w:tcPr>
          <w:p>
            <w:pPr>
              <w:pStyle w:val="TableContents"/>
              <w:bidi w:val="0"/>
              <w:spacing w:before="0" w:after="283"/>
              <w:ind w:left="0" w:right="0" w:hanging="0"/>
              <w:jc w:val="left"/>
            </w:pPr>
            <w:r>
              <w:t> </w:t>
            </w:r>
          </w:p>
        </w:tc>
        <w:tc>
          <w:tcPr>
            <w:tcW w:w="10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98,636</w:t>
            </w:r>
          </w:p>
        </w:tc>
        <w:tc>
          <w:tcPr>
            <w:tcW w:w="115" w:type="dxa"/>
            <w:tcBorders/>
            <w:shd w:fill="CCEEFF" w:val="clear"/>
            <w:vAlign w:val="center"/>
          </w:tcPr>
          <w:p>
            <w:pPr>
              <w:pStyle w:val="TableContents"/>
              <w:bidi w:val="0"/>
              <w:spacing w:before="0" w:after="283"/>
              <w:jc w:val="left"/>
            </w:pPr>
            <w:r>
              <w:t> </w:t>
            </w:r>
          </w:p>
        </w:tc>
        <w:tc>
          <w:tcPr>
            <w:tcW w:w="86" w:type="dxa"/>
            <w:tcBorders/>
            <w:shd w:fill="CCEEFF" w:val="clear"/>
            <w:vAlign w:val="center"/>
          </w:tcPr>
          <w:p>
            <w:pPr>
              <w:pStyle w:val="TableContents"/>
              <w:bidi w:val="0"/>
              <w:spacing w:before="0" w:after="283"/>
              <w:jc w:val="left"/>
            </w:pPr>
            <w:r>
              <w:t> </w:t>
            </w:r>
          </w:p>
        </w:tc>
        <w:tc>
          <w:tcPr>
            <w:tcW w:w="181" w:type="dxa"/>
            <w:tcBorders/>
            <w:shd w:fill="CCEEFF" w:val="clear"/>
            <w:vAlign w:val="center"/>
          </w:tcPr>
          <w:p>
            <w:pPr>
              <w:pStyle w:val="TableContents"/>
              <w:bidi w:val="0"/>
              <w:spacing w:before="0" w:after="283"/>
              <w:ind w:left="0" w:right="0" w:hanging="0"/>
              <w:jc w:val="left"/>
            </w:pPr>
            <w:r>
              <w:t> </w:t>
            </w:r>
          </w:p>
        </w:tc>
        <w:tc>
          <w:tcPr>
            <w:tcW w:w="10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59,687</w:t>
            </w:r>
          </w:p>
        </w:tc>
        <w:tc>
          <w:tcPr>
            <w:tcW w:w="87" w:type="dxa"/>
            <w:tcBorders/>
            <w:shd w:fill="CCEEFF" w:val="clear"/>
            <w:vAlign w:val="center"/>
          </w:tcPr>
          <w:p>
            <w:pPr>
              <w:pStyle w:val="TableContents"/>
              <w:bidi w:val="0"/>
              <w:spacing w:before="0" w:after="283"/>
              <w:jc w:val="left"/>
            </w:pPr>
            <w:r>
              <w:t> </w:t>
            </w:r>
          </w:p>
        </w:tc>
      </w:tr>
      <w:tr>
        <w:tc>
          <w:tcPr>
            <w:tcW w:w="468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and marketing</w:t>
            </w:r>
          </w:p>
        </w:tc>
        <w:tc>
          <w:tcPr>
            <w:tcW w:w="60" w:type="dxa"/>
            <w:tcBorders/>
            <w:shd w:fill="FFFFFF" w:val="clear"/>
            <w:vAlign w:val="center"/>
          </w:tcPr>
          <w:p>
            <w:pPr>
              <w:pStyle w:val="TableContents"/>
              <w:bidi w:val="0"/>
              <w:spacing w:before="0" w:after="283"/>
              <w:jc w:val="left"/>
            </w:pPr>
            <w:r>
              <w:t> </w:t>
            </w:r>
          </w:p>
        </w:tc>
        <w:tc>
          <w:tcPr>
            <w:tcW w:w="186" w:type="dxa"/>
            <w:tcBorders/>
            <w:shd w:fill="FFFFFF" w:val="clear"/>
            <w:vAlign w:val="center"/>
          </w:tcPr>
          <w:p>
            <w:pPr>
              <w:pStyle w:val="TableContents"/>
              <w:bidi w:val="0"/>
              <w:spacing w:before="0" w:after="283"/>
              <w:ind w:left="0" w:right="0" w:hanging="0"/>
              <w:jc w:val="left"/>
            </w:pPr>
            <w:r>
              <w:t> </w:t>
            </w:r>
          </w:p>
        </w:tc>
        <w:tc>
          <w:tcPr>
            <w:tcW w:w="10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7,875</w:t>
            </w:r>
          </w:p>
        </w:tc>
        <w:tc>
          <w:tcPr>
            <w:tcW w:w="119" w:type="dxa"/>
            <w:tcBorders/>
            <w:shd w:fill="FFFFFF" w:val="clear"/>
            <w:vAlign w:val="center"/>
          </w:tcPr>
          <w:p>
            <w:pPr>
              <w:pStyle w:val="TableContents"/>
              <w:bidi w:val="0"/>
              <w:spacing w:before="0" w:after="283"/>
              <w:jc w:val="left"/>
            </w:pPr>
            <w:r>
              <w:t> </w:t>
            </w:r>
          </w:p>
        </w:tc>
        <w:tc>
          <w:tcPr>
            <w:tcW w:w="88" w:type="dxa"/>
            <w:tcBorders/>
            <w:shd w:fill="FFFFFF" w:val="clear"/>
            <w:vAlign w:val="center"/>
          </w:tcPr>
          <w:p>
            <w:pPr>
              <w:pStyle w:val="TableContents"/>
              <w:bidi w:val="0"/>
              <w:spacing w:before="0" w:after="283"/>
              <w:jc w:val="left"/>
            </w:pPr>
            <w:r>
              <w:t> </w:t>
            </w:r>
          </w:p>
        </w:tc>
        <w:tc>
          <w:tcPr>
            <w:tcW w:w="186" w:type="dxa"/>
            <w:tcBorders/>
            <w:shd w:fill="FFFFFF" w:val="clear"/>
            <w:vAlign w:val="center"/>
          </w:tcPr>
          <w:p>
            <w:pPr>
              <w:pStyle w:val="TableContents"/>
              <w:bidi w:val="0"/>
              <w:spacing w:before="0" w:after="283"/>
              <w:ind w:left="0" w:right="0" w:hanging="0"/>
              <w:jc w:val="left"/>
            </w:pPr>
            <w:r>
              <w:t> </w:t>
            </w:r>
          </w:p>
        </w:tc>
        <w:tc>
          <w:tcPr>
            <w:tcW w:w="10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9,871</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81" w:type="dxa"/>
            <w:tcBorders/>
            <w:shd w:fill="FFFFFF" w:val="clear"/>
            <w:vAlign w:val="center"/>
          </w:tcPr>
          <w:p>
            <w:pPr>
              <w:pStyle w:val="TableContents"/>
              <w:bidi w:val="0"/>
              <w:spacing w:before="0" w:after="283"/>
              <w:ind w:left="0" w:right="0" w:hanging="0"/>
              <w:jc w:val="left"/>
            </w:pPr>
            <w:r>
              <w:t> </w:t>
            </w:r>
          </w:p>
        </w:tc>
        <w:tc>
          <w:tcPr>
            <w:tcW w:w="10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25,712</w:t>
            </w:r>
          </w:p>
        </w:tc>
        <w:tc>
          <w:tcPr>
            <w:tcW w:w="115" w:type="dxa"/>
            <w:tcBorders/>
            <w:shd w:fill="FFFFFF" w:val="clear"/>
            <w:vAlign w:val="center"/>
          </w:tcPr>
          <w:p>
            <w:pPr>
              <w:pStyle w:val="TableContents"/>
              <w:bidi w:val="0"/>
              <w:spacing w:before="0" w:after="283"/>
              <w:jc w:val="left"/>
            </w:pPr>
            <w:r>
              <w:t> </w:t>
            </w:r>
          </w:p>
        </w:tc>
        <w:tc>
          <w:tcPr>
            <w:tcW w:w="86" w:type="dxa"/>
            <w:tcBorders/>
            <w:shd w:fill="FFFFFF" w:val="clear"/>
            <w:vAlign w:val="center"/>
          </w:tcPr>
          <w:p>
            <w:pPr>
              <w:pStyle w:val="TableContents"/>
              <w:bidi w:val="0"/>
              <w:spacing w:before="0" w:after="283"/>
              <w:jc w:val="left"/>
            </w:pPr>
            <w:r>
              <w:t> </w:t>
            </w:r>
          </w:p>
        </w:tc>
        <w:tc>
          <w:tcPr>
            <w:tcW w:w="181" w:type="dxa"/>
            <w:tcBorders/>
            <w:shd w:fill="FFFFFF" w:val="clear"/>
            <w:vAlign w:val="center"/>
          </w:tcPr>
          <w:p>
            <w:pPr>
              <w:pStyle w:val="TableContents"/>
              <w:bidi w:val="0"/>
              <w:spacing w:before="0" w:after="283"/>
              <w:ind w:left="0" w:right="0" w:hanging="0"/>
              <w:jc w:val="left"/>
            </w:pPr>
            <w:r>
              <w:t> </w:t>
            </w:r>
          </w:p>
        </w:tc>
        <w:tc>
          <w:tcPr>
            <w:tcW w:w="10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23,363</w:t>
            </w:r>
          </w:p>
        </w:tc>
        <w:tc>
          <w:tcPr>
            <w:tcW w:w="87" w:type="dxa"/>
            <w:tcBorders/>
            <w:shd w:fill="FFFFFF" w:val="clear"/>
            <w:vAlign w:val="center"/>
          </w:tcPr>
          <w:p>
            <w:pPr>
              <w:pStyle w:val="TableContents"/>
              <w:bidi w:val="0"/>
              <w:spacing w:before="0" w:after="283"/>
              <w:jc w:val="left"/>
            </w:pPr>
            <w:r>
              <w:t> </w:t>
            </w:r>
          </w:p>
        </w:tc>
      </w:tr>
      <w:tr>
        <w:tc>
          <w:tcPr>
            <w:tcW w:w="468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p>
        </w:tc>
        <w:tc>
          <w:tcPr>
            <w:tcW w:w="60" w:type="dxa"/>
            <w:tcBorders/>
            <w:shd w:fill="CCEEFF" w:val="clear"/>
            <w:vAlign w:val="center"/>
          </w:tcPr>
          <w:p>
            <w:pPr>
              <w:pStyle w:val="TableContents"/>
              <w:bidi w:val="0"/>
              <w:spacing w:before="0" w:after="283"/>
              <w:jc w:val="left"/>
            </w:pPr>
            <w:r>
              <w:t> </w:t>
            </w:r>
          </w:p>
        </w:tc>
        <w:tc>
          <w:tcPr>
            <w:tcW w:w="18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03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31,613</w:t>
            </w:r>
          </w:p>
        </w:tc>
        <w:tc>
          <w:tcPr>
            <w:tcW w:w="119" w:type="dxa"/>
            <w:tcBorders/>
            <w:shd w:fill="CCEEFF" w:val="clear"/>
            <w:vAlign w:val="center"/>
          </w:tcPr>
          <w:p>
            <w:pPr>
              <w:pStyle w:val="TableContents"/>
              <w:bidi w:val="0"/>
              <w:spacing w:before="0" w:after="283"/>
              <w:jc w:val="left"/>
            </w:pPr>
            <w:r>
              <w:t> </w:t>
            </w:r>
          </w:p>
        </w:tc>
        <w:tc>
          <w:tcPr>
            <w:tcW w:w="88" w:type="dxa"/>
            <w:tcBorders/>
            <w:shd w:fill="CCEEFF" w:val="clear"/>
            <w:vAlign w:val="center"/>
          </w:tcPr>
          <w:p>
            <w:pPr>
              <w:pStyle w:val="TableContents"/>
              <w:bidi w:val="0"/>
              <w:spacing w:before="0" w:after="283"/>
              <w:jc w:val="left"/>
            </w:pPr>
            <w:r>
              <w:t> </w:t>
            </w:r>
          </w:p>
        </w:tc>
        <w:tc>
          <w:tcPr>
            <w:tcW w:w="18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03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20,314</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0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88,090</w:t>
            </w:r>
          </w:p>
        </w:tc>
        <w:tc>
          <w:tcPr>
            <w:tcW w:w="115" w:type="dxa"/>
            <w:tcBorders/>
            <w:shd w:fill="CCEEFF" w:val="clear"/>
            <w:vAlign w:val="center"/>
          </w:tcPr>
          <w:p>
            <w:pPr>
              <w:pStyle w:val="TableContents"/>
              <w:bidi w:val="0"/>
              <w:spacing w:before="0" w:after="283"/>
              <w:jc w:val="left"/>
            </w:pPr>
            <w:r>
              <w:t> </w:t>
            </w:r>
          </w:p>
        </w:tc>
        <w:tc>
          <w:tcPr>
            <w:tcW w:w="86" w:type="dxa"/>
            <w:tcBorders/>
            <w:shd w:fill="CCEEFF" w:val="clear"/>
            <w:vAlign w:val="center"/>
          </w:tcPr>
          <w:p>
            <w:pPr>
              <w:pStyle w:val="TableContents"/>
              <w:bidi w:val="0"/>
              <w:spacing w:before="0" w:after="283"/>
              <w:jc w:val="left"/>
            </w:pPr>
            <w:r>
              <w:t> </w:t>
            </w:r>
          </w:p>
        </w:tc>
        <w:tc>
          <w:tcPr>
            <w:tcW w:w="1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0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55,020</w:t>
            </w:r>
          </w:p>
        </w:tc>
        <w:tc>
          <w:tcPr>
            <w:tcW w:w="87" w:type="dxa"/>
            <w:tcBorders/>
            <w:shd w:fill="CCEEFF" w:val="clear"/>
            <w:vAlign w:val="center"/>
          </w:tcPr>
          <w:p>
            <w:pPr>
              <w:pStyle w:val="TableContents"/>
              <w:bidi w:val="0"/>
              <w:spacing w:before="0" w:after="283"/>
              <w:jc w:val="left"/>
            </w:pPr>
            <w:r>
              <w:t> </w:t>
            </w:r>
          </w:p>
        </w:tc>
      </w:tr>
      <w:tr>
        <w:tc>
          <w:tcPr>
            <w:tcW w:w="468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p>
        </w:tc>
        <w:tc>
          <w:tcPr>
            <w:tcW w:w="60" w:type="dxa"/>
            <w:tcBorders/>
            <w:shd w:fill="FFFFFF" w:val="clear"/>
            <w:vAlign w:val="center"/>
          </w:tcPr>
          <w:p>
            <w:pPr>
              <w:pStyle w:val="TableContents"/>
              <w:bidi w:val="0"/>
              <w:spacing w:before="0" w:after="283"/>
              <w:jc w:val="left"/>
            </w:pPr>
            <w:r>
              <w:t> </w:t>
            </w:r>
          </w:p>
        </w:tc>
        <w:tc>
          <w:tcPr>
            <w:tcW w:w="18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0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77,597</w:t>
            </w:r>
          </w:p>
        </w:tc>
        <w:tc>
          <w:tcPr>
            <w:tcW w:w="119" w:type="dxa"/>
            <w:tcBorders/>
            <w:shd w:fill="FFFFFF" w:val="clear"/>
            <w:vAlign w:val="center"/>
          </w:tcPr>
          <w:p>
            <w:pPr>
              <w:pStyle w:val="TableContents"/>
              <w:bidi w:val="0"/>
              <w:spacing w:before="0" w:after="283"/>
              <w:jc w:val="left"/>
            </w:pPr>
            <w:r>
              <w:t> </w:t>
            </w:r>
          </w:p>
        </w:tc>
        <w:tc>
          <w:tcPr>
            <w:tcW w:w="88" w:type="dxa"/>
            <w:tcBorders/>
            <w:shd w:fill="FFFFFF" w:val="clear"/>
            <w:vAlign w:val="center"/>
          </w:tcPr>
          <w:p>
            <w:pPr>
              <w:pStyle w:val="TableContents"/>
              <w:bidi w:val="0"/>
              <w:spacing w:before="0" w:after="283"/>
              <w:jc w:val="left"/>
            </w:pPr>
            <w:r>
              <w:t> </w:t>
            </w:r>
          </w:p>
        </w:tc>
        <w:tc>
          <w:tcPr>
            <w:tcW w:w="18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0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51,450</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0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212,438</w:t>
            </w:r>
          </w:p>
        </w:tc>
        <w:tc>
          <w:tcPr>
            <w:tcW w:w="115" w:type="dxa"/>
            <w:tcBorders/>
            <w:shd w:fill="FFFFFF" w:val="clear"/>
            <w:vAlign w:val="center"/>
          </w:tcPr>
          <w:p>
            <w:pPr>
              <w:pStyle w:val="TableContents"/>
              <w:bidi w:val="0"/>
              <w:spacing w:before="0" w:after="283"/>
              <w:jc w:val="left"/>
            </w:pPr>
            <w:r>
              <w:t> </w:t>
            </w:r>
          </w:p>
        </w:tc>
        <w:tc>
          <w:tcPr>
            <w:tcW w:w="86" w:type="dxa"/>
            <w:tcBorders/>
            <w:shd w:fill="FFFFFF" w:val="clear"/>
            <w:vAlign w:val="center"/>
          </w:tcPr>
          <w:p>
            <w:pPr>
              <w:pStyle w:val="TableContents"/>
              <w:bidi w:val="0"/>
              <w:spacing w:before="0" w:after="283"/>
              <w:jc w:val="left"/>
            </w:pPr>
            <w:r>
              <w:t> </w:t>
            </w:r>
          </w:p>
        </w:tc>
        <w:tc>
          <w:tcPr>
            <w:tcW w:w="1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0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138,070</w:t>
            </w:r>
          </w:p>
        </w:tc>
        <w:tc>
          <w:tcPr>
            <w:tcW w:w="87" w:type="dxa"/>
            <w:tcBorders/>
            <w:shd w:fill="FFFFFF" w:val="clear"/>
            <w:vAlign w:val="center"/>
          </w:tcPr>
          <w:p>
            <w:pPr>
              <w:pStyle w:val="TableContents"/>
              <w:bidi w:val="0"/>
              <w:spacing w:before="0" w:after="283"/>
              <w:jc w:val="left"/>
            </w:pPr>
            <w:r>
              <w:t> </w:t>
            </w:r>
          </w:p>
        </w:tc>
      </w:tr>
      <w:tr>
        <w:tc>
          <w:tcPr>
            <w:tcW w:w="468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from operations</w:t>
            </w:r>
          </w:p>
        </w:tc>
        <w:tc>
          <w:tcPr>
            <w:tcW w:w="60" w:type="dxa"/>
            <w:tcBorders/>
            <w:shd w:fill="CCEEFF" w:val="clear"/>
            <w:vAlign w:val="center"/>
          </w:tcPr>
          <w:p>
            <w:pPr>
              <w:pStyle w:val="TableContents"/>
              <w:bidi w:val="0"/>
              <w:spacing w:before="0" w:after="283"/>
              <w:jc w:val="left"/>
            </w:pPr>
            <w:r>
              <w:t> </w:t>
            </w:r>
          </w:p>
        </w:tc>
        <w:tc>
          <w:tcPr>
            <w:tcW w:w="18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03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(1,442</w:t>
            </w:r>
          </w:p>
        </w:tc>
        <w:tc>
          <w:tcPr>
            <w:tcW w:w="11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8" w:type="dxa"/>
            <w:tcBorders/>
            <w:shd w:fill="CCEEFF" w:val="clear"/>
            <w:vAlign w:val="center"/>
          </w:tcPr>
          <w:p>
            <w:pPr>
              <w:pStyle w:val="TableContents"/>
              <w:bidi w:val="0"/>
              <w:spacing w:before="0" w:after="283"/>
              <w:jc w:val="left"/>
            </w:pPr>
            <w:r>
              <w:t> </w:t>
            </w:r>
          </w:p>
        </w:tc>
        <w:tc>
          <w:tcPr>
            <w:tcW w:w="18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03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(18,187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1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0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(39,160</w:t>
            </w:r>
          </w:p>
        </w:tc>
        <w:tc>
          <w:tcPr>
            <w:tcW w:w="1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6" w:type="dxa"/>
            <w:tcBorders/>
            <w:shd w:fill="CCEEFF" w:val="clear"/>
            <w:vAlign w:val="center"/>
          </w:tcPr>
          <w:p>
            <w:pPr>
              <w:pStyle w:val="TableContents"/>
              <w:bidi w:val="0"/>
              <w:spacing w:before="0" w:after="283"/>
              <w:jc w:val="left"/>
            </w:pPr>
            <w:r>
              <w:t> </w:t>
            </w:r>
          </w:p>
        </w:tc>
        <w:tc>
          <w:tcPr>
            <w:tcW w:w="1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0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(43,101</w:t>
            </w:r>
          </w:p>
        </w:tc>
        <w:tc>
          <w:tcPr>
            <w:tcW w:w="8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468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(expense)</w:t>
            </w:r>
          </w:p>
        </w:tc>
        <w:tc>
          <w:tcPr>
            <w:tcW w:w="60" w:type="dxa"/>
            <w:tcBorders/>
            <w:shd w:fill="FFFFFF" w:val="clear"/>
            <w:vAlign w:val="center"/>
          </w:tcPr>
          <w:p>
            <w:pPr>
              <w:pStyle w:val="TableContents"/>
              <w:bidi w:val="0"/>
              <w:spacing w:before="0" w:after="283"/>
              <w:jc w:val="left"/>
            </w:pPr>
            <w:r>
              <w:t> </w:t>
            </w:r>
          </w:p>
        </w:tc>
        <w:tc>
          <w:tcPr>
            <w:tcW w:w="186" w:type="dxa"/>
            <w:tcBorders/>
            <w:shd w:fill="FFFFFF" w:val="clear"/>
            <w:vAlign w:val="center"/>
          </w:tcPr>
          <w:p>
            <w:pPr>
              <w:pStyle w:val="TableContents"/>
              <w:bidi w:val="0"/>
              <w:spacing w:before="0" w:after="283"/>
              <w:jc w:val="left"/>
            </w:pPr>
            <w:r>
              <w:t> </w:t>
            </w:r>
          </w:p>
        </w:tc>
        <w:tc>
          <w:tcPr>
            <w:tcW w:w="1036" w:type="dxa"/>
            <w:tcBorders/>
            <w:shd w:fill="FFFFFF" w:val="clear"/>
            <w:vAlign w:val="center"/>
          </w:tcPr>
          <w:p>
            <w:pPr>
              <w:pStyle w:val="TableContents"/>
              <w:bidi w:val="0"/>
              <w:spacing w:before="0" w:after="283"/>
              <w:jc w:val="left"/>
            </w:pPr>
            <w:r>
              <w:t> </w:t>
            </w:r>
          </w:p>
        </w:tc>
        <w:tc>
          <w:tcPr>
            <w:tcW w:w="119" w:type="dxa"/>
            <w:tcBorders/>
            <w:shd w:fill="FFFFFF" w:val="clear"/>
            <w:vAlign w:val="center"/>
          </w:tcPr>
          <w:p>
            <w:pPr>
              <w:pStyle w:val="TableContents"/>
              <w:bidi w:val="0"/>
              <w:spacing w:before="0" w:after="283"/>
              <w:jc w:val="left"/>
            </w:pPr>
            <w:r>
              <w:t> </w:t>
            </w:r>
          </w:p>
        </w:tc>
        <w:tc>
          <w:tcPr>
            <w:tcW w:w="88" w:type="dxa"/>
            <w:tcBorders/>
            <w:shd w:fill="FFFFFF" w:val="clear"/>
            <w:vAlign w:val="center"/>
          </w:tcPr>
          <w:p>
            <w:pPr>
              <w:pStyle w:val="TableContents"/>
              <w:bidi w:val="0"/>
              <w:spacing w:before="0" w:after="283"/>
              <w:ind w:left="0" w:right="0" w:hanging="0"/>
              <w:jc w:val="left"/>
            </w:pPr>
            <w:r>
              <w:t> </w:t>
            </w:r>
          </w:p>
        </w:tc>
        <w:tc>
          <w:tcPr>
            <w:tcW w:w="1222" w:type="dxa"/>
            <w:gridSpan w:val="2"/>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81" w:type="dxa"/>
            <w:tcBorders/>
            <w:shd w:fill="FFFFFF" w:val="clear"/>
            <w:vAlign w:val="center"/>
          </w:tcPr>
          <w:p>
            <w:pPr>
              <w:pStyle w:val="TableContents"/>
              <w:bidi w:val="0"/>
              <w:spacing w:before="0" w:after="283"/>
              <w:jc w:val="left"/>
            </w:pPr>
            <w:r>
              <w:t> </w:t>
            </w:r>
          </w:p>
        </w:tc>
        <w:tc>
          <w:tcPr>
            <w:tcW w:w="1009" w:type="dxa"/>
            <w:tcBorders/>
            <w:shd w:fill="FFFFFF" w:val="clear"/>
            <w:vAlign w:val="center"/>
          </w:tcPr>
          <w:p>
            <w:pPr>
              <w:pStyle w:val="TableContents"/>
              <w:bidi w:val="0"/>
              <w:spacing w:before="0" w:after="283"/>
              <w:jc w:val="left"/>
            </w:pPr>
            <w:r>
              <w:t> </w:t>
            </w:r>
          </w:p>
        </w:tc>
        <w:tc>
          <w:tcPr>
            <w:tcW w:w="115" w:type="dxa"/>
            <w:tcBorders/>
            <w:shd w:fill="FFFFFF" w:val="clear"/>
            <w:vAlign w:val="center"/>
          </w:tcPr>
          <w:p>
            <w:pPr>
              <w:pStyle w:val="TableContents"/>
              <w:bidi w:val="0"/>
              <w:spacing w:before="0" w:after="283"/>
              <w:jc w:val="left"/>
            </w:pPr>
            <w:r>
              <w:t> </w:t>
            </w:r>
          </w:p>
        </w:tc>
        <w:tc>
          <w:tcPr>
            <w:tcW w:w="86" w:type="dxa"/>
            <w:tcBorders/>
            <w:shd w:fill="FFFFFF" w:val="clear"/>
            <w:vAlign w:val="center"/>
          </w:tcPr>
          <w:p>
            <w:pPr>
              <w:pStyle w:val="TableContents"/>
              <w:bidi w:val="0"/>
              <w:spacing w:before="0" w:after="283"/>
              <w:jc w:val="left"/>
            </w:pPr>
            <w:r>
              <w:t> </w:t>
            </w:r>
          </w:p>
        </w:tc>
        <w:tc>
          <w:tcPr>
            <w:tcW w:w="181" w:type="dxa"/>
            <w:tcBorders/>
            <w:shd w:fill="FFFFFF" w:val="clear"/>
            <w:vAlign w:val="center"/>
          </w:tcPr>
          <w:p>
            <w:pPr>
              <w:pStyle w:val="TableContents"/>
              <w:bidi w:val="0"/>
              <w:spacing w:before="0" w:after="283"/>
              <w:jc w:val="left"/>
            </w:pPr>
            <w:r>
              <w:t> </w:t>
            </w:r>
          </w:p>
        </w:tc>
        <w:tc>
          <w:tcPr>
            <w:tcW w:w="1009" w:type="dxa"/>
            <w:tcBorders/>
            <w:shd w:fill="FFFFFF" w:val="clear"/>
            <w:vAlign w:val="center"/>
          </w:tcPr>
          <w:p>
            <w:pPr>
              <w:pStyle w:val="TableContents"/>
              <w:bidi w:val="0"/>
              <w:spacing w:before="0" w:after="283"/>
              <w:jc w:val="left"/>
            </w:pPr>
            <w:r>
              <w:t> </w:t>
            </w:r>
          </w:p>
        </w:tc>
        <w:tc>
          <w:tcPr>
            <w:tcW w:w="87" w:type="dxa"/>
            <w:tcBorders/>
            <w:shd w:fill="FFFFFF" w:val="clear"/>
            <w:vAlign w:val="center"/>
          </w:tcPr>
          <w:p>
            <w:pPr>
              <w:pStyle w:val="TableContents"/>
              <w:bidi w:val="0"/>
              <w:spacing w:before="0" w:after="283"/>
              <w:jc w:val="left"/>
            </w:pPr>
            <w:r>
              <w:t> </w:t>
            </w:r>
          </w:p>
        </w:tc>
      </w:tr>
      <w:tr>
        <w:tc>
          <w:tcPr>
            <w:tcW w:w="468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CCEEFF" w:val="clear"/>
            <w:vAlign w:val="center"/>
          </w:tcPr>
          <w:p>
            <w:pPr>
              <w:pStyle w:val="TableContents"/>
              <w:bidi w:val="0"/>
              <w:spacing w:before="0" w:after="283"/>
              <w:jc w:val="left"/>
            </w:pPr>
            <w:r>
              <w:t> </w:t>
            </w:r>
          </w:p>
        </w:tc>
        <w:tc>
          <w:tcPr>
            <w:tcW w:w="186" w:type="dxa"/>
            <w:tcBorders/>
            <w:shd w:fill="CCEEFF" w:val="clear"/>
            <w:vAlign w:val="center"/>
          </w:tcPr>
          <w:p>
            <w:pPr>
              <w:pStyle w:val="TableContents"/>
              <w:bidi w:val="0"/>
              <w:spacing w:before="0" w:after="283"/>
              <w:ind w:left="0" w:right="0" w:hanging="0"/>
              <w:jc w:val="left"/>
            </w:pPr>
            <w:r>
              <w:t> </w:t>
            </w:r>
          </w:p>
        </w:tc>
        <w:tc>
          <w:tcPr>
            <w:tcW w:w="10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3,094</w:t>
            </w:r>
          </w:p>
        </w:tc>
        <w:tc>
          <w:tcPr>
            <w:tcW w:w="119" w:type="dxa"/>
            <w:tcBorders/>
            <w:shd w:fill="CCEEFF" w:val="clear"/>
            <w:vAlign w:val="center"/>
          </w:tcPr>
          <w:p>
            <w:pPr>
              <w:pStyle w:val="TableContents"/>
              <w:bidi w:val="0"/>
              <w:spacing w:before="0" w:after="283"/>
              <w:jc w:val="left"/>
            </w:pPr>
            <w:r>
              <w:t> </w:t>
            </w:r>
          </w:p>
        </w:tc>
        <w:tc>
          <w:tcPr>
            <w:tcW w:w="88" w:type="dxa"/>
            <w:tcBorders/>
            <w:shd w:fill="CCEEFF" w:val="clear"/>
            <w:vAlign w:val="center"/>
          </w:tcPr>
          <w:p>
            <w:pPr>
              <w:pStyle w:val="TableContents"/>
              <w:bidi w:val="0"/>
              <w:spacing w:before="0" w:after="283"/>
              <w:jc w:val="left"/>
            </w:pPr>
            <w:r>
              <w:t> </w:t>
            </w:r>
          </w:p>
        </w:tc>
        <w:tc>
          <w:tcPr>
            <w:tcW w:w="186" w:type="dxa"/>
            <w:tcBorders/>
            <w:shd w:fill="CCEEFF" w:val="clear"/>
            <w:vAlign w:val="center"/>
          </w:tcPr>
          <w:p>
            <w:pPr>
              <w:pStyle w:val="TableContents"/>
              <w:bidi w:val="0"/>
              <w:spacing w:before="0" w:after="283"/>
              <w:ind w:left="0" w:right="0" w:hanging="0"/>
              <w:jc w:val="left"/>
            </w:pPr>
            <w:r>
              <w:t> </w:t>
            </w:r>
          </w:p>
        </w:tc>
        <w:tc>
          <w:tcPr>
            <w:tcW w:w="10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451</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81" w:type="dxa"/>
            <w:tcBorders/>
            <w:shd w:fill="CCEEFF" w:val="clear"/>
            <w:vAlign w:val="center"/>
          </w:tcPr>
          <w:p>
            <w:pPr>
              <w:pStyle w:val="TableContents"/>
              <w:bidi w:val="0"/>
              <w:spacing w:before="0" w:after="283"/>
              <w:ind w:left="0" w:right="0" w:hanging="0"/>
              <w:jc w:val="left"/>
            </w:pPr>
            <w:r>
              <w:t> </w:t>
            </w:r>
          </w:p>
        </w:tc>
        <w:tc>
          <w:tcPr>
            <w:tcW w:w="10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8,079</w:t>
            </w:r>
          </w:p>
        </w:tc>
        <w:tc>
          <w:tcPr>
            <w:tcW w:w="115" w:type="dxa"/>
            <w:tcBorders/>
            <w:shd w:fill="CCEEFF" w:val="clear"/>
            <w:vAlign w:val="center"/>
          </w:tcPr>
          <w:p>
            <w:pPr>
              <w:pStyle w:val="TableContents"/>
              <w:bidi w:val="0"/>
              <w:spacing w:before="0" w:after="283"/>
              <w:jc w:val="left"/>
            </w:pPr>
            <w:r>
              <w:t> </w:t>
            </w:r>
          </w:p>
        </w:tc>
        <w:tc>
          <w:tcPr>
            <w:tcW w:w="86" w:type="dxa"/>
            <w:tcBorders/>
            <w:shd w:fill="CCEEFF" w:val="clear"/>
            <w:vAlign w:val="center"/>
          </w:tcPr>
          <w:p>
            <w:pPr>
              <w:pStyle w:val="TableContents"/>
              <w:bidi w:val="0"/>
              <w:spacing w:before="0" w:after="283"/>
              <w:jc w:val="left"/>
            </w:pPr>
            <w:r>
              <w:t> </w:t>
            </w:r>
          </w:p>
        </w:tc>
        <w:tc>
          <w:tcPr>
            <w:tcW w:w="181" w:type="dxa"/>
            <w:tcBorders/>
            <w:shd w:fill="CCEEFF" w:val="clear"/>
            <w:vAlign w:val="center"/>
          </w:tcPr>
          <w:p>
            <w:pPr>
              <w:pStyle w:val="TableContents"/>
              <w:bidi w:val="0"/>
              <w:spacing w:before="0" w:after="283"/>
              <w:ind w:left="0" w:right="0" w:hanging="0"/>
              <w:jc w:val="left"/>
            </w:pPr>
            <w:r>
              <w:t> </w:t>
            </w:r>
          </w:p>
        </w:tc>
        <w:tc>
          <w:tcPr>
            <w:tcW w:w="10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961</w:t>
            </w:r>
          </w:p>
        </w:tc>
        <w:tc>
          <w:tcPr>
            <w:tcW w:w="87" w:type="dxa"/>
            <w:tcBorders/>
            <w:shd w:fill="CCEEFF" w:val="clear"/>
            <w:vAlign w:val="center"/>
          </w:tcPr>
          <w:p>
            <w:pPr>
              <w:pStyle w:val="TableContents"/>
              <w:bidi w:val="0"/>
              <w:spacing w:before="0" w:after="283"/>
              <w:jc w:val="left"/>
            </w:pPr>
            <w:r>
              <w:t> </w:t>
            </w:r>
          </w:p>
        </w:tc>
      </w:tr>
      <w:tr>
        <w:tc>
          <w:tcPr>
            <w:tcW w:w="468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FFFFFF" w:val="clear"/>
            <w:vAlign w:val="center"/>
          </w:tcPr>
          <w:p>
            <w:pPr>
              <w:pStyle w:val="TableContents"/>
              <w:bidi w:val="0"/>
              <w:spacing w:before="0" w:after="283"/>
              <w:jc w:val="left"/>
            </w:pPr>
            <w:r>
              <w:t> </w:t>
            </w:r>
          </w:p>
        </w:tc>
        <w:tc>
          <w:tcPr>
            <w:tcW w:w="186" w:type="dxa"/>
            <w:tcBorders/>
            <w:shd w:fill="FFFFFF" w:val="clear"/>
            <w:vAlign w:val="center"/>
          </w:tcPr>
          <w:p>
            <w:pPr>
              <w:pStyle w:val="TableContents"/>
              <w:bidi w:val="0"/>
              <w:spacing w:before="0" w:after="283"/>
              <w:ind w:left="0" w:right="0" w:hanging="0"/>
              <w:jc w:val="left"/>
            </w:pPr>
            <w:r>
              <w:t> </w:t>
            </w:r>
          </w:p>
        </w:tc>
        <w:tc>
          <w:tcPr>
            <w:tcW w:w="10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(1,221</w:t>
            </w:r>
          </w:p>
        </w:tc>
        <w:tc>
          <w:tcPr>
            <w:tcW w:w="11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8" w:type="dxa"/>
            <w:tcBorders/>
            <w:shd w:fill="FFFFFF" w:val="clear"/>
            <w:vAlign w:val="center"/>
          </w:tcPr>
          <w:p>
            <w:pPr>
              <w:pStyle w:val="TableContents"/>
              <w:bidi w:val="0"/>
              <w:spacing w:before="0" w:after="283"/>
              <w:jc w:val="left"/>
            </w:pPr>
            <w:r>
              <w:t> </w:t>
            </w:r>
          </w:p>
        </w:tc>
        <w:tc>
          <w:tcPr>
            <w:tcW w:w="186" w:type="dxa"/>
            <w:tcBorders/>
            <w:shd w:fill="FFFFFF" w:val="clear"/>
            <w:vAlign w:val="center"/>
          </w:tcPr>
          <w:p>
            <w:pPr>
              <w:pStyle w:val="TableContents"/>
              <w:bidi w:val="0"/>
              <w:spacing w:before="0" w:after="283"/>
              <w:ind w:left="0" w:right="0" w:hanging="0"/>
              <w:jc w:val="left"/>
            </w:pPr>
            <w:r>
              <w:t> </w:t>
            </w:r>
          </w:p>
        </w:tc>
        <w:tc>
          <w:tcPr>
            <w:tcW w:w="10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81" w:type="dxa"/>
            <w:tcBorders/>
            <w:shd w:fill="FFFFFF" w:val="clear"/>
            <w:vAlign w:val="center"/>
          </w:tcPr>
          <w:p>
            <w:pPr>
              <w:pStyle w:val="TableContents"/>
              <w:bidi w:val="0"/>
              <w:spacing w:before="0" w:after="283"/>
              <w:ind w:left="0" w:right="0" w:hanging="0"/>
              <w:jc w:val="left"/>
            </w:pPr>
            <w:r>
              <w:t> </w:t>
            </w:r>
          </w:p>
        </w:tc>
        <w:tc>
          <w:tcPr>
            <w:tcW w:w="10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(3,011</w:t>
            </w:r>
          </w:p>
        </w:tc>
        <w:tc>
          <w:tcPr>
            <w:tcW w:w="1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6" w:type="dxa"/>
            <w:tcBorders/>
            <w:shd w:fill="FFFFFF" w:val="clear"/>
            <w:vAlign w:val="center"/>
          </w:tcPr>
          <w:p>
            <w:pPr>
              <w:pStyle w:val="TableContents"/>
              <w:bidi w:val="0"/>
              <w:spacing w:before="0" w:after="283"/>
              <w:jc w:val="left"/>
            </w:pPr>
            <w:r>
              <w:t> </w:t>
            </w:r>
          </w:p>
        </w:tc>
        <w:tc>
          <w:tcPr>
            <w:tcW w:w="181" w:type="dxa"/>
            <w:tcBorders/>
            <w:shd w:fill="FFFFFF" w:val="clear"/>
            <w:vAlign w:val="center"/>
          </w:tcPr>
          <w:p>
            <w:pPr>
              <w:pStyle w:val="TableContents"/>
              <w:bidi w:val="0"/>
              <w:spacing w:before="0" w:after="283"/>
              <w:ind w:left="0" w:right="0" w:hanging="0"/>
              <w:jc w:val="left"/>
            </w:pPr>
            <w:r>
              <w:t> </w:t>
            </w:r>
          </w:p>
        </w:tc>
        <w:tc>
          <w:tcPr>
            <w:tcW w:w="10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(2,653</w:t>
            </w:r>
          </w:p>
        </w:tc>
        <w:tc>
          <w:tcPr>
            <w:tcW w:w="8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468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w:t>
            </w:r>
          </w:p>
        </w:tc>
        <w:tc>
          <w:tcPr>
            <w:tcW w:w="60" w:type="dxa"/>
            <w:tcBorders/>
            <w:shd w:fill="CCEEFF" w:val="clear"/>
            <w:vAlign w:val="center"/>
          </w:tcPr>
          <w:p>
            <w:pPr>
              <w:pStyle w:val="TableContents"/>
              <w:bidi w:val="0"/>
              <w:spacing w:before="0" w:after="283"/>
              <w:jc w:val="left"/>
            </w:pPr>
            <w:r>
              <w:t> </w:t>
            </w:r>
          </w:p>
        </w:tc>
        <w:tc>
          <w:tcPr>
            <w:tcW w:w="18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03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8,228</w:t>
            </w:r>
          </w:p>
        </w:tc>
        <w:tc>
          <w:tcPr>
            <w:tcW w:w="119" w:type="dxa"/>
            <w:tcBorders/>
            <w:shd w:fill="CCEEFF" w:val="clear"/>
            <w:vAlign w:val="center"/>
          </w:tcPr>
          <w:p>
            <w:pPr>
              <w:pStyle w:val="TableContents"/>
              <w:bidi w:val="0"/>
              <w:spacing w:before="0" w:after="283"/>
              <w:jc w:val="left"/>
            </w:pPr>
            <w:r>
              <w:t> </w:t>
            </w:r>
          </w:p>
        </w:tc>
        <w:tc>
          <w:tcPr>
            <w:tcW w:w="88" w:type="dxa"/>
            <w:tcBorders/>
            <w:shd w:fill="CCEEFF" w:val="clear"/>
            <w:vAlign w:val="center"/>
          </w:tcPr>
          <w:p>
            <w:pPr>
              <w:pStyle w:val="TableContents"/>
              <w:bidi w:val="0"/>
              <w:spacing w:before="0" w:after="283"/>
              <w:jc w:val="left"/>
            </w:pPr>
            <w:r>
              <w:t> </w:t>
            </w:r>
          </w:p>
        </w:tc>
        <w:tc>
          <w:tcPr>
            <w:tcW w:w="18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03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702</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0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8,027</w:t>
            </w:r>
          </w:p>
        </w:tc>
        <w:tc>
          <w:tcPr>
            <w:tcW w:w="115" w:type="dxa"/>
            <w:tcBorders/>
            <w:shd w:fill="CCEEFF" w:val="clear"/>
            <w:vAlign w:val="center"/>
          </w:tcPr>
          <w:p>
            <w:pPr>
              <w:pStyle w:val="TableContents"/>
              <w:bidi w:val="0"/>
              <w:spacing w:before="0" w:after="283"/>
              <w:jc w:val="left"/>
            </w:pPr>
            <w:r>
              <w:t> </w:t>
            </w:r>
          </w:p>
        </w:tc>
        <w:tc>
          <w:tcPr>
            <w:tcW w:w="86" w:type="dxa"/>
            <w:tcBorders/>
            <w:shd w:fill="CCEEFF" w:val="clear"/>
            <w:vAlign w:val="center"/>
          </w:tcPr>
          <w:p>
            <w:pPr>
              <w:pStyle w:val="TableContents"/>
              <w:bidi w:val="0"/>
              <w:spacing w:before="0" w:after="283"/>
              <w:jc w:val="left"/>
            </w:pPr>
            <w:r>
              <w:t> </w:t>
            </w:r>
          </w:p>
        </w:tc>
        <w:tc>
          <w:tcPr>
            <w:tcW w:w="1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0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8,587</w:t>
            </w:r>
          </w:p>
        </w:tc>
        <w:tc>
          <w:tcPr>
            <w:tcW w:w="87" w:type="dxa"/>
            <w:tcBorders/>
            <w:shd w:fill="CCEEFF" w:val="clear"/>
            <w:vAlign w:val="center"/>
          </w:tcPr>
          <w:p>
            <w:pPr>
              <w:pStyle w:val="TableContents"/>
              <w:bidi w:val="0"/>
              <w:spacing w:before="0" w:after="283"/>
              <w:jc w:val="left"/>
            </w:pPr>
            <w:r>
              <w:t> </w:t>
            </w:r>
          </w:p>
        </w:tc>
      </w:tr>
      <w:tr>
        <w:tc>
          <w:tcPr>
            <w:tcW w:w="468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income (expense), net</w:t>
            </w:r>
          </w:p>
        </w:tc>
        <w:tc>
          <w:tcPr>
            <w:tcW w:w="60" w:type="dxa"/>
            <w:tcBorders/>
            <w:shd w:fill="FFFFFF" w:val="clear"/>
            <w:vAlign w:val="center"/>
          </w:tcPr>
          <w:p>
            <w:pPr>
              <w:pStyle w:val="TableContents"/>
              <w:bidi w:val="0"/>
              <w:spacing w:before="0" w:after="283"/>
              <w:jc w:val="left"/>
            </w:pPr>
            <w:r>
              <w:t> </w:t>
            </w:r>
          </w:p>
        </w:tc>
        <w:tc>
          <w:tcPr>
            <w:tcW w:w="18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0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10,101</w:t>
            </w:r>
          </w:p>
        </w:tc>
        <w:tc>
          <w:tcPr>
            <w:tcW w:w="119" w:type="dxa"/>
            <w:tcBorders/>
            <w:shd w:fill="FFFFFF" w:val="clear"/>
            <w:vAlign w:val="center"/>
          </w:tcPr>
          <w:p>
            <w:pPr>
              <w:pStyle w:val="TableContents"/>
              <w:bidi w:val="0"/>
              <w:spacing w:before="0" w:after="283"/>
              <w:jc w:val="left"/>
            </w:pPr>
            <w:r>
              <w:t> </w:t>
            </w:r>
          </w:p>
        </w:tc>
        <w:tc>
          <w:tcPr>
            <w:tcW w:w="88" w:type="dxa"/>
            <w:tcBorders/>
            <w:shd w:fill="FFFFFF" w:val="clear"/>
            <w:vAlign w:val="center"/>
          </w:tcPr>
          <w:p>
            <w:pPr>
              <w:pStyle w:val="TableContents"/>
              <w:bidi w:val="0"/>
              <w:spacing w:before="0" w:after="283"/>
              <w:jc w:val="left"/>
            </w:pPr>
            <w:r>
              <w:t> </w:t>
            </w:r>
          </w:p>
        </w:tc>
        <w:tc>
          <w:tcPr>
            <w:tcW w:w="18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0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0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13,095</w:t>
            </w:r>
          </w:p>
        </w:tc>
        <w:tc>
          <w:tcPr>
            <w:tcW w:w="115" w:type="dxa"/>
            <w:tcBorders/>
            <w:shd w:fill="FFFFFF" w:val="clear"/>
            <w:vAlign w:val="center"/>
          </w:tcPr>
          <w:p>
            <w:pPr>
              <w:pStyle w:val="TableContents"/>
              <w:bidi w:val="0"/>
              <w:spacing w:before="0" w:after="283"/>
              <w:jc w:val="left"/>
            </w:pPr>
            <w:r>
              <w:t> </w:t>
            </w:r>
          </w:p>
        </w:tc>
        <w:tc>
          <w:tcPr>
            <w:tcW w:w="86" w:type="dxa"/>
            <w:tcBorders/>
            <w:shd w:fill="FFFFFF" w:val="clear"/>
            <w:vAlign w:val="center"/>
          </w:tcPr>
          <w:p>
            <w:pPr>
              <w:pStyle w:val="TableContents"/>
              <w:bidi w:val="0"/>
              <w:spacing w:before="0" w:after="283"/>
              <w:jc w:val="left"/>
            </w:pPr>
            <w:r>
              <w:t> </w:t>
            </w:r>
          </w:p>
        </w:tc>
        <w:tc>
          <w:tcPr>
            <w:tcW w:w="1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0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6,895</w:t>
            </w:r>
          </w:p>
        </w:tc>
        <w:tc>
          <w:tcPr>
            <w:tcW w:w="87" w:type="dxa"/>
            <w:tcBorders/>
            <w:shd w:fill="FFFFFF" w:val="clear"/>
            <w:vAlign w:val="center"/>
          </w:tcPr>
          <w:p>
            <w:pPr>
              <w:pStyle w:val="TableContents"/>
              <w:bidi w:val="0"/>
              <w:spacing w:before="0" w:after="283"/>
              <w:jc w:val="left"/>
            </w:pPr>
            <w:r>
              <w:t> </w:t>
            </w:r>
          </w:p>
        </w:tc>
      </w:tr>
      <w:tr>
        <w:tc>
          <w:tcPr>
            <w:tcW w:w="468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 before income taxes</w:t>
            </w:r>
          </w:p>
        </w:tc>
        <w:tc>
          <w:tcPr>
            <w:tcW w:w="60" w:type="dxa"/>
            <w:tcBorders/>
            <w:shd w:fill="CCEEFF" w:val="clear"/>
            <w:vAlign w:val="center"/>
          </w:tcPr>
          <w:p>
            <w:pPr>
              <w:pStyle w:val="TableContents"/>
              <w:bidi w:val="0"/>
              <w:spacing w:before="0" w:after="283"/>
              <w:jc w:val="left"/>
            </w:pPr>
            <w:r>
              <w:t> </w:t>
            </w:r>
          </w:p>
        </w:tc>
        <w:tc>
          <w:tcPr>
            <w:tcW w:w="186" w:type="dxa"/>
            <w:tcBorders/>
            <w:shd w:fill="CCEEFF" w:val="clear"/>
            <w:vAlign w:val="center"/>
          </w:tcPr>
          <w:p>
            <w:pPr>
              <w:pStyle w:val="TableContents"/>
              <w:bidi w:val="0"/>
              <w:spacing w:before="0" w:after="283"/>
              <w:ind w:left="0" w:right="0" w:hanging="0"/>
              <w:jc w:val="left"/>
            </w:pPr>
            <w:r>
              <w:t> </w:t>
            </w:r>
          </w:p>
        </w:tc>
        <w:tc>
          <w:tcPr>
            <w:tcW w:w="10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8,659</w:t>
            </w:r>
          </w:p>
        </w:tc>
        <w:tc>
          <w:tcPr>
            <w:tcW w:w="119" w:type="dxa"/>
            <w:tcBorders/>
            <w:shd w:fill="CCEEFF" w:val="clear"/>
            <w:vAlign w:val="center"/>
          </w:tcPr>
          <w:p>
            <w:pPr>
              <w:pStyle w:val="TableContents"/>
              <w:bidi w:val="0"/>
              <w:spacing w:before="0" w:after="283"/>
              <w:jc w:val="left"/>
            </w:pPr>
            <w:r>
              <w:t> </w:t>
            </w:r>
          </w:p>
        </w:tc>
        <w:tc>
          <w:tcPr>
            <w:tcW w:w="88" w:type="dxa"/>
            <w:tcBorders/>
            <w:shd w:fill="CCEEFF" w:val="clear"/>
            <w:vAlign w:val="center"/>
          </w:tcPr>
          <w:p>
            <w:pPr>
              <w:pStyle w:val="TableContents"/>
              <w:bidi w:val="0"/>
              <w:spacing w:before="0" w:after="283"/>
              <w:jc w:val="left"/>
            </w:pPr>
            <w:r>
              <w:t> </w:t>
            </w:r>
          </w:p>
        </w:tc>
        <w:tc>
          <w:tcPr>
            <w:tcW w:w="186" w:type="dxa"/>
            <w:tcBorders/>
            <w:shd w:fill="CCEEFF" w:val="clear"/>
            <w:vAlign w:val="center"/>
          </w:tcPr>
          <w:p>
            <w:pPr>
              <w:pStyle w:val="TableContents"/>
              <w:bidi w:val="0"/>
              <w:spacing w:before="0" w:after="283"/>
              <w:ind w:left="0" w:right="0" w:hanging="0"/>
              <w:jc w:val="left"/>
            </w:pPr>
            <w:r>
              <w:t> </w:t>
            </w:r>
          </w:p>
        </w:tc>
        <w:tc>
          <w:tcPr>
            <w:tcW w:w="10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(17,936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181" w:type="dxa"/>
            <w:tcBorders/>
            <w:shd w:fill="CCEEFF" w:val="clear"/>
            <w:vAlign w:val="center"/>
          </w:tcPr>
          <w:p>
            <w:pPr>
              <w:pStyle w:val="TableContents"/>
              <w:bidi w:val="0"/>
              <w:spacing w:before="0" w:after="283"/>
              <w:ind w:left="0" w:right="0" w:hanging="0"/>
              <w:jc w:val="left"/>
            </w:pPr>
            <w:r>
              <w:t> </w:t>
            </w:r>
          </w:p>
        </w:tc>
        <w:tc>
          <w:tcPr>
            <w:tcW w:w="10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(26,065</w:t>
            </w:r>
          </w:p>
        </w:tc>
        <w:tc>
          <w:tcPr>
            <w:tcW w:w="1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6" w:type="dxa"/>
            <w:tcBorders/>
            <w:shd w:fill="CCEEFF" w:val="clear"/>
            <w:vAlign w:val="center"/>
          </w:tcPr>
          <w:p>
            <w:pPr>
              <w:pStyle w:val="TableContents"/>
              <w:bidi w:val="0"/>
              <w:spacing w:before="0" w:after="283"/>
              <w:jc w:val="left"/>
            </w:pPr>
            <w:r>
              <w:t> </w:t>
            </w:r>
          </w:p>
        </w:tc>
        <w:tc>
          <w:tcPr>
            <w:tcW w:w="181" w:type="dxa"/>
            <w:tcBorders/>
            <w:shd w:fill="CCEEFF" w:val="clear"/>
            <w:vAlign w:val="center"/>
          </w:tcPr>
          <w:p>
            <w:pPr>
              <w:pStyle w:val="TableContents"/>
              <w:bidi w:val="0"/>
              <w:spacing w:before="0" w:after="283"/>
              <w:ind w:left="0" w:right="0" w:hanging="0"/>
              <w:jc w:val="left"/>
            </w:pPr>
            <w:r>
              <w:t> </w:t>
            </w:r>
          </w:p>
        </w:tc>
        <w:tc>
          <w:tcPr>
            <w:tcW w:w="10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(36,206</w:t>
            </w:r>
          </w:p>
        </w:tc>
        <w:tc>
          <w:tcPr>
            <w:tcW w:w="8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468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expense</w:t>
            </w:r>
          </w:p>
        </w:tc>
        <w:tc>
          <w:tcPr>
            <w:tcW w:w="60" w:type="dxa"/>
            <w:tcBorders/>
            <w:shd w:fill="FFFFFF" w:val="clear"/>
            <w:vAlign w:val="center"/>
          </w:tcPr>
          <w:p>
            <w:pPr>
              <w:pStyle w:val="TableContents"/>
              <w:bidi w:val="0"/>
              <w:spacing w:before="0" w:after="283"/>
              <w:jc w:val="left"/>
            </w:pPr>
            <w:r>
              <w:t> </w:t>
            </w:r>
          </w:p>
        </w:tc>
        <w:tc>
          <w:tcPr>
            <w:tcW w:w="18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0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(2,359</w:t>
            </w:r>
          </w:p>
        </w:tc>
        <w:tc>
          <w:tcPr>
            <w:tcW w:w="11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8" w:type="dxa"/>
            <w:tcBorders/>
            <w:shd w:fill="FFFFFF" w:val="clear"/>
            <w:vAlign w:val="center"/>
          </w:tcPr>
          <w:p>
            <w:pPr>
              <w:pStyle w:val="TableContents"/>
              <w:bidi w:val="0"/>
              <w:spacing w:before="0" w:after="283"/>
              <w:jc w:val="left"/>
            </w:pPr>
            <w:r>
              <w:t> </w:t>
            </w:r>
          </w:p>
        </w:tc>
        <w:tc>
          <w:tcPr>
            <w:tcW w:w="18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0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0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(4,697</w:t>
            </w:r>
          </w:p>
        </w:tc>
        <w:tc>
          <w:tcPr>
            <w:tcW w:w="1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6" w:type="dxa"/>
            <w:tcBorders/>
            <w:shd w:fill="FFFFFF" w:val="clear"/>
            <w:vAlign w:val="center"/>
          </w:tcPr>
          <w:p>
            <w:pPr>
              <w:pStyle w:val="TableContents"/>
              <w:bidi w:val="0"/>
              <w:spacing w:before="0" w:after="283"/>
              <w:jc w:val="left"/>
            </w:pPr>
            <w:r>
              <w:t> </w:t>
            </w:r>
          </w:p>
        </w:tc>
        <w:tc>
          <w:tcPr>
            <w:tcW w:w="1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0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pPr>
            <w:r>
              <w:t>—</w:t>
            </w:r>
          </w:p>
        </w:tc>
        <w:tc>
          <w:tcPr>
            <w:tcW w:w="87" w:type="dxa"/>
            <w:tcBorders/>
            <w:shd w:fill="FFFFFF" w:val="clear"/>
            <w:vAlign w:val="center"/>
          </w:tcPr>
          <w:p>
            <w:pPr>
              <w:pStyle w:val="TableContents"/>
              <w:bidi w:val="0"/>
              <w:spacing w:before="0" w:after="283"/>
              <w:jc w:val="left"/>
            </w:pPr>
            <w:r>
              <w:t> </w:t>
            </w:r>
          </w:p>
        </w:tc>
      </w:tr>
      <w:tr>
        <w:tc>
          <w:tcPr>
            <w:tcW w:w="468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w:t>
            </w:r>
          </w:p>
        </w:tc>
        <w:tc>
          <w:tcPr>
            <w:tcW w:w="60" w:type="dxa"/>
            <w:tcBorders/>
            <w:shd w:fill="CCEEFF" w:val="clear"/>
            <w:vAlign w:val="center"/>
          </w:tcPr>
          <w:p>
            <w:pPr>
              <w:pStyle w:val="TableContents"/>
              <w:bidi w:val="0"/>
              <w:spacing w:before="0" w:after="283"/>
              <w:ind w:left="0" w:right="0" w:hanging="0"/>
              <w:jc w:val="left"/>
            </w:pPr>
            <w:r>
              <w:t> </w:t>
            </w:r>
          </w:p>
        </w:tc>
        <w:tc>
          <w:tcPr>
            <w:tcW w:w="18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6,300</w:t>
            </w:r>
          </w:p>
        </w:tc>
        <w:tc>
          <w:tcPr>
            <w:tcW w:w="119" w:type="dxa"/>
            <w:tcBorders/>
            <w:shd w:fill="CCEEFF" w:val="clear"/>
            <w:vAlign w:val="center"/>
          </w:tcPr>
          <w:p>
            <w:pPr>
              <w:pStyle w:val="TableContents"/>
              <w:bidi w:val="0"/>
              <w:spacing w:before="0" w:after="283"/>
              <w:jc w:val="left"/>
            </w:pPr>
            <w:r>
              <w:t> </w:t>
            </w:r>
          </w:p>
        </w:tc>
        <w:tc>
          <w:tcPr>
            <w:tcW w:w="88" w:type="dxa"/>
            <w:tcBorders/>
            <w:shd w:fill="CCEEFF" w:val="clear"/>
            <w:vAlign w:val="center"/>
          </w:tcPr>
          <w:p>
            <w:pPr>
              <w:pStyle w:val="TableContents"/>
              <w:bidi w:val="0"/>
              <w:spacing w:before="0" w:after="283"/>
              <w:ind w:left="0" w:right="0" w:hanging="0"/>
              <w:jc w:val="left"/>
            </w:pPr>
            <w:r>
              <w:t> </w:t>
            </w:r>
          </w:p>
        </w:tc>
        <w:tc>
          <w:tcPr>
            <w:tcW w:w="18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(17,936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pPr>
            <w:r>
              <w:t> </w:t>
            </w:r>
          </w:p>
        </w:tc>
        <w:tc>
          <w:tcPr>
            <w:tcW w:w="18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(30,762</w:t>
            </w:r>
          </w:p>
        </w:tc>
        <w:tc>
          <w:tcPr>
            <w:tcW w:w="1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6" w:type="dxa"/>
            <w:tcBorders/>
            <w:shd w:fill="CCEEFF" w:val="clear"/>
            <w:vAlign w:val="center"/>
          </w:tcPr>
          <w:p>
            <w:pPr>
              <w:pStyle w:val="TableContents"/>
              <w:bidi w:val="0"/>
              <w:spacing w:before="0" w:after="283"/>
              <w:ind w:left="0" w:right="0" w:hanging="0"/>
              <w:jc w:val="left"/>
            </w:pPr>
            <w:r>
              <w:t> </w:t>
            </w:r>
          </w:p>
        </w:tc>
        <w:tc>
          <w:tcPr>
            <w:tcW w:w="18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(36,206</w:t>
            </w:r>
          </w:p>
        </w:tc>
        <w:tc>
          <w:tcPr>
            <w:tcW w:w="8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468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 per share</w:t>
            </w:r>
          </w:p>
        </w:tc>
        <w:tc>
          <w:tcPr>
            <w:tcW w:w="60" w:type="dxa"/>
            <w:tcBorders/>
            <w:shd w:fill="FFFFFF" w:val="clear"/>
            <w:vAlign w:val="center"/>
          </w:tcPr>
          <w:p>
            <w:pPr>
              <w:pStyle w:val="TableContents"/>
              <w:bidi w:val="0"/>
              <w:spacing w:before="0" w:after="283"/>
              <w:ind w:left="0" w:right="0" w:hanging="0"/>
              <w:jc w:val="left"/>
            </w:pPr>
            <w:r>
              <w:t> </w:t>
            </w:r>
          </w:p>
        </w:tc>
        <w:tc>
          <w:tcPr>
            <w:tcW w:w="1222" w:type="dxa"/>
            <w:gridSpan w:val="2"/>
            <w:tcBorders/>
            <w:shd w:fill="FFFFFF" w:val="clear"/>
            <w:vAlign w:val="center"/>
          </w:tcPr>
          <w:p>
            <w:pPr>
              <w:pStyle w:val="TableContents"/>
              <w:bidi w:val="0"/>
              <w:spacing w:before="0" w:after="283"/>
              <w:jc w:val="left"/>
            </w:pPr>
            <w:r>
              <w:t> </w:t>
            </w:r>
          </w:p>
        </w:tc>
        <w:tc>
          <w:tcPr>
            <w:tcW w:w="119" w:type="dxa"/>
            <w:tcBorders/>
            <w:shd w:fill="FFFFFF" w:val="clear"/>
            <w:vAlign w:val="center"/>
          </w:tcPr>
          <w:p>
            <w:pPr>
              <w:pStyle w:val="TableContents"/>
              <w:bidi w:val="0"/>
              <w:spacing w:before="0" w:after="283"/>
              <w:jc w:val="left"/>
            </w:pPr>
            <w:r>
              <w:t> </w:t>
            </w:r>
          </w:p>
        </w:tc>
        <w:tc>
          <w:tcPr>
            <w:tcW w:w="88" w:type="dxa"/>
            <w:tcBorders/>
            <w:shd w:fill="FFFFFF" w:val="clear"/>
            <w:vAlign w:val="center"/>
          </w:tcPr>
          <w:p>
            <w:pPr>
              <w:pStyle w:val="TableContents"/>
              <w:bidi w:val="0"/>
              <w:spacing w:before="0" w:after="283"/>
              <w:ind w:left="0" w:right="0" w:hanging="0"/>
              <w:jc w:val="left"/>
            </w:pPr>
            <w:r>
              <w:t> </w:t>
            </w:r>
          </w:p>
        </w:tc>
        <w:tc>
          <w:tcPr>
            <w:tcW w:w="1222" w:type="dxa"/>
            <w:gridSpan w:val="2"/>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81" w:type="dxa"/>
            <w:tcBorders/>
            <w:shd w:fill="FFFFFF" w:val="clear"/>
            <w:vAlign w:val="center"/>
          </w:tcPr>
          <w:p>
            <w:pPr>
              <w:pStyle w:val="TableContents"/>
              <w:bidi w:val="0"/>
              <w:spacing w:before="0" w:after="283"/>
              <w:jc w:val="left"/>
            </w:pPr>
            <w:r>
              <w:t> </w:t>
            </w:r>
          </w:p>
        </w:tc>
        <w:tc>
          <w:tcPr>
            <w:tcW w:w="1009" w:type="dxa"/>
            <w:tcBorders/>
            <w:shd w:fill="FFFFFF" w:val="clear"/>
            <w:vAlign w:val="center"/>
          </w:tcPr>
          <w:p>
            <w:pPr>
              <w:pStyle w:val="TableContents"/>
              <w:bidi w:val="0"/>
              <w:spacing w:before="0" w:after="283"/>
              <w:jc w:val="left"/>
            </w:pPr>
            <w:r>
              <w:t> </w:t>
            </w:r>
          </w:p>
        </w:tc>
        <w:tc>
          <w:tcPr>
            <w:tcW w:w="115" w:type="dxa"/>
            <w:tcBorders/>
            <w:shd w:fill="FFFFFF" w:val="clear"/>
            <w:vAlign w:val="center"/>
          </w:tcPr>
          <w:p>
            <w:pPr>
              <w:pStyle w:val="TableContents"/>
              <w:bidi w:val="0"/>
              <w:spacing w:before="0" w:after="283"/>
              <w:jc w:val="left"/>
            </w:pPr>
            <w:r>
              <w:t> </w:t>
            </w:r>
          </w:p>
        </w:tc>
        <w:tc>
          <w:tcPr>
            <w:tcW w:w="86" w:type="dxa"/>
            <w:tcBorders/>
            <w:shd w:fill="FFFFFF" w:val="clear"/>
            <w:vAlign w:val="center"/>
          </w:tcPr>
          <w:p>
            <w:pPr>
              <w:pStyle w:val="TableContents"/>
              <w:bidi w:val="0"/>
              <w:spacing w:before="0" w:after="283"/>
              <w:jc w:val="left"/>
            </w:pPr>
            <w:r>
              <w:t> </w:t>
            </w:r>
          </w:p>
        </w:tc>
        <w:tc>
          <w:tcPr>
            <w:tcW w:w="181" w:type="dxa"/>
            <w:tcBorders/>
            <w:shd w:fill="FFFFFF" w:val="clear"/>
            <w:vAlign w:val="center"/>
          </w:tcPr>
          <w:p>
            <w:pPr>
              <w:pStyle w:val="TableContents"/>
              <w:bidi w:val="0"/>
              <w:spacing w:before="0" w:after="283"/>
              <w:jc w:val="left"/>
            </w:pPr>
            <w:r>
              <w:t> </w:t>
            </w:r>
          </w:p>
        </w:tc>
        <w:tc>
          <w:tcPr>
            <w:tcW w:w="1009" w:type="dxa"/>
            <w:tcBorders/>
            <w:shd w:fill="FFFFFF" w:val="clear"/>
            <w:vAlign w:val="center"/>
          </w:tcPr>
          <w:p>
            <w:pPr>
              <w:pStyle w:val="TableContents"/>
              <w:bidi w:val="0"/>
              <w:spacing w:before="0" w:after="283"/>
              <w:jc w:val="left"/>
            </w:pPr>
            <w:r>
              <w:t> </w:t>
            </w:r>
          </w:p>
        </w:tc>
        <w:tc>
          <w:tcPr>
            <w:tcW w:w="87" w:type="dxa"/>
            <w:tcBorders/>
            <w:shd w:fill="FFFFFF" w:val="clear"/>
            <w:vAlign w:val="center"/>
          </w:tcPr>
          <w:p>
            <w:pPr>
              <w:pStyle w:val="TableContents"/>
              <w:bidi w:val="0"/>
              <w:spacing w:before="0" w:after="283"/>
              <w:jc w:val="left"/>
            </w:pPr>
            <w:r>
              <w:t> </w:t>
            </w:r>
          </w:p>
        </w:tc>
      </w:tr>
      <w:tr>
        <w:tc>
          <w:tcPr>
            <w:tcW w:w="468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p>
        </w:tc>
        <w:tc>
          <w:tcPr>
            <w:tcW w:w="60" w:type="dxa"/>
            <w:tcBorders/>
            <w:shd w:fill="CCEEFF" w:val="clear"/>
            <w:vAlign w:val="center"/>
          </w:tcPr>
          <w:p>
            <w:pPr>
              <w:pStyle w:val="TableContents"/>
              <w:bidi w:val="0"/>
              <w:spacing w:before="0" w:after="283"/>
              <w:ind w:left="0" w:right="0" w:hanging="0"/>
              <w:jc w:val="left"/>
            </w:pPr>
            <w:r>
              <w:t> </w:t>
            </w:r>
          </w:p>
        </w:tc>
        <w:tc>
          <w:tcPr>
            <w:tcW w:w="18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0.07</w:t>
            </w:r>
          </w:p>
        </w:tc>
        <w:tc>
          <w:tcPr>
            <w:tcW w:w="119" w:type="dxa"/>
            <w:tcBorders/>
            <w:shd w:fill="CCEEFF" w:val="clear"/>
            <w:vAlign w:val="center"/>
          </w:tcPr>
          <w:p>
            <w:pPr>
              <w:pStyle w:val="TableContents"/>
              <w:bidi w:val="0"/>
              <w:spacing w:before="0" w:after="283"/>
              <w:jc w:val="left"/>
            </w:pPr>
            <w:r>
              <w:t> </w:t>
            </w:r>
          </w:p>
        </w:tc>
        <w:tc>
          <w:tcPr>
            <w:tcW w:w="88" w:type="dxa"/>
            <w:tcBorders/>
            <w:shd w:fill="CCEEFF" w:val="clear"/>
            <w:vAlign w:val="center"/>
          </w:tcPr>
          <w:p>
            <w:pPr>
              <w:pStyle w:val="TableContents"/>
              <w:bidi w:val="0"/>
              <w:spacing w:before="0" w:after="283"/>
              <w:ind w:left="0" w:right="0" w:hanging="0"/>
              <w:jc w:val="left"/>
            </w:pPr>
            <w:r>
              <w:t> </w:t>
            </w:r>
          </w:p>
        </w:tc>
        <w:tc>
          <w:tcPr>
            <w:tcW w:w="18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pPr>
            <w:r>
              <w:t> </w:t>
            </w:r>
          </w:p>
        </w:tc>
        <w:tc>
          <w:tcPr>
            <w:tcW w:w="18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(0.38</w:t>
            </w:r>
          </w:p>
        </w:tc>
        <w:tc>
          <w:tcPr>
            <w:tcW w:w="1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6" w:type="dxa"/>
            <w:tcBorders/>
            <w:shd w:fill="CCEEFF" w:val="clear"/>
            <w:vAlign w:val="center"/>
          </w:tcPr>
          <w:p>
            <w:pPr>
              <w:pStyle w:val="TableContents"/>
              <w:bidi w:val="0"/>
              <w:spacing w:before="0" w:after="283"/>
              <w:ind w:left="0" w:right="0" w:hanging="0"/>
              <w:jc w:val="left"/>
            </w:pPr>
            <w:r>
              <w:t> </w:t>
            </w:r>
          </w:p>
        </w:tc>
        <w:tc>
          <w:tcPr>
            <w:tcW w:w="18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(0.64</w:t>
            </w:r>
          </w:p>
        </w:tc>
        <w:tc>
          <w:tcPr>
            <w:tcW w:w="8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468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p>
        </w:tc>
        <w:tc>
          <w:tcPr>
            <w:tcW w:w="60" w:type="dxa"/>
            <w:tcBorders/>
            <w:shd w:fill="FFFFFF" w:val="clear"/>
            <w:vAlign w:val="center"/>
          </w:tcPr>
          <w:p>
            <w:pPr>
              <w:pStyle w:val="TableContents"/>
              <w:bidi w:val="0"/>
              <w:spacing w:before="0" w:after="283"/>
              <w:ind w:left="0" w:right="0" w:hanging="0"/>
              <w:jc w:val="left"/>
            </w:pPr>
            <w:r>
              <w:t> </w:t>
            </w:r>
          </w:p>
        </w:tc>
        <w:tc>
          <w:tcPr>
            <w:tcW w:w="18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0.07</w:t>
            </w:r>
          </w:p>
        </w:tc>
        <w:tc>
          <w:tcPr>
            <w:tcW w:w="119" w:type="dxa"/>
            <w:tcBorders/>
            <w:shd w:fill="FFFFFF" w:val="clear"/>
            <w:vAlign w:val="center"/>
          </w:tcPr>
          <w:p>
            <w:pPr>
              <w:pStyle w:val="TableContents"/>
              <w:bidi w:val="0"/>
              <w:spacing w:before="0" w:after="283"/>
              <w:jc w:val="left"/>
            </w:pPr>
            <w:r>
              <w:t> </w:t>
            </w:r>
          </w:p>
        </w:tc>
        <w:tc>
          <w:tcPr>
            <w:tcW w:w="88" w:type="dxa"/>
            <w:tcBorders/>
            <w:shd w:fill="FFFFFF" w:val="clear"/>
            <w:vAlign w:val="center"/>
          </w:tcPr>
          <w:p>
            <w:pPr>
              <w:pStyle w:val="TableContents"/>
              <w:bidi w:val="0"/>
              <w:spacing w:before="0" w:after="283"/>
              <w:ind w:left="0" w:right="0" w:hanging="0"/>
              <w:jc w:val="left"/>
            </w:pPr>
            <w:r>
              <w:t> </w:t>
            </w:r>
          </w:p>
        </w:tc>
        <w:tc>
          <w:tcPr>
            <w:tcW w:w="18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pPr>
            <w:r>
              <w:t> </w:t>
            </w:r>
          </w:p>
        </w:tc>
        <w:tc>
          <w:tcPr>
            <w:tcW w:w="18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(0.38</w:t>
            </w:r>
          </w:p>
        </w:tc>
        <w:tc>
          <w:tcPr>
            <w:tcW w:w="1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6" w:type="dxa"/>
            <w:tcBorders/>
            <w:shd w:fill="FFFFFF" w:val="clear"/>
            <w:vAlign w:val="center"/>
          </w:tcPr>
          <w:p>
            <w:pPr>
              <w:pStyle w:val="TableContents"/>
              <w:bidi w:val="0"/>
              <w:spacing w:before="0" w:after="283"/>
              <w:ind w:left="0" w:right="0" w:hanging="0"/>
              <w:jc w:val="left"/>
            </w:pPr>
            <w:r>
              <w:t> </w:t>
            </w:r>
          </w:p>
        </w:tc>
        <w:tc>
          <w:tcPr>
            <w:tcW w:w="18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(0.64</w:t>
            </w:r>
          </w:p>
        </w:tc>
        <w:tc>
          <w:tcPr>
            <w:tcW w:w="8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4686"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22" w:type="dxa"/>
            <w:gridSpan w:val="2"/>
            <w:tcBorders/>
            <w:shd w:fill="CCEEFF" w:val="clear"/>
            <w:vAlign w:val="center"/>
          </w:tcPr>
          <w:p>
            <w:pPr>
              <w:pStyle w:val="TableContents"/>
              <w:bidi w:val="0"/>
              <w:spacing w:before="0" w:after="283"/>
              <w:jc w:val="center"/>
            </w:pPr>
            <w:r>
              <w:t> </w:t>
            </w:r>
          </w:p>
        </w:tc>
        <w:tc>
          <w:tcPr>
            <w:tcW w:w="119" w:type="dxa"/>
            <w:tcBorders/>
            <w:shd w:fill="CCEEFF" w:val="clear"/>
            <w:vAlign w:val="center"/>
          </w:tcPr>
          <w:p>
            <w:pPr>
              <w:pStyle w:val="TableContents"/>
              <w:bidi w:val="0"/>
              <w:spacing w:before="0" w:after="283"/>
              <w:jc w:val="left"/>
            </w:pPr>
            <w:r>
              <w:t> </w:t>
            </w:r>
          </w:p>
        </w:tc>
        <w:tc>
          <w:tcPr>
            <w:tcW w:w="88" w:type="dxa"/>
            <w:tcBorders/>
            <w:shd w:fill="CCEEFF" w:val="clear"/>
            <w:vAlign w:val="center"/>
          </w:tcPr>
          <w:p>
            <w:pPr>
              <w:pStyle w:val="TableContents"/>
              <w:bidi w:val="0"/>
              <w:spacing w:before="0" w:after="283"/>
              <w:jc w:val="left"/>
            </w:pPr>
            <w:r>
              <w:t> </w:t>
            </w:r>
          </w:p>
        </w:tc>
        <w:tc>
          <w:tcPr>
            <w:tcW w:w="1222" w:type="dxa"/>
            <w:gridSpan w:val="2"/>
            <w:tcBorders/>
            <w:shd w:fill="CCEEFF" w:val="clear"/>
            <w:vAlign w:val="center"/>
          </w:tcPr>
          <w:p>
            <w:pPr>
              <w:pStyle w:val="TableContents"/>
              <w:bidi w:val="0"/>
              <w:spacing w:before="0" w:after="283"/>
              <w:jc w:val="center"/>
            </w:pPr>
            <w: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90" w:type="dxa"/>
            <w:gridSpan w:val="2"/>
            <w:tcBorders/>
            <w:shd w:fill="CCEEFF" w:val="clear"/>
            <w:vAlign w:val="center"/>
          </w:tcPr>
          <w:p>
            <w:pPr>
              <w:pStyle w:val="TableContents"/>
              <w:bidi w:val="0"/>
              <w:spacing w:before="0" w:after="283"/>
              <w:jc w:val="center"/>
            </w:pPr>
            <w:r>
              <w:t> </w:t>
            </w:r>
          </w:p>
        </w:tc>
        <w:tc>
          <w:tcPr>
            <w:tcW w:w="115" w:type="dxa"/>
            <w:tcBorders/>
            <w:shd w:fill="CCEEFF" w:val="clear"/>
            <w:vAlign w:val="center"/>
          </w:tcPr>
          <w:p>
            <w:pPr>
              <w:pStyle w:val="TableContents"/>
              <w:bidi w:val="0"/>
              <w:spacing w:before="0" w:after="283"/>
              <w:jc w:val="left"/>
            </w:pPr>
            <w:r>
              <w:t> </w:t>
            </w:r>
          </w:p>
        </w:tc>
        <w:tc>
          <w:tcPr>
            <w:tcW w:w="86" w:type="dxa"/>
            <w:tcBorders/>
            <w:shd w:fill="CCEEFF" w:val="clear"/>
            <w:vAlign w:val="center"/>
          </w:tcPr>
          <w:p>
            <w:pPr>
              <w:pStyle w:val="TableContents"/>
              <w:bidi w:val="0"/>
              <w:spacing w:before="0" w:after="283"/>
              <w:jc w:val="left"/>
            </w:pPr>
            <w:r>
              <w:t> </w:t>
            </w:r>
          </w:p>
        </w:tc>
        <w:tc>
          <w:tcPr>
            <w:tcW w:w="1190" w:type="dxa"/>
            <w:gridSpan w:val="2"/>
            <w:tcBorders/>
            <w:shd w:fill="CCEEFF" w:val="clear"/>
            <w:vAlign w:val="center"/>
          </w:tcPr>
          <w:p>
            <w:pPr>
              <w:pStyle w:val="TableContents"/>
              <w:bidi w:val="0"/>
              <w:spacing w:before="0" w:after="283"/>
              <w:jc w:val="center"/>
            </w:pPr>
            <w:r>
              <w:t> </w:t>
            </w:r>
          </w:p>
        </w:tc>
        <w:tc>
          <w:tcPr>
            <w:tcW w:w="87" w:type="dxa"/>
            <w:tcBorders/>
            <w:shd w:fill="CCEEFF" w:val="clear"/>
            <w:vAlign w:val="center"/>
          </w:tcPr>
          <w:p>
            <w:pPr>
              <w:pStyle w:val="TableContents"/>
              <w:bidi w:val="0"/>
              <w:spacing w:before="0" w:after="283"/>
              <w:jc w:val="left"/>
            </w:pPr>
            <w:r>
              <w:t> </w:t>
            </w:r>
          </w:p>
        </w:tc>
      </w:tr>
      <w:tr>
        <w:tc>
          <w:tcPr>
            <w:tcW w:w="468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shares used to compute net income (loss) per share:</w:t>
            </w:r>
          </w:p>
        </w:tc>
        <w:tc>
          <w:tcPr>
            <w:tcW w:w="60" w:type="dxa"/>
            <w:tcBorders/>
            <w:shd w:fill="FFFFFF" w:val="clear"/>
            <w:vAlign w:val="center"/>
          </w:tcPr>
          <w:p>
            <w:pPr>
              <w:pStyle w:val="TableContents"/>
              <w:bidi w:val="0"/>
              <w:spacing w:before="0" w:after="283"/>
              <w:ind w:left="0" w:right="0" w:hanging="0"/>
              <w:jc w:val="left"/>
            </w:pPr>
            <w:r>
              <w:t> </w:t>
            </w:r>
          </w:p>
        </w:tc>
        <w:tc>
          <w:tcPr>
            <w:tcW w:w="1222" w:type="dxa"/>
            <w:gridSpan w:val="2"/>
            <w:tcBorders/>
            <w:shd w:fill="FFFFFF" w:val="clear"/>
            <w:vAlign w:val="center"/>
          </w:tcPr>
          <w:p>
            <w:pPr>
              <w:pStyle w:val="TableContents"/>
              <w:bidi w:val="0"/>
              <w:spacing w:before="0" w:after="283"/>
              <w:jc w:val="left"/>
            </w:pPr>
            <w:r>
              <w:t> </w:t>
            </w:r>
          </w:p>
        </w:tc>
        <w:tc>
          <w:tcPr>
            <w:tcW w:w="119" w:type="dxa"/>
            <w:tcBorders/>
            <w:shd w:fill="FFFFFF" w:val="clear"/>
            <w:vAlign w:val="center"/>
          </w:tcPr>
          <w:p>
            <w:pPr>
              <w:pStyle w:val="TableContents"/>
              <w:bidi w:val="0"/>
              <w:spacing w:before="0" w:after="283"/>
              <w:jc w:val="left"/>
            </w:pPr>
            <w:r>
              <w:t> </w:t>
            </w:r>
          </w:p>
        </w:tc>
        <w:tc>
          <w:tcPr>
            <w:tcW w:w="88" w:type="dxa"/>
            <w:tcBorders/>
            <w:shd w:fill="FFFFFF" w:val="clear"/>
            <w:vAlign w:val="center"/>
          </w:tcPr>
          <w:p>
            <w:pPr>
              <w:pStyle w:val="TableContents"/>
              <w:bidi w:val="0"/>
              <w:spacing w:before="0" w:after="283"/>
              <w:ind w:left="0" w:right="0" w:hanging="0"/>
              <w:jc w:val="left"/>
            </w:pPr>
            <w:r>
              <w:t> </w:t>
            </w:r>
          </w:p>
        </w:tc>
        <w:tc>
          <w:tcPr>
            <w:tcW w:w="1222" w:type="dxa"/>
            <w:gridSpan w:val="2"/>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81" w:type="dxa"/>
            <w:tcBorders/>
            <w:shd w:fill="FFFFFF" w:val="clear"/>
            <w:vAlign w:val="center"/>
          </w:tcPr>
          <w:p>
            <w:pPr>
              <w:pStyle w:val="TableContents"/>
              <w:bidi w:val="0"/>
              <w:spacing w:before="0" w:after="283"/>
              <w:jc w:val="left"/>
            </w:pPr>
            <w:r>
              <w:t> </w:t>
            </w:r>
          </w:p>
        </w:tc>
        <w:tc>
          <w:tcPr>
            <w:tcW w:w="1009" w:type="dxa"/>
            <w:tcBorders/>
            <w:shd w:fill="FFFFFF" w:val="clear"/>
            <w:vAlign w:val="center"/>
          </w:tcPr>
          <w:p>
            <w:pPr>
              <w:pStyle w:val="TableContents"/>
              <w:bidi w:val="0"/>
              <w:spacing w:before="0" w:after="283"/>
              <w:jc w:val="left"/>
            </w:pPr>
            <w:r>
              <w:t> </w:t>
            </w:r>
          </w:p>
        </w:tc>
        <w:tc>
          <w:tcPr>
            <w:tcW w:w="115" w:type="dxa"/>
            <w:tcBorders/>
            <w:shd w:fill="FFFFFF" w:val="clear"/>
            <w:vAlign w:val="center"/>
          </w:tcPr>
          <w:p>
            <w:pPr>
              <w:pStyle w:val="TableContents"/>
              <w:bidi w:val="0"/>
              <w:spacing w:before="0" w:after="283"/>
              <w:jc w:val="left"/>
            </w:pPr>
            <w:r>
              <w:t> </w:t>
            </w:r>
          </w:p>
        </w:tc>
        <w:tc>
          <w:tcPr>
            <w:tcW w:w="86" w:type="dxa"/>
            <w:tcBorders/>
            <w:shd w:fill="FFFFFF" w:val="clear"/>
            <w:vAlign w:val="center"/>
          </w:tcPr>
          <w:p>
            <w:pPr>
              <w:pStyle w:val="TableContents"/>
              <w:bidi w:val="0"/>
              <w:spacing w:before="0" w:after="283"/>
              <w:jc w:val="left"/>
            </w:pPr>
            <w:r>
              <w:t> </w:t>
            </w:r>
          </w:p>
        </w:tc>
        <w:tc>
          <w:tcPr>
            <w:tcW w:w="181" w:type="dxa"/>
            <w:tcBorders/>
            <w:shd w:fill="FFFFFF" w:val="clear"/>
            <w:vAlign w:val="center"/>
          </w:tcPr>
          <w:p>
            <w:pPr>
              <w:pStyle w:val="TableContents"/>
              <w:bidi w:val="0"/>
              <w:spacing w:before="0" w:after="283"/>
              <w:jc w:val="left"/>
            </w:pPr>
            <w:r>
              <w:t> </w:t>
            </w:r>
          </w:p>
        </w:tc>
        <w:tc>
          <w:tcPr>
            <w:tcW w:w="1009" w:type="dxa"/>
            <w:tcBorders/>
            <w:shd w:fill="FFFFFF" w:val="clear"/>
            <w:vAlign w:val="center"/>
          </w:tcPr>
          <w:p>
            <w:pPr>
              <w:pStyle w:val="TableContents"/>
              <w:bidi w:val="0"/>
              <w:spacing w:before="0" w:after="283"/>
              <w:jc w:val="left"/>
            </w:pPr>
            <w:r>
              <w:t> </w:t>
            </w:r>
          </w:p>
        </w:tc>
        <w:tc>
          <w:tcPr>
            <w:tcW w:w="87" w:type="dxa"/>
            <w:tcBorders/>
            <w:shd w:fill="FFFFFF" w:val="clear"/>
            <w:vAlign w:val="center"/>
          </w:tcPr>
          <w:p>
            <w:pPr>
              <w:pStyle w:val="TableContents"/>
              <w:bidi w:val="0"/>
              <w:spacing w:before="0" w:after="283"/>
              <w:jc w:val="left"/>
            </w:pPr>
            <w:r>
              <w:t> </w:t>
            </w:r>
          </w:p>
        </w:tc>
      </w:tr>
      <w:tr>
        <w:tc>
          <w:tcPr>
            <w:tcW w:w="468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p>
        </w:tc>
        <w:tc>
          <w:tcPr>
            <w:tcW w:w="60" w:type="dxa"/>
            <w:tcBorders/>
            <w:shd w:fill="CCEEFF" w:val="clear"/>
            <w:vAlign w:val="center"/>
          </w:tcPr>
          <w:p>
            <w:pPr>
              <w:pStyle w:val="TableContents"/>
              <w:bidi w:val="0"/>
              <w:spacing w:before="0" w:after="283"/>
              <w:jc w:val="left"/>
            </w:pPr>
            <w:r>
              <w:t> </w:t>
            </w:r>
          </w:p>
        </w:tc>
        <w:tc>
          <w:tcPr>
            <w:tcW w:w="186" w:type="dxa"/>
            <w:tcBorders/>
            <w:shd w:fill="CCEEFF" w:val="clear"/>
            <w:vAlign w:val="center"/>
          </w:tcPr>
          <w:p>
            <w:pPr>
              <w:pStyle w:val="TableContents"/>
              <w:bidi w:val="0"/>
              <w:spacing w:before="0" w:after="283"/>
              <w:ind w:left="0" w:right="0" w:hanging="0"/>
              <w:jc w:val="left"/>
            </w:pPr>
            <w:r>
              <w:t> </w:t>
            </w:r>
          </w:p>
        </w:tc>
        <w:tc>
          <w:tcPr>
            <w:tcW w:w="10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85,397</w:t>
            </w:r>
          </w:p>
        </w:tc>
        <w:tc>
          <w:tcPr>
            <w:tcW w:w="119" w:type="dxa"/>
            <w:tcBorders/>
            <w:shd w:fill="CCEEFF" w:val="clear"/>
            <w:vAlign w:val="center"/>
          </w:tcPr>
          <w:p>
            <w:pPr>
              <w:pStyle w:val="TableContents"/>
              <w:bidi w:val="0"/>
              <w:spacing w:before="0" w:after="283"/>
              <w:jc w:val="left"/>
            </w:pPr>
            <w:r>
              <w:t> </w:t>
            </w:r>
          </w:p>
        </w:tc>
        <w:tc>
          <w:tcPr>
            <w:tcW w:w="88" w:type="dxa"/>
            <w:tcBorders/>
            <w:shd w:fill="CCEEFF" w:val="clear"/>
            <w:vAlign w:val="center"/>
          </w:tcPr>
          <w:p>
            <w:pPr>
              <w:pStyle w:val="TableContents"/>
              <w:bidi w:val="0"/>
              <w:spacing w:before="0" w:after="283"/>
              <w:jc w:val="left"/>
            </w:pPr>
            <w:r>
              <w:t> </w:t>
            </w:r>
          </w:p>
        </w:tc>
        <w:tc>
          <w:tcPr>
            <w:tcW w:w="186" w:type="dxa"/>
            <w:tcBorders/>
            <w:shd w:fill="CCEEFF" w:val="clear"/>
            <w:vAlign w:val="center"/>
          </w:tcPr>
          <w:p>
            <w:pPr>
              <w:pStyle w:val="TableContents"/>
              <w:bidi w:val="0"/>
              <w:spacing w:before="0" w:after="283"/>
              <w:ind w:left="0" w:right="0" w:hanging="0"/>
              <w:jc w:val="left"/>
            </w:pPr>
            <w:r>
              <w:t> </w:t>
            </w:r>
          </w:p>
        </w:tc>
        <w:tc>
          <w:tcPr>
            <w:tcW w:w="10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63,329</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81" w:type="dxa"/>
            <w:tcBorders/>
            <w:shd w:fill="CCEEFF" w:val="clear"/>
            <w:vAlign w:val="center"/>
          </w:tcPr>
          <w:p>
            <w:pPr>
              <w:pStyle w:val="TableContents"/>
              <w:bidi w:val="0"/>
              <w:spacing w:before="0" w:after="283"/>
              <w:ind w:left="0" w:right="0" w:hanging="0"/>
              <w:jc w:val="left"/>
            </w:pPr>
            <w:r>
              <w:t> </w:t>
            </w:r>
          </w:p>
        </w:tc>
        <w:tc>
          <w:tcPr>
            <w:tcW w:w="10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81,016</w:t>
            </w:r>
          </w:p>
        </w:tc>
        <w:tc>
          <w:tcPr>
            <w:tcW w:w="115" w:type="dxa"/>
            <w:tcBorders/>
            <w:shd w:fill="CCEEFF" w:val="clear"/>
            <w:vAlign w:val="center"/>
          </w:tcPr>
          <w:p>
            <w:pPr>
              <w:pStyle w:val="TableContents"/>
              <w:bidi w:val="0"/>
              <w:spacing w:before="0" w:after="283"/>
              <w:jc w:val="left"/>
            </w:pPr>
            <w:r>
              <w:t> </w:t>
            </w:r>
          </w:p>
        </w:tc>
        <w:tc>
          <w:tcPr>
            <w:tcW w:w="86" w:type="dxa"/>
            <w:tcBorders/>
            <w:shd w:fill="CCEEFF" w:val="clear"/>
            <w:vAlign w:val="center"/>
          </w:tcPr>
          <w:p>
            <w:pPr>
              <w:pStyle w:val="TableContents"/>
              <w:bidi w:val="0"/>
              <w:spacing w:before="0" w:after="283"/>
              <w:jc w:val="left"/>
            </w:pPr>
            <w:r>
              <w:t> </w:t>
            </w:r>
          </w:p>
        </w:tc>
        <w:tc>
          <w:tcPr>
            <w:tcW w:w="181" w:type="dxa"/>
            <w:tcBorders/>
            <w:shd w:fill="CCEEFF" w:val="clear"/>
            <w:vAlign w:val="center"/>
          </w:tcPr>
          <w:p>
            <w:pPr>
              <w:pStyle w:val="TableContents"/>
              <w:bidi w:val="0"/>
              <w:spacing w:before="0" w:after="283"/>
              <w:ind w:left="0" w:right="0" w:hanging="0"/>
              <w:jc w:val="left"/>
            </w:pPr>
            <w:r>
              <w:t> </w:t>
            </w:r>
          </w:p>
        </w:tc>
        <w:tc>
          <w:tcPr>
            <w:tcW w:w="10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56,762</w:t>
            </w:r>
          </w:p>
        </w:tc>
        <w:tc>
          <w:tcPr>
            <w:tcW w:w="87" w:type="dxa"/>
            <w:tcBorders/>
            <w:shd w:fill="CCEEFF" w:val="clear"/>
            <w:vAlign w:val="center"/>
          </w:tcPr>
          <w:p>
            <w:pPr>
              <w:pStyle w:val="TableContents"/>
              <w:bidi w:val="0"/>
              <w:spacing w:before="0" w:after="283"/>
              <w:jc w:val="left"/>
            </w:pPr>
            <w:r>
              <w:t> </w:t>
            </w:r>
          </w:p>
        </w:tc>
      </w:tr>
      <w:tr>
        <w:tc>
          <w:tcPr>
            <w:tcW w:w="468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p>
        </w:tc>
        <w:tc>
          <w:tcPr>
            <w:tcW w:w="60" w:type="dxa"/>
            <w:tcBorders/>
            <w:shd w:fill="FFFFFF" w:val="clear"/>
            <w:vAlign w:val="center"/>
          </w:tcPr>
          <w:p>
            <w:pPr>
              <w:pStyle w:val="TableContents"/>
              <w:bidi w:val="0"/>
              <w:spacing w:before="0" w:after="283"/>
              <w:jc w:val="left"/>
            </w:pPr>
            <w:r>
              <w:t> </w:t>
            </w:r>
          </w:p>
        </w:tc>
        <w:tc>
          <w:tcPr>
            <w:tcW w:w="186" w:type="dxa"/>
            <w:tcBorders/>
            <w:shd w:fill="FFFFFF" w:val="clear"/>
            <w:vAlign w:val="center"/>
          </w:tcPr>
          <w:p>
            <w:pPr>
              <w:pStyle w:val="TableContents"/>
              <w:bidi w:val="0"/>
              <w:spacing w:before="0" w:after="283"/>
              <w:ind w:left="0" w:right="0" w:hanging="0"/>
              <w:jc w:val="left"/>
            </w:pPr>
            <w:r>
              <w:t> </w:t>
            </w:r>
          </w:p>
        </w:tc>
        <w:tc>
          <w:tcPr>
            <w:tcW w:w="10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87,835</w:t>
            </w:r>
          </w:p>
        </w:tc>
        <w:tc>
          <w:tcPr>
            <w:tcW w:w="119" w:type="dxa"/>
            <w:tcBorders/>
            <w:shd w:fill="FFFFFF" w:val="clear"/>
            <w:vAlign w:val="center"/>
          </w:tcPr>
          <w:p>
            <w:pPr>
              <w:pStyle w:val="TableContents"/>
              <w:bidi w:val="0"/>
              <w:spacing w:before="0" w:after="283"/>
              <w:jc w:val="left"/>
            </w:pPr>
            <w:r>
              <w:t> </w:t>
            </w:r>
          </w:p>
        </w:tc>
        <w:tc>
          <w:tcPr>
            <w:tcW w:w="88" w:type="dxa"/>
            <w:tcBorders/>
            <w:shd w:fill="FFFFFF" w:val="clear"/>
            <w:vAlign w:val="center"/>
          </w:tcPr>
          <w:p>
            <w:pPr>
              <w:pStyle w:val="TableContents"/>
              <w:bidi w:val="0"/>
              <w:spacing w:before="0" w:after="283"/>
              <w:jc w:val="left"/>
            </w:pPr>
            <w:r>
              <w:t> </w:t>
            </w:r>
          </w:p>
        </w:tc>
        <w:tc>
          <w:tcPr>
            <w:tcW w:w="186" w:type="dxa"/>
            <w:tcBorders/>
            <w:shd w:fill="FFFFFF" w:val="clear"/>
            <w:vAlign w:val="center"/>
          </w:tcPr>
          <w:p>
            <w:pPr>
              <w:pStyle w:val="TableContents"/>
              <w:bidi w:val="0"/>
              <w:spacing w:before="0" w:after="283"/>
              <w:ind w:left="0" w:right="0" w:hanging="0"/>
              <w:jc w:val="left"/>
            </w:pPr>
            <w:r>
              <w:t> </w:t>
            </w:r>
          </w:p>
        </w:tc>
        <w:tc>
          <w:tcPr>
            <w:tcW w:w="10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63,329</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81" w:type="dxa"/>
            <w:tcBorders/>
            <w:shd w:fill="FFFFFF" w:val="clear"/>
            <w:vAlign w:val="center"/>
          </w:tcPr>
          <w:p>
            <w:pPr>
              <w:pStyle w:val="TableContents"/>
              <w:bidi w:val="0"/>
              <w:spacing w:before="0" w:after="283"/>
              <w:ind w:left="0" w:right="0" w:hanging="0"/>
              <w:jc w:val="left"/>
            </w:pPr>
            <w:r>
              <w:t> </w:t>
            </w:r>
          </w:p>
        </w:tc>
        <w:tc>
          <w:tcPr>
            <w:tcW w:w="10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81,016</w:t>
            </w:r>
          </w:p>
        </w:tc>
        <w:tc>
          <w:tcPr>
            <w:tcW w:w="115" w:type="dxa"/>
            <w:tcBorders/>
            <w:shd w:fill="FFFFFF" w:val="clear"/>
            <w:vAlign w:val="center"/>
          </w:tcPr>
          <w:p>
            <w:pPr>
              <w:pStyle w:val="TableContents"/>
              <w:bidi w:val="0"/>
              <w:spacing w:before="0" w:after="283"/>
              <w:jc w:val="left"/>
            </w:pPr>
            <w:r>
              <w:t> </w:t>
            </w:r>
          </w:p>
        </w:tc>
        <w:tc>
          <w:tcPr>
            <w:tcW w:w="86" w:type="dxa"/>
            <w:tcBorders/>
            <w:shd w:fill="FFFFFF" w:val="clear"/>
            <w:vAlign w:val="center"/>
          </w:tcPr>
          <w:p>
            <w:pPr>
              <w:pStyle w:val="TableContents"/>
              <w:bidi w:val="0"/>
              <w:spacing w:before="0" w:after="283"/>
              <w:jc w:val="left"/>
            </w:pPr>
            <w:r>
              <w:t> </w:t>
            </w:r>
          </w:p>
        </w:tc>
        <w:tc>
          <w:tcPr>
            <w:tcW w:w="181" w:type="dxa"/>
            <w:tcBorders/>
            <w:shd w:fill="FFFFFF" w:val="clear"/>
            <w:vAlign w:val="center"/>
          </w:tcPr>
          <w:p>
            <w:pPr>
              <w:pStyle w:val="TableContents"/>
              <w:bidi w:val="0"/>
              <w:spacing w:before="0" w:after="283"/>
              <w:ind w:left="0" w:right="0" w:hanging="0"/>
              <w:jc w:val="left"/>
            </w:pPr>
            <w:r>
              <w:t> </w:t>
            </w:r>
          </w:p>
        </w:tc>
        <w:tc>
          <w:tcPr>
            <w:tcW w:w="10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56,762</w:t>
            </w:r>
          </w:p>
        </w:tc>
        <w:tc>
          <w:tcPr>
            <w:tcW w:w="87" w:type="dxa"/>
            <w:tcBorders/>
            <w:shd w:fill="FFFFFF" w:val="clear"/>
            <w:vAlign w:val="center"/>
          </w:tcPr>
          <w:p>
            <w:pPr>
              <w:pStyle w:val="TableContents"/>
              <w:bidi w:val="0"/>
              <w:spacing w:before="0" w:after="283"/>
              <w:jc w:val="left"/>
            </w:pPr>
            <w:r>
              <w:t> </w:t>
            </w:r>
          </w:p>
        </w:tc>
      </w:tr>
    </w:tbl>
    <w:p>
      <w:pPr>
        <w:pStyle w:val="TextBody"/>
        <w:bidi w:val="0"/>
        <w:spacing w:before="0" w:after="0"/>
        <w:ind w:left="0" w:right="0" w:hanging="0"/>
        <w:jc w:val="center"/>
      </w:pPr>
      <w:r>
        <w:t>​</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The accompanying notes are an integral part of these condensed consolidated financial statements.</w:t>
      </w:r>
    </w:p>
    <w:p>
      <w:pPr>
        <w:pStyle w:val="TextBody"/>
        <w:bidi w:val="0"/>
        <w:spacing w:before="0" w:after="0"/>
        <w:ind w:left="0" w:right="0" w:hanging="0"/>
        <w:jc w:val="left"/>
      </w:pPr>
      <w:r>
        <w:t>​</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 </w:t>
      </w:r>
    </w:p>
    <w:p>
      <w:pPr>
        <w:pStyle w:val="HorizontalLine"/>
        <w:pBdr>
          <w:bottom w:val="double" w:sz="2" w:space="0" w:color="808080"/>
        </w:pBdr>
        <w:bidi w:val="0"/>
        <w:spacing w:before="0" w:after="283"/>
        <w:jc w:val="left"/>
      </w:pPr>
      <w:r/>
    </w:p>
    <w:p>
      <w:pPr>
        <w:pStyle w:val="TextBody"/>
        <w:bidi w:val="0"/>
        <w:jc w:val="left"/>
      </w:pPr>
      <w:hyperlink w:anchor="toc">
        <w:r>
          <w:rPr>
            <w:rStyle w:val="InternetLink"/>
            <w:rFonts w:ascii="Times New Roman;Times;serif" w:hAnsi="Times New Roman;Times;serif"/>
            <w:sz w:val="20"/>
          </w:rPr>
          <w:t>Table of Contents</w:t>
        </w:r>
      </w:hyperlink>
      <w:r>
        <w:t xml:space="preserve"> </w:t>
      </w:r>
    </w:p>
    <w:p>
      <w:pPr>
        <w:pStyle w:val="TextBody"/>
        <w:bidi w:val="0"/>
        <w:spacing w:before="0" w:after="0"/>
        <w:ind w:left="0" w:right="0" w:hanging="0"/>
        <w:jc w:val="left"/>
      </w:pPr>
      <w:r>
        <w:t> </w:t>
      </w:r>
    </w:p>
    <w:p>
      <w:pPr>
        <w:pStyle w:val="TextBody"/>
        <w:bidi w:val="0"/>
        <w:spacing w:before="0" w:after="283"/>
        <w:jc w:val="left"/>
      </w:pPr>
      <w:r>
        <w:t xml:space="preserve">  </w:t>
      </w:r>
    </w:p>
    <w:p>
      <w:pPr>
        <w:pStyle w:val="TextBody"/>
        <w:bidi w:val="0"/>
        <w:spacing w:before="0" w:after="0"/>
        <w:ind w:left="0" w:right="0" w:hanging="0"/>
        <w:jc w:val="center"/>
        <w:rPr>
          <w:rFonts w:ascii="Times New Roman;Times;serif" w:hAnsi="Times New Roman;Times;serif"/>
          <w:b/>
          <w:sz w:val="20"/>
        </w:rPr>
      </w:pPr>
      <w:bookmarkStart w:id="7" w:name="compincome"/>
      <w:bookmarkEnd w:id="7"/>
      <w:r>
        <w:rPr>
          <w:rFonts w:ascii="Times New Roman;Times;serif" w:hAnsi="Times New Roman;Times;serif"/>
          <w:b/>
          <w:sz w:val="20"/>
        </w:rPr>
        <w:t>Applied Optoelectronics,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COMPREHENSIVE INCOME (LOSS)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in thousands)</w:t>
      </w:r>
    </w:p>
    <w:p>
      <w:pPr>
        <w:pStyle w:val="TextBody"/>
        <w:bidi w:val="0"/>
        <w:spacing w:before="0" w:after="0"/>
        <w:ind w:left="0" w:right="0" w:hanging="0"/>
        <w:jc w:val="center"/>
      </w:pPr>
      <w:r>
        <w:t> </w:t>
      </w:r>
    </w:p>
    <w:tbl>
      <w:tblPr>
        <w:tblW w:w="10205" w:type="dxa"/>
        <w:jc w:val="left"/>
        <w:tblInd w:w="0" w:type="dxa"/>
        <w:tblLayout w:type="fixed"/>
        <w:tblCellMar>
          <w:top w:w="0" w:type="dxa"/>
          <w:left w:w="0" w:type="dxa"/>
          <w:bottom w:w="0" w:type="dxa"/>
          <w:right w:w="0" w:type="dxa"/>
        </w:tblCellMar>
      </w:tblPr>
      <w:tblGrid>
        <w:gridCol w:w="4295"/>
        <w:gridCol w:w="60"/>
        <w:gridCol w:w="236"/>
        <w:gridCol w:w="921"/>
        <w:gridCol w:w="113"/>
        <w:gridCol w:w="113"/>
        <w:gridCol w:w="236"/>
        <w:gridCol w:w="1234"/>
        <w:gridCol w:w="80"/>
        <w:gridCol w:w="60"/>
        <w:gridCol w:w="204"/>
        <w:gridCol w:w="1067"/>
        <w:gridCol w:w="131"/>
        <w:gridCol w:w="97"/>
        <w:gridCol w:w="204"/>
        <w:gridCol w:w="1067"/>
        <w:gridCol w:w="87"/>
      </w:tblGrid>
      <w:tr>
        <w:tc>
          <w:tcPr>
            <w:tcW w:w="429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85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Three months ended September 30,</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77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Nine months ended September 30,</w:t>
            </w:r>
          </w:p>
        </w:tc>
        <w:tc>
          <w:tcPr>
            <w:tcW w:w="87" w:type="dxa"/>
            <w:tcBorders/>
            <w:shd w:fill="FFFFFF" w:val="clear"/>
            <w:vAlign w:val="center"/>
          </w:tcPr>
          <w:p>
            <w:pPr>
              <w:pStyle w:val="TableContents"/>
              <w:bidi w:val="0"/>
              <w:spacing w:before="0" w:after="283"/>
              <w:jc w:val="left"/>
            </w:pPr>
            <w:r>
              <w:t> </w:t>
            </w:r>
          </w:p>
        </w:tc>
      </w:tr>
      <w:tr>
        <w:tc>
          <w:tcPr>
            <w:tcW w:w="429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5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2026</w:t>
            </w:r>
          </w:p>
        </w:tc>
        <w:tc>
          <w:tcPr>
            <w:tcW w:w="113" w:type="dxa"/>
            <w:tcBorders/>
            <w:shd w:fill="FFFFFF" w:val="clear"/>
            <w:vAlign w:val="center"/>
          </w:tcPr>
          <w:p>
            <w:pPr>
              <w:pStyle w:val="TableContents"/>
              <w:bidi w:val="0"/>
              <w:spacing w:before="0" w:after="283"/>
              <w:jc w:val="left"/>
            </w:pPr>
            <w:r>
              <w:t> </w:t>
            </w:r>
          </w:p>
        </w:tc>
        <w:tc>
          <w:tcPr>
            <w:tcW w:w="113" w:type="dxa"/>
            <w:tcBorders/>
            <w:shd w:fill="FFFFFF" w:val="clear"/>
            <w:vAlign w:val="center"/>
          </w:tcPr>
          <w:p>
            <w:pPr>
              <w:pStyle w:val="TableContents"/>
              <w:bidi w:val="0"/>
              <w:spacing w:before="0" w:after="283"/>
              <w:ind w:left="0" w:right="0" w:hanging="0"/>
              <w:jc w:val="left"/>
            </w:pPr>
            <w:r>
              <w:t> </w:t>
            </w:r>
          </w:p>
        </w:tc>
        <w:tc>
          <w:tcPr>
            <w:tcW w:w="14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7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2026</w:t>
            </w:r>
          </w:p>
        </w:tc>
        <w:tc>
          <w:tcPr>
            <w:tcW w:w="131" w:type="dxa"/>
            <w:tcBorders/>
            <w:shd w:fill="FFFFFF" w:val="clear"/>
            <w:vAlign w:val="center"/>
          </w:tcPr>
          <w:p>
            <w:pPr>
              <w:pStyle w:val="TableContents"/>
              <w:bidi w:val="0"/>
              <w:spacing w:before="0" w:after="283"/>
              <w:jc w:val="left"/>
            </w:pPr>
            <w:r>
              <w:t> </w:t>
            </w:r>
          </w:p>
        </w:tc>
        <w:tc>
          <w:tcPr>
            <w:tcW w:w="97" w:type="dxa"/>
            <w:tcBorders/>
            <w:shd w:fill="FFFFFF" w:val="clear"/>
            <w:vAlign w:val="center"/>
          </w:tcPr>
          <w:p>
            <w:pPr>
              <w:pStyle w:val="TableContents"/>
              <w:bidi w:val="0"/>
              <w:spacing w:before="0" w:after="283"/>
              <w:ind w:left="0" w:right="0" w:hanging="0"/>
              <w:jc w:val="left"/>
            </w:pPr>
            <w:r>
              <w:t> </w:t>
            </w:r>
          </w:p>
        </w:tc>
        <w:tc>
          <w:tcPr>
            <w:tcW w:w="127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2025</w:t>
            </w:r>
          </w:p>
        </w:tc>
        <w:tc>
          <w:tcPr>
            <w:tcW w:w="87" w:type="dxa"/>
            <w:tcBorders/>
            <w:shd w:fill="FFFFFF" w:val="clear"/>
            <w:vAlign w:val="center"/>
          </w:tcPr>
          <w:p>
            <w:pPr>
              <w:pStyle w:val="TableContents"/>
              <w:bidi w:val="0"/>
              <w:spacing w:before="0" w:after="283"/>
              <w:jc w:val="left"/>
            </w:pPr>
            <w:r>
              <w:t> </w:t>
            </w:r>
          </w:p>
        </w:tc>
      </w:tr>
      <w:tr>
        <w:tc>
          <w:tcPr>
            <w:tcW w:w="42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w:t>
            </w:r>
          </w:p>
        </w:tc>
        <w:tc>
          <w:tcPr>
            <w:tcW w:w="60" w:type="dxa"/>
            <w:tcBorders/>
            <w:shd w:fill="CCEEFF" w:val="clear"/>
            <w:vAlign w:val="center"/>
          </w:tcPr>
          <w:p>
            <w:pPr>
              <w:pStyle w:val="TableContents"/>
              <w:bidi w:val="0"/>
              <w:spacing w:before="0" w:after="283"/>
              <w:jc w:val="left"/>
            </w:pPr>
            <w:r>
              <w:t> </w:t>
            </w:r>
          </w:p>
        </w:tc>
        <w:tc>
          <w:tcPr>
            <w:tcW w:w="23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2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6,300</w:t>
            </w:r>
          </w:p>
        </w:tc>
        <w:tc>
          <w:tcPr>
            <w:tcW w:w="113" w:type="dxa"/>
            <w:tcBorders/>
            <w:shd w:fill="CCEEFF" w:val="clear"/>
            <w:vAlign w:val="center"/>
          </w:tcPr>
          <w:p>
            <w:pPr>
              <w:pStyle w:val="TableContents"/>
              <w:bidi w:val="0"/>
              <w:spacing w:before="0" w:after="283"/>
              <w:jc w:val="left"/>
            </w:pPr>
            <w:r>
              <w:t> </w:t>
            </w:r>
          </w:p>
        </w:tc>
        <w:tc>
          <w:tcPr>
            <w:tcW w:w="113" w:type="dxa"/>
            <w:tcBorders/>
            <w:shd w:fill="CCEEFF" w:val="clear"/>
            <w:vAlign w:val="center"/>
          </w:tcPr>
          <w:p>
            <w:pPr>
              <w:pStyle w:val="TableContents"/>
              <w:bidi w:val="0"/>
              <w:spacing w:before="0" w:after="283"/>
              <w:jc w:val="left"/>
            </w:pPr>
            <w:r>
              <w:t> </w:t>
            </w:r>
          </w:p>
        </w:tc>
        <w:tc>
          <w:tcPr>
            <w:tcW w:w="23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(17,936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20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6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(30,762</w:t>
            </w:r>
          </w:p>
        </w:tc>
        <w:tc>
          <w:tcPr>
            <w:tcW w:w="13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 w:type="dxa"/>
            <w:tcBorders/>
            <w:shd w:fill="CCEEFF" w:val="clear"/>
            <w:vAlign w:val="center"/>
          </w:tcPr>
          <w:p>
            <w:pPr>
              <w:pStyle w:val="TableContents"/>
              <w:bidi w:val="0"/>
              <w:spacing w:before="0" w:after="283"/>
              <w:jc w:val="left"/>
            </w:pPr>
            <w:r>
              <w:t> </w:t>
            </w:r>
          </w:p>
        </w:tc>
        <w:tc>
          <w:tcPr>
            <w:tcW w:w="20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6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(36,206</w:t>
            </w:r>
          </w:p>
        </w:tc>
        <w:tc>
          <w:tcPr>
            <w:tcW w:w="8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42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(loss) on foreign currency translation adjustment</w:t>
            </w:r>
          </w:p>
        </w:tc>
        <w:tc>
          <w:tcPr>
            <w:tcW w:w="60" w:type="dxa"/>
            <w:tcBorders/>
            <w:shd w:fill="FFFFFF" w:val="clear"/>
            <w:vAlign w:val="center"/>
          </w:tcPr>
          <w:p>
            <w:pPr>
              <w:pStyle w:val="TableContents"/>
              <w:bidi w:val="0"/>
              <w:spacing w:before="0" w:after="283"/>
              <w:ind w:left="0" w:right="0" w:hanging="0"/>
              <w:jc w:val="left"/>
            </w:pPr>
            <w:r>
              <w:t> </w:t>
            </w:r>
          </w:p>
        </w:tc>
        <w:tc>
          <w:tcPr>
            <w:tcW w:w="23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921"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2,152</w:t>
            </w:r>
          </w:p>
        </w:tc>
        <w:tc>
          <w:tcPr>
            <w:tcW w:w="113" w:type="dxa"/>
            <w:tcBorders/>
            <w:shd w:fill="FFFFFF" w:val="clear"/>
            <w:vAlign w:val="center"/>
          </w:tcPr>
          <w:p>
            <w:pPr>
              <w:pStyle w:val="TableContents"/>
              <w:bidi w:val="0"/>
              <w:spacing w:before="0" w:after="283"/>
              <w:jc w:val="left"/>
            </w:pPr>
            <w:r>
              <w:t> </w:t>
            </w:r>
          </w:p>
        </w:tc>
        <w:tc>
          <w:tcPr>
            <w:tcW w:w="113" w:type="dxa"/>
            <w:tcBorders/>
            <w:shd w:fill="FFFFFF" w:val="clear"/>
            <w:vAlign w:val="center"/>
          </w:tcPr>
          <w:p>
            <w:pPr>
              <w:pStyle w:val="TableContents"/>
              <w:bidi w:val="0"/>
              <w:spacing w:before="0" w:after="283"/>
              <w:ind w:left="0" w:right="0" w:hanging="0"/>
              <w:jc w:val="left"/>
            </w:pPr>
            <w:r>
              <w:t> </w:t>
            </w:r>
          </w:p>
        </w:tc>
        <w:tc>
          <w:tcPr>
            <w:tcW w:w="23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1234"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pPr>
            <w:r>
              <w:t> </w:t>
            </w:r>
          </w:p>
        </w:tc>
        <w:tc>
          <w:tcPr>
            <w:tcW w:w="20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1067"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5,168</w:t>
            </w:r>
          </w:p>
        </w:tc>
        <w:tc>
          <w:tcPr>
            <w:tcW w:w="131" w:type="dxa"/>
            <w:tcBorders/>
            <w:shd w:fill="FFFFFF" w:val="clear"/>
            <w:vAlign w:val="center"/>
          </w:tcPr>
          <w:p>
            <w:pPr>
              <w:pStyle w:val="TableContents"/>
              <w:bidi w:val="0"/>
              <w:spacing w:before="0" w:after="283"/>
              <w:jc w:val="left"/>
            </w:pPr>
            <w:r>
              <w:t> </w:t>
            </w:r>
          </w:p>
        </w:tc>
        <w:tc>
          <w:tcPr>
            <w:tcW w:w="97" w:type="dxa"/>
            <w:tcBorders/>
            <w:shd w:fill="FFFFFF" w:val="clear"/>
            <w:vAlign w:val="center"/>
          </w:tcPr>
          <w:p>
            <w:pPr>
              <w:pStyle w:val="TableContents"/>
              <w:bidi w:val="0"/>
              <w:spacing w:before="0" w:after="283"/>
              <w:ind w:left="0" w:right="0" w:hanging="0"/>
              <w:jc w:val="left"/>
            </w:pPr>
            <w:r>
              <w:t> </w:t>
            </w:r>
          </w:p>
        </w:tc>
        <w:tc>
          <w:tcPr>
            <w:tcW w:w="20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1067"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3,636</w:t>
            </w:r>
          </w:p>
        </w:tc>
        <w:tc>
          <w:tcPr>
            <w:tcW w:w="87" w:type="dxa"/>
            <w:tcBorders/>
            <w:shd w:fill="FFFFFF" w:val="clear"/>
            <w:vAlign w:val="center"/>
          </w:tcPr>
          <w:p>
            <w:pPr>
              <w:pStyle w:val="TableContents"/>
              <w:bidi w:val="0"/>
              <w:spacing w:before="0" w:after="283"/>
              <w:jc w:val="left"/>
            </w:pPr>
            <w:r>
              <w:t> </w:t>
            </w:r>
          </w:p>
        </w:tc>
      </w:tr>
      <w:tr>
        <w:tc>
          <w:tcPr>
            <w:tcW w:w="42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Comprehensive income (loss)</w:t>
            </w:r>
          </w:p>
        </w:tc>
        <w:tc>
          <w:tcPr>
            <w:tcW w:w="60" w:type="dxa"/>
            <w:tcBorders/>
            <w:shd w:fill="CCEEFF" w:val="clear"/>
            <w:vAlign w:val="center"/>
          </w:tcPr>
          <w:p>
            <w:pPr>
              <w:pStyle w:val="TableContents"/>
              <w:bidi w:val="0"/>
              <w:spacing w:before="0" w:after="283"/>
              <w:ind w:left="0" w:right="0" w:hanging="0"/>
              <w:jc w:val="left"/>
            </w:pPr>
            <w:r>
              <w:t> </w:t>
            </w:r>
          </w:p>
        </w:tc>
        <w:tc>
          <w:tcPr>
            <w:tcW w:w="23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8,452</w:t>
            </w:r>
          </w:p>
        </w:tc>
        <w:tc>
          <w:tcPr>
            <w:tcW w:w="113" w:type="dxa"/>
            <w:tcBorders/>
            <w:shd w:fill="CCEEFF" w:val="clear"/>
            <w:vAlign w:val="center"/>
          </w:tcPr>
          <w:p>
            <w:pPr>
              <w:pStyle w:val="TableContents"/>
              <w:bidi w:val="0"/>
              <w:spacing w:before="0" w:after="283"/>
              <w:jc w:val="left"/>
            </w:pPr>
            <w:r>
              <w:t> </w:t>
            </w:r>
          </w:p>
        </w:tc>
        <w:tc>
          <w:tcPr>
            <w:tcW w:w="113" w:type="dxa"/>
            <w:tcBorders/>
            <w:shd w:fill="CCEEFF" w:val="clear"/>
            <w:vAlign w:val="center"/>
          </w:tcPr>
          <w:p>
            <w:pPr>
              <w:pStyle w:val="TableContents"/>
              <w:bidi w:val="0"/>
              <w:spacing w:before="0" w:after="283"/>
              <w:ind w:left="0" w:right="0" w:hanging="0"/>
              <w:jc w:val="left"/>
            </w:pPr>
            <w:r>
              <w:t> </w:t>
            </w:r>
          </w:p>
        </w:tc>
        <w:tc>
          <w:tcPr>
            <w:tcW w:w="23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(17,961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pPr>
            <w:r>
              <w:t> </w:t>
            </w:r>
          </w:p>
        </w:tc>
        <w:tc>
          <w:tcPr>
            <w:tcW w:w="20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(25,594</w:t>
            </w:r>
          </w:p>
        </w:tc>
        <w:tc>
          <w:tcPr>
            <w:tcW w:w="13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 w:type="dxa"/>
            <w:tcBorders/>
            <w:shd w:fill="CCEEFF" w:val="clear"/>
            <w:vAlign w:val="center"/>
          </w:tcPr>
          <w:p>
            <w:pPr>
              <w:pStyle w:val="TableContents"/>
              <w:bidi w:val="0"/>
              <w:spacing w:before="0" w:after="283"/>
              <w:ind w:left="0" w:right="0" w:hanging="0"/>
              <w:jc w:val="left"/>
            </w:pPr>
            <w:r>
              <w:t> </w:t>
            </w:r>
          </w:p>
        </w:tc>
        <w:tc>
          <w:tcPr>
            <w:tcW w:w="20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(32,570</w:t>
            </w:r>
          </w:p>
        </w:tc>
        <w:tc>
          <w:tcPr>
            <w:tcW w:w="8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center"/>
      </w:pPr>
      <w:r>
        <w:t> </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The accompanying notes are an integral part of these condensed consolidated financial statements.</w:t>
      </w:r>
    </w:p>
    <w:p>
      <w:pPr>
        <w:pStyle w:val="TextBody"/>
        <w:bidi w:val="0"/>
        <w:spacing w:before="0" w:after="0"/>
        <w:ind w:left="0" w:right="0" w:hanging="0"/>
        <w:jc w:val="center"/>
      </w:pPr>
      <w: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 </w:t>
      </w:r>
    </w:p>
    <w:p>
      <w:pPr>
        <w:pStyle w:val="HorizontalLine"/>
        <w:pBdr>
          <w:bottom w:val="double" w:sz="2" w:space="0" w:color="808080"/>
        </w:pBdr>
        <w:bidi w:val="0"/>
        <w:spacing w:before="0" w:after="283"/>
        <w:jc w:val="left"/>
      </w:pPr>
      <w:r/>
    </w:p>
    <w:p>
      <w:pPr>
        <w:pStyle w:val="TextBody"/>
        <w:bidi w:val="0"/>
        <w:jc w:val="left"/>
      </w:pPr>
      <w:hyperlink w:anchor="toc">
        <w:r>
          <w:rPr>
            <w:rStyle w:val="InternetLink"/>
            <w:rFonts w:ascii="Times New Roman;Times;serif" w:hAnsi="Times New Roman;Times;serif"/>
            <w:sz w:val="20"/>
          </w:rPr>
          <w:t>Table of Contents</w:t>
        </w:r>
      </w:hyperlink>
      <w:r>
        <w:t xml:space="preserve"> </w:t>
      </w:r>
    </w:p>
    <w:p>
      <w:pPr>
        <w:pStyle w:val="TextBody"/>
        <w:bidi w:val="0"/>
        <w:spacing w:before="0" w:after="0"/>
        <w:ind w:left="0" w:right="0" w:hanging="0"/>
        <w:jc w:val="left"/>
      </w:pPr>
      <w:r>
        <w:t> </w:t>
      </w:r>
    </w:p>
    <w:p>
      <w:pPr>
        <w:pStyle w:val="TextBody"/>
        <w:bidi w:val="0"/>
        <w:spacing w:before="0" w:after="283"/>
        <w:jc w:val="left"/>
      </w:pPr>
      <w:r>
        <w:t xml:space="preserve">  </w:t>
      </w:r>
    </w:p>
    <w:p>
      <w:pPr>
        <w:pStyle w:val="TextBody"/>
        <w:bidi w:val="0"/>
        <w:spacing w:before="0" w:after="0"/>
        <w:ind w:left="0" w:right="0" w:hanging="0"/>
        <w:jc w:val="center"/>
        <w:rPr>
          <w:rFonts w:ascii="Times New Roman;Times;serif" w:hAnsi="Times New Roman;Times;serif"/>
          <w:b/>
          <w:sz w:val="20"/>
        </w:rPr>
      </w:pPr>
      <w:bookmarkStart w:id="8" w:name="eq"/>
      <w:bookmarkEnd w:id="8"/>
      <w:r>
        <w:rPr>
          <w:rFonts w:ascii="Times New Roman;Times;serif" w:hAnsi="Times New Roman;Times;serif"/>
          <w:b/>
          <w:sz w:val="20"/>
        </w:rPr>
        <w:t>Applied Optoelectronics,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CONDENSED CONSOLIDATED STATEMENTS OF STOCKHOLDERS’ EQUITY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and Nine Months ended September 30, 2026 and 2025</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in thousands, except for share amount)</w:t>
      </w:r>
    </w:p>
    <w:p>
      <w:pPr>
        <w:pStyle w:val="TextBody"/>
        <w:bidi w:val="0"/>
        <w:spacing w:before="0" w:after="0"/>
        <w:ind w:left="0" w:right="0" w:hanging="0"/>
        <w:jc w:val="left"/>
      </w:pPr>
      <w:r>
        <w:t> </w:t>
      </w:r>
    </w:p>
    <w:tbl>
      <w:tblPr>
        <w:tblW w:w="10205" w:type="dxa"/>
        <w:jc w:val="left"/>
        <w:tblInd w:w="0" w:type="dxa"/>
        <w:tblLayout w:type="fixed"/>
        <w:tblCellMar>
          <w:top w:w="0" w:type="dxa"/>
          <w:left w:w="0" w:type="dxa"/>
          <w:bottom w:w="0" w:type="dxa"/>
          <w:right w:w="0" w:type="dxa"/>
        </w:tblCellMar>
      </w:tblPr>
      <w:tblGrid>
        <w:gridCol w:w="3535"/>
        <w:gridCol w:w="60"/>
        <w:gridCol w:w="67"/>
        <w:gridCol w:w="652"/>
        <w:gridCol w:w="63"/>
        <w:gridCol w:w="63"/>
        <w:gridCol w:w="220"/>
        <w:gridCol w:w="460"/>
        <w:gridCol w:w="60"/>
        <w:gridCol w:w="60"/>
        <w:gridCol w:w="125"/>
        <w:gridCol w:w="845"/>
        <w:gridCol w:w="80"/>
        <w:gridCol w:w="60"/>
        <w:gridCol w:w="255"/>
        <w:gridCol w:w="995"/>
        <w:gridCol w:w="60"/>
        <w:gridCol w:w="60"/>
        <w:gridCol w:w="158"/>
        <w:gridCol w:w="957"/>
        <w:gridCol w:w="80"/>
        <w:gridCol w:w="60"/>
        <w:gridCol w:w="144"/>
        <w:gridCol w:w="987"/>
        <w:gridCol w:w="99"/>
      </w:tblGrid>
      <w:tr>
        <w:tc>
          <w:tcPr>
            <w:tcW w:w="353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19" w:type="dxa"/>
            <w:gridSpan w:val="2"/>
            <w:tcBorders/>
            <w:shd w:fill="FFFFFF" w:val="clear"/>
            <w:vAlign w:val="center"/>
          </w:tcPr>
          <w:p>
            <w:pPr>
              <w:pStyle w:val="TableContents"/>
              <w:bidi w:val="0"/>
              <w:spacing w:before="0" w:after="283"/>
              <w:jc w:val="left"/>
            </w:pPr>
            <w:r>
              <w:rPr>
                <w:rStyle w:val="Emphasis"/>
              </w:rPr>
              <w:t> </w:t>
            </w:r>
          </w:p>
        </w:tc>
        <w:tc>
          <w:tcPr>
            <w:tcW w:w="63" w:type="dxa"/>
            <w:tcBorders/>
            <w:shd w:fill="FFFFFF" w:val="clear"/>
            <w:vAlign w:val="center"/>
          </w:tcPr>
          <w:p>
            <w:pPr>
              <w:pStyle w:val="TableContents"/>
              <w:bidi w:val="0"/>
              <w:spacing w:before="0" w:after="283"/>
              <w:jc w:val="left"/>
            </w:pPr>
            <w:r>
              <w:t> </w:t>
            </w:r>
          </w:p>
        </w:tc>
        <w:tc>
          <w:tcPr>
            <w:tcW w:w="63" w:type="dxa"/>
            <w:tcBorders/>
            <w:shd w:fill="FFFFFF" w:val="clear"/>
            <w:vAlign w:val="center"/>
          </w:tcPr>
          <w:p>
            <w:pPr>
              <w:pStyle w:val="TableContents"/>
              <w:bidi w:val="0"/>
              <w:spacing w:before="0" w:after="283"/>
              <w:ind w:left="0" w:right="0" w:hanging="0"/>
              <w:jc w:val="left"/>
            </w:pPr>
            <w:r>
              <w:t> </w:t>
            </w:r>
          </w:p>
        </w:tc>
        <w:tc>
          <w:tcPr>
            <w:tcW w:w="680" w:type="dxa"/>
            <w:gridSpan w:val="2"/>
            <w:tcBorders/>
            <w:shd w:fill="FFFFFF" w:val="clear"/>
            <w:vAlign w:val="center"/>
          </w:tcPr>
          <w:p>
            <w:pPr>
              <w:pStyle w:val="TableContents"/>
              <w:bidi w:val="0"/>
              <w:spacing w:before="0" w:after="283"/>
              <w:jc w:val="left"/>
            </w:pPr>
            <w:r>
              <w:rPr>
                <w:rStyle w:val="Emphasis"/>
              </w:rP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970" w:type="dxa"/>
            <w:gridSpan w:val="2"/>
            <w:tcBorders/>
            <w:shd w:fill="FFFFFF" w:val="clear"/>
            <w:vAlign w:val="center"/>
          </w:tcPr>
          <w:p>
            <w:pPr>
              <w:pStyle w:val="TableContents"/>
              <w:bidi w:val="0"/>
              <w:spacing w:before="0" w:after="283"/>
              <w:jc w:val="left"/>
            </w:pPr>
            <w:r>
              <w:rPr>
                <w:rStyle w:val="Emphasis"/>
              </w:rP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50"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Accumulated</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15" w:type="dxa"/>
            <w:gridSpan w:val="2"/>
            <w:tcBorders/>
            <w:shd w:fill="FFFFFF" w:val="clear"/>
            <w:vAlign w:val="center"/>
          </w:tcPr>
          <w:p>
            <w:pPr>
              <w:pStyle w:val="TableContents"/>
              <w:bidi w:val="0"/>
              <w:spacing w:before="0" w:after="283"/>
              <w:jc w:val="left"/>
            </w:pPr>
            <w:r>
              <w:rPr>
                <w:rStyle w:val="Emphasis"/>
              </w:rP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31" w:type="dxa"/>
            <w:gridSpan w:val="2"/>
            <w:tcBorders/>
            <w:shd w:fill="FFFFFF" w:val="clear"/>
            <w:vAlign w:val="center"/>
          </w:tcPr>
          <w:p>
            <w:pPr>
              <w:pStyle w:val="TableContents"/>
              <w:bidi w:val="0"/>
              <w:spacing w:before="0" w:after="283"/>
              <w:jc w:val="left"/>
            </w:pPr>
            <w:r>
              <w:rPr>
                <w:rStyle w:val="Emphasis"/>
              </w:rPr>
              <w:t> </w:t>
            </w:r>
          </w:p>
        </w:tc>
        <w:tc>
          <w:tcPr>
            <w:tcW w:w="99" w:type="dxa"/>
            <w:tcBorders/>
            <w:shd w:fill="FFFFFF" w:val="clear"/>
            <w:vAlign w:val="center"/>
          </w:tcPr>
          <w:p>
            <w:pPr>
              <w:pStyle w:val="TableContents"/>
              <w:bidi w:val="0"/>
              <w:spacing w:before="0" w:after="283"/>
              <w:jc w:val="left"/>
            </w:pPr>
            <w:r>
              <w:t> </w:t>
            </w:r>
          </w:p>
        </w:tc>
      </w:tr>
      <w:tr>
        <w:tc>
          <w:tcPr>
            <w:tcW w:w="353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52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Common Stock</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970"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Additional</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50"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other</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15" w:type="dxa"/>
            <w:gridSpan w:val="2"/>
            <w:tcBorders/>
            <w:shd w:fill="FFFFFF" w:val="clear"/>
            <w:vAlign w:val="center"/>
          </w:tcPr>
          <w:p>
            <w:pPr>
              <w:pStyle w:val="TableContents"/>
              <w:bidi w:val="0"/>
              <w:spacing w:before="0" w:after="283"/>
              <w:jc w:val="left"/>
            </w:pPr>
            <w:r>
              <w:rPr>
                <w:rStyle w:val="Emphasis"/>
              </w:rP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31" w:type="dxa"/>
            <w:gridSpan w:val="2"/>
            <w:tcBorders/>
            <w:shd w:fill="FFFFFF" w:val="clear"/>
            <w:vAlign w:val="center"/>
          </w:tcPr>
          <w:p>
            <w:pPr>
              <w:pStyle w:val="TableContents"/>
              <w:bidi w:val="0"/>
              <w:spacing w:before="0" w:after="283"/>
              <w:jc w:val="left"/>
            </w:pPr>
            <w:r>
              <w:rPr>
                <w:rStyle w:val="Emphasis"/>
              </w:rPr>
              <w:t> </w:t>
            </w:r>
          </w:p>
        </w:tc>
        <w:tc>
          <w:tcPr>
            <w:tcW w:w="99" w:type="dxa"/>
            <w:tcBorders/>
            <w:shd w:fill="FFFFFF" w:val="clear"/>
            <w:vAlign w:val="center"/>
          </w:tcPr>
          <w:p>
            <w:pPr>
              <w:pStyle w:val="TableContents"/>
              <w:bidi w:val="0"/>
              <w:spacing w:before="0" w:after="283"/>
              <w:jc w:val="left"/>
            </w:pPr>
            <w:r>
              <w:t> </w:t>
            </w:r>
          </w:p>
        </w:tc>
      </w:tr>
      <w:tr>
        <w:tc>
          <w:tcPr>
            <w:tcW w:w="353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19"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Number</w:t>
            </w:r>
          </w:p>
        </w:tc>
        <w:tc>
          <w:tcPr>
            <w:tcW w:w="63" w:type="dxa"/>
            <w:tcBorders/>
            <w:shd w:fill="FFFFFF" w:val="clear"/>
            <w:vAlign w:val="center"/>
          </w:tcPr>
          <w:p>
            <w:pPr>
              <w:pStyle w:val="TableContents"/>
              <w:bidi w:val="0"/>
              <w:spacing w:before="0" w:after="283"/>
              <w:jc w:val="left"/>
            </w:pPr>
            <w:r>
              <w:t> </w:t>
            </w:r>
          </w:p>
        </w:tc>
        <w:tc>
          <w:tcPr>
            <w:tcW w:w="63" w:type="dxa"/>
            <w:tcBorders/>
            <w:shd w:fill="FFFFFF" w:val="clear"/>
            <w:vAlign w:val="center"/>
          </w:tcPr>
          <w:p>
            <w:pPr>
              <w:pStyle w:val="TableContents"/>
              <w:bidi w:val="0"/>
              <w:spacing w:before="0" w:after="283"/>
              <w:ind w:left="0" w:right="0" w:hanging="0"/>
              <w:jc w:val="left"/>
            </w:pPr>
            <w:r>
              <w:t> </w:t>
            </w:r>
          </w:p>
        </w:tc>
        <w:tc>
          <w:tcPr>
            <w:tcW w:w="680" w:type="dxa"/>
            <w:gridSpan w:val="2"/>
            <w:tcBorders/>
            <w:shd w:fill="FFFFFF" w:val="clear"/>
            <w:vAlign w:val="center"/>
          </w:tcPr>
          <w:p>
            <w:pPr>
              <w:pStyle w:val="TableContents"/>
              <w:bidi w:val="0"/>
              <w:spacing w:before="0" w:after="283"/>
              <w:jc w:val="left"/>
            </w:pPr>
            <w:r>
              <w:rPr>
                <w:rStyle w:val="Emphasis"/>
              </w:rP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970"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paid-in</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50"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comprehensive</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15"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Accumulated</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31"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Stockholders'</w:t>
            </w:r>
          </w:p>
        </w:tc>
        <w:tc>
          <w:tcPr>
            <w:tcW w:w="99" w:type="dxa"/>
            <w:tcBorders/>
            <w:shd w:fill="FFFFFF" w:val="clear"/>
            <w:vAlign w:val="center"/>
          </w:tcPr>
          <w:p>
            <w:pPr>
              <w:pStyle w:val="TableContents"/>
              <w:bidi w:val="0"/>
              <w:spacing w:before="0" w:after="283"/>
              <w:jc w:val="left"/>
            </w:pPr>
            <w:r>
              <w:t> </w:t>
            </w:r>
          </w:p>
        </w:tc>
      </w:tr>
      <w:tr>
        <w:tc>
          <w:tcPr>
            <w:tcW w:w="353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of shares</w:t>
            </w:r>
          </w:p>
        </w:tc>
        <w:tc>
          <w:tcPr>
            <w:tcW w:w="63" w:type="dxa"/>
            <w:tcBorders/>
            <w:shd w:fill="FFFFFF" w:val="clear"/>
            <w:vAlign w:val="center"/>
          </w:tcPr>
          <w:p>
            <w:pPr>
              <w:pStyle w:val="TableContents"/>
              <w:bidi w:val="0"/>
              <w:spacing w:before="0" w:after="283"/>
              <w:jc w:val="left"/>
            </w:pPr>
            <w:r>
              <w:t> </w:t>
            </w:r>
          </w:p>
        </w:tc>
        <w:tc>
          <w:tcPr>
            <w:tcW w:w="63" w:type="dxa"/>
            <w:tcBorders/>
            <w:shd w:fill="FFFFFF" w:val="clear"/>
            <w:vAlign w:val="center"/>
          </w:tcPr>
          <w:p>
            <w:pPr>
              <w:pStyle w:val="TableContents"/>
              <w:bidi w:val="0"/>
              <w:spacing w:before="0" w:after="283"/>
              <w:ind w:left="0" w:right="0" w:hanging="0"/>
              <w:jc w:val="left"/>
            </w:pPr>
            <w:r>
              <w:t> </w:t>
            </w:r>
          </w:p>
        </w:tc>
        <w:tc>
          <w:tcPr>
            <w:tcW w:w="6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capital</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gain (loss)</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deficit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3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equity</w:t>
            </w:r>
          </w:p>
        </w:tc>
        <w:tc>
          <w:tcPr>
            <w:tcW w:w="99" w:type="dxa"/>
            <w:tcBorders/>
            <w:shd w:fill="FFFFFF" w:val="clear"/>
            <w:vAlign w:val="center"/>
          </w:tcPr>
          <w:p>
            <w:pPr>
              <w:pStyle w:val="TableContents"/>
              <w:bidi w:val="0"/>
              <w:spacing w:before="0" w:after="283"/>
              <w:jc w:val="left"/>
            </w:pPr>
            <w:r>
              <w:t> </w:t>
            </w:r>
          </w:p>
        </w:tc>
      </w:tr>
      <w:tr>
        <w:tc>
          <w:tcPr>
            <w:tcW w:w="35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June 30, 2026</w:t>
            </w:r>
          </w:p>
        </w:tc>
        <w:tc>
          <w:tcPr>
            <w:tcW w:w="60" w:type="dxa"/>
            <w:tcBorders/>
            <w:shd w:fill="CCEEFF" w:val="clear"/>
            <w:vAlign w:val="center"/>
          </w:tcPr>
          <w:p>
            <w:pPr>
              <w:pStyle w:val="TableContents"/>
              <w:bidi w:val="0"/>
              <w:spacing w:before="0" w:after="283"/>
              <w:jc w:val="left"/>
            </w:pPr>
            <w:r>
              <w:t> </w:t>
            </w:r>
          </w:p>
        </w:tc>
        <w:tc>
          <w:tcPr>
            <w:tcW w:w="67" w:type="dxa"/>
            <w:tcBorders/>
            <w:shd w:fill="CCEEFF" w:val="clear"/>
            <w:vAlign w:val="center"/>
          </w:tcPr>
          <w:p>
            <w:pPr>
              <w:pStyle w:val="TableContents"/>
              <w:bidi w:val="0"/>
              <w:spacing w:before="0" w:after="283"/>
              <w:ind w:left="0" w:right="0" w:hanging="0"/>
              <w:jc w:val="left"/>
            </w:pPr>
            <w:r>
              <w:t> </w:t>
            </w:r>
          </w:p>
        </w:tc>
        <w:tc>
          <w:tcPr>
            <w:tcW w:w="6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84,386</w:t>
            </w:r>
          </w:p>
        </w:tc>
        <w:tc>
          <w:tcPr>
            <w:tcW w:w="63" w:type="dxa"/>
            <w:tcBorders/>
            <w:shd w:fill="CCEEFF" w:val="clear"/>
            <w:vAlign w:val="center"/>
          </w:tcPr>
          <w:p>
            <w:pPr>
              <w:pStyle w:val="TableContents"/>
              <w:bidi w:val="0"/>
              <w:spacing w:before="0" w:after="283"/>
              <w:jc w:val="left"/>
            </w:pPr>
            <w:r>
              <w:t> </w:t>
            </w:r>
          </w:p>
        </w:tc>
        <w:tc>
          <w:tcPr>
            <w:tcW w:w="63" w:type="dxa"/>
            <w:tcBorders/>
            <w:shd w:fill="CCEEFF" w:val="clear"/>
            <w:vAlign w:val="center"/>
          </w:tcPr>
          <w:p>
            <w:pPr>
              <w:pStyle w:val="TableContents"/>
              <w:bidi w:val="0"/>
              <w:spacing w:before="0" w:after="283"/>
              <w:ind w:left="0" w:right="0" w:hanging="0"/>
              <w:jc w:val="left"/>
            </w:pPr>
            <w:r>
              <w:t> </w:t>
            </w:r>
          </w:p>
        </w:tc>
        <w:tc>
          <w:tcPr>
            <w:tcW w:w="22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2,192,682</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25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2,399</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5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(527,140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pPr>
            <w:r>
              <w:t> </w:t>
            </w:r>
          </w:p>
        </w:tc>
        <w:tc>
          <w:tcPr>
            <w:tcW w:w="14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1,668,025</w:t>
            </w:r>
          </w:p>
        </w:tc>
        <w:tc>
          <w:tcPr>
            <w:tcW w:w="99" w:type="dxa"/>
            <w:tcBorders/>
            <w:shd w:fill="CCEEFF" w:val="clear"/>
            <w:vAlign w:val="center"/>
          </w:tcPr>
          <w:p>
            <w:pPr>
              <w:pStyle w:val="TableContents"/>
              <w:bidi w:val="0"/>
              <w:spacing w:before="0" w:after="283"/>
              <w:jc w:val="left"/>
            </w:pPr>
            <w:r>
              <w:t> </w:t>
            </w:r>
          </w:p>
        </w:tc>
      </w:tr>
      <w:tr>
        <w:tc>
          <w:tcPr>
            <w:tcW w:w="35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restricted stock, net of shares withheld for employee tax</w:t>
            </w:r>
          </w:p>
        </w:tc>
        <w:tc>
          <w:tcPr>
            <w:tcW w:w="60" w:type="dxa"/>
            <w:tcBorders/>
            <w:shd w:fill="FFFFFF" w:val="clear"/>
            <w:vAlign w:val="center"/>
          </w:tcPr>
          <w:p>
            <w:pPr>
              <w:pStyle w:val="TableContents"/>
              <w:bidi w:val="0"/>
              <w:spacing w:before="0" w:after="283"/>
              <w:jc w:val="left"/>
            </w:pPr>
            <w:r>
              <w:t> </w:t>
            </w:r>
          </w:p>
        </w:tc>
        <w:tc>
          <w:tcPr>
            <w:tcW w:w="67" w:type="dxa"/>
            <w:tcBorders/>
            <w:shd w:fill="FFFFFF" w:val="clear"/>
            <w:vAlign w:val="center"/>
          </w:tcPr>
          <w:p>
            <w:pPr>
              <w:pStyle w:val="TableContents"/>
              <w:bidi w:val="0"/>
              <w:spacing w:before="0" w:after="283"/>
              <w:ind w:left="0" w:right="0" w:hanging="0"/>
              <w:jc w:val="left"/>
            </w:pPr>
            <w:r>
              <w:t> </w:t>
            </w:r>
          </w:p>
        </w:tc>
        <w:tc>
          <w:tcPr>
            <w:tcW w:w="6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w:t>
            </w:r>
          </w:p>
        </w:tc>
        <w:tc>
          <w:tcPr>
            <w:tcW w:w="63" w:type="dxa"/>
            <w:tcBorders/>
            <w:shd w:fill="FFFFFF" w:val="clear"/>
            <w:vAlign w:val="center"/>
          </w:tcPr>
          <w:p>
            <w:pPr>
              <w:pStyle w:val="TableContents"/>
              <w:bidi w:val="0"/>
              <w:spacing w:before="0" w:after="283"/>
              <w:jc w:val="left"/>
            </w:pPr>
            <w:r>
              <w:t> </w:t>
            </w:r>
          </w:p>
        </w:tc>
        <w:tc>
          <w:tcPr>
            <w:tcW w:w="63" w:type="dxa"/>
            <w:tcBorders/>
            <w:shd w:fill="FFFFFF" w:val="clear"/>
            <w:vAlign w:val="center"/>
          </w:tcPr>
          <w:p>
            <w:pPr>
              <w:pStyle w:val="TableContents"/>
              <w:bidi w:val="0"/>
              <w:spacing w:before="0" w:after="283"/>
              <w:jc w:val="left"/>
            </w:pPr>
            <w:r>
              <w:t> </w:t>
            </w:r>
          </w:p>
        </w:tc>
        <w:tc>
          <w:tcPr>
            <w:tcW w:w="220" w:type="dxa"/>
            <w:tcBorders/>
            <w:shd w:fill="FFFFFF" w:val="clear"/>
            <w:vAlign w:val="center"/>
          </w:tcPr>
          <w:p>
            <w:pPr>
              <w:pStyle w:val="TableContents"/>
              <w:bidi w:val="0"/>
              <w:spacing w:before="0" w:after="283"/>
              <w:ind w:left="0" w:right="0" w:hanging="0"/>
              <w:jc w:val="left"/>
            </w:pPr>
            <w:r>
              <w:t> </w:t>
            </w:r>
          </w:p>
        </w:tc>
        <w:tc>
          <w:tcPr>
            <w:tcW w:w="460" w:type="dxa"/>
            <w:tcBorders/>
            <w:shd w:fill="FFFFFF" w:val="cle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(4,862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255" w:type="dxa"/>
            <w:tcBorders/>
            <w:shd w:fill="FFFFFF" w:val="clear"/>
            <w:vAlign w:val="center"/>
          </w:tcPr>
          <w:p>
            <w:pPr>
              <w:pStyle w:val="TableContents"/>
              <w:bidi w:val="0"/>
              <w:spacing w:before="0" w:after="283"/>
              <w:ind w:left="0" w:right="0" w:hanging="0"/>
              <w:jc w:val="left"/>
            </w:pPr>
            <w:r>
              <w:t> </w:t>
            </w:r>
          </w:p>
        </w:tc>
        <w:tc>
          <w:tcPr>
            <w:tcW w:w="995" w:type="dxa"/>
            <w:tcBorders/>
            <w:shd w:fill="FFFFFF" w:val="cle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8" w:type="dxa"/>
            <w:tcBorders/>
            <w:shd w:fill="FFFFFF" w:val="clear"/>
            <w:vAlign w:val="center"/>
          </w:tcPr>
          <w:p>
            <w:pPr>
              <w:pStyle w:val="TableContents"/>
              <w:bidi w:val="0"/>
              <w:spacing w:before="0" w:after="283"/>
              <w:ind w:left="0" w:right="0" w:hanging="0"/>
              <w:jc w:val="left"/>
            </w:pPr>
            <w:r>
              <w:t> </w:t>
            </w:r>
          </w:p>
        </w:tc>
        <w:tc>
          <w:tcPr>
            <w:tcW w:w="957"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44" w:type="dxa"/>
            <w:tcBorders/>
            <w:shd w:fill="FFFFFF" w:val="clear"/>
            <w:vAlign w:val="center"/>
          </w:tcPr>
          <w:p>
            <w:pPr>
              <w:pStyle w:val="TableContents"/>
              <w:bidi w:val="0"/>
              <w:spacing w:before="0" w:after="283"/>
              <w:ind w:left="0" w:right="0" w:hanging="0"/>
              <w:jc w:val="left"/>
            </w:pPr>
            <w:r>
              <w:t> </w:t>
            </w:r>
          </w:p>
        </w:tc>
        <w:tc>
          <w:tcPr>
            <w:tcW w:w="9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(4,862</w:t>
            </w:r>
          </w:p>
        </w:tc>
        <w:tc>
          <w:tcPr>
            <w:tcW w:w="9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35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Share-based compensation</w:t>
            </w:r>
          </w:p>
        </w:tc>
        <w:tc>
          <w:tcPr>
            <w:tcW w:w="60" w:type="dxa"/>
            <w:tcBorders/>
            <w:shd w:fill="CCEEFF" w:val="clear"/>
            <w:vAlign w:val="center"/>
          </w:tcPr>
          <w:p>
            <w:pPr>
              <w:pStyle w:val="TableContents"/>
              <w:bidi w:val="0"/>
              <w:spacing w:before="0" w:after="283"/>
              <w:jc w:val="left"/>
            </w:pPr>
            <w:r>
              <w:t> </w:t>
            </w:r>
          </w:p>
        </w:tc>
        <w:tc>
          <w:tcPr>
            <w:tcW w:w="67" w:type="dxa"/>
            <w:tcBorders/>
            <w:shd w:fill="CCEEFF" w:val="clear"/>
            <w:vAlign w:val="center"/>
          </w:tcPr>
          <w:p>
            <w:pPr>
              <w:pStyle w:val="TableContents"/>
              <w:bidi w:val="0"/>
              <w:spacing w:before="0" w:after="283"/>
              <w:ind w:left="0" w:right="0" w:hanging="0"/>
              <w:jc w:val="left"/>
            </w:pPr>
            <w:r>
              <w:t> </w:t>
            </w:r>
          </w:p>
        </w:tc>
        <w:tc>
          <w:tcPr>
            <w:tcW w:w="652" w:type="dxa"/>
            <w:tcBorders/>
            <w:shd w:fill="CCEEFF" w:val="clear"/>
            <w:vAlign w:val="center"/>
          </w:tcPr>
          <w:p>
            <w:pPr>
              <w:pStyle w:val="TableContents"/>
              <w:bidi w:val="0"/>
              <w:spacing w:before="0" w:after="283"/>
              <w:ind w:left="0" w:right="0" w:hanging="0"/>
              <w:jc w:val="right"/>
            </w:pPr>
            <w:r>
              <w:rPr>
                <w:rStyle w:val="Emphasis"/>
              </w:rPr>
              <w:t>—</w:t>
            </w:r>
          </w:p>
        </w:tc>
        <w:tc>
          <w:tcPr>
            <w:tcW w:w="63" w:type="dxa"/>
            <w:tcBorders/>
            <w:shd w:fill="CCEEFF" w:val="clear"/>
            <w:vAlign w:val="center"/>
          </w:tcPr>
          <w:p>
            <w:pPr>
              <w:pStyle w:val="TableContents"/>
              <w:bidi w:val="0"/>
              <w:spacing w:before="0" w:after="283"/>
              <w:jc w:val="left"/>
            </w:pPr>
            <w:r>
              <w:t> </w:t>
            </w:r>
          </w:p>
        </w:tc>
        <w:tc>
          <w:tcPr>
            <w:tcW w:w="63" w:type="dxa"/>
            <w:tcBorders/>
            <w:shd w:fill="CCEEFF" w:val="clear"/>
            <w:vAlign w:val="center"/>
          </w:tcPr>
          <w:p>
            <w:pPr>
              <w:pStyle w:val="TableContents"/>
              <w:bidi w:val="0"/>
              <w:spacing w:before="0" w:after="283"/>
              <w:jc w:val="left"/>
            </w:pPr>
            <w:r>
              <w:t> </w:t>
            </w:r>
          </w:p>
        </w:tc>
        <w:tc>
          <w:tcPr>
            <w:tcW w:w="220" w:type="dxa"/>
            <w:tcBorders/>
            <w:shd w:fill="CCEEFF" w:val="clear"/>
            <w:vAlign w:val="center"/>
          </w:tcPr>
          <w:p>
            <w:pPr>
              <w:pStyle w:val="TableContents"/>
              <w:bidi w:val="0"/>
              <w:spacing w:before="0" w:after="283"/>
              <w:ind w:left="0" w:right="0" w:hanging="0"/>
              <w:jc w:val="left"/>
            </w:pPr>
            <w:r>
              <w:t> </w:t>
            </w:r>
          </w:p>
        </w:tc>
        <w:tc>
          <w:tcPr>
            <w:tcW w:w="460"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5,685</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55" w:type="dxa"/>
            <w:tcBorders/>
            <w:shd w:fill="CCEEFF" w:val="clear"/>
            <w:vAlign w:val="center"/>
          </w:tcPr>
          <w:p>
            <w:pPr>
              <w:pStyle w:val="TableContents"/>
              <w:bidi w:val="0"/>
              <w:spacing w:before="0" w:after="283"/>
              <w:ind w:left="0" w:right="0" w:hanging="0"/>
              <w:jc w:val="left"/>
            </w:pPr>
            <w:r>
              <w:t> </w:t>
            </w:r>
          </w:p>
        </w:tc>
        <w:tc>
          <w:tcPr>
            <w:tcW w:w="995"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58" w:type="dxa"/>
            <w:tcBorders/>
            <w:shd w:fill="CCEEFF" w:val="clear"/>
            <w:vAlign w:val="center"/>
          </w:tcPr>
          <w:p>
            <w:pPr>
              <w:pStyle w:val="TableContents"/>
              <w:bidi w:val="0"/>
              <w:spacing w:before="0" w:after="283"/>
              <w:ind w:left="0" w:right="0" w:hanging="0"/>
              <w:jc w:val="left"/>
            </w:pPr>
            <w:r>
              <w:t> </w:t>
            </w:r>
          </w:p>
        </w:tc>
        <w:tc>
          <w:tcPr>
            <w:tcW w:w="957"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44" w:type="dxa"/>
            <w:tcBorders/>
            <w:shd w:fill="CCEEFF" w:val="clear"/>
            <w:vAlign w:val="center"/>
          </w:tcPr>
          <w:p>
            <w:pPr>
              <w:pStyle w:val="TableContents"/>
              <w:bidi w:val="0"/>
              <w:spacing w:before="0" w:after="283"/>
              <w:ind w:left="0" w:right="0" w:hanging="0"/>
              <w:jc w:val="left"/>
            </w:pPr>
            <w:r>
              <w:t> </w:t>
            </w:r>
          </w:p>
        </w:tc>
        <w:tc>
          <w:tcPr>
            <w:tcW w:w="9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5,685</w:t>
            </w:r>
          </w:p>
        </w:tc>
        <w:tc>
          <w:tcPr>
            <w:tcW w:w="99" w:type="dxa"/>
            <w:tcBorders/>
            <w:shd w:fill="CCEEFF" w:val="clear"/>
            <w:vAlign w:val="center"/>
          </w:tcPr>
          <w:p>
            <w:pPr>
              <w:pStyle w:val="TableContents"/>
              <w:bidi w:val="0"/>
              <w:spacing w:before="0" w:after="283"/>
              <w:jc w:val="left"/>
            </w:pPr>
            <w:r>
              <w:t> </w:t>
            </w:r>
          </w:p>
        </w:tc>
      </w:tr>
      <w:tr>
        <w:tc>
          <w:tcPr>
            <w:tcW w:w="35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Public offering of common stock, net</w:t>
            </w:r>
          </w:p>
        </w:tc>
        <w:tc>
          <w:tcPr>
            <w:tcW w:w="60" w:type="dxa"/>
            <w:tcBorders/>
            <w:shd w:fill="FFFFFF" w:val="clear"/>
            <w:vAlign w:val="center"/>
          </w:tcPr>
          <w:p>
            <w:pPr>
              <w:pStyle w:val="TableContents"/>
              <w:bidi w:val="0"/>
              <w:spacing w:before="0" w:after="283"/>
              <w:jc w:val="left"/>
            </w:pPr>
            <w:r>
              <w:t> </w:t>
            </w:r>
          </w:p>
        </w:tc>
        <w:tc>
          <w:tcPr>
            <w:tcW w:w="67" w:type="dxa"/>
            <w:tcBorders/>
            <w:shd w:fill="FFFFFF" w:val="clear"/>
            <w:vAlign w:val="center"/>
          </w:tcPr>
          <w:p>
            <w:pPr>
              <w:pStyle w:val="TableContents"/>
              <w:bidi w:val="0"/>
              <w:spacing w:before="0" w:after="283"/>
              <w:ind w:left="0" w:right="0" w:hanging="0"/>
              <w:jc w:val="left"/>
            </w:pPr>
            <w:r>
              <w:t> </w:t>
            </w:r>
          </w:p>
        </w:tc>
        <w:tc>
          <w:tcPr>
            <w:tcW w:w="6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5,309</w:t>
            </w:r>
          </w:p>
        </w:tc>
        <w:tc>
          <w:tcPr>
            <w:tcW w:w="63" w:type="dxa"/>
            <w:tcBorders/>
            <w:shd w:fill="FFFFFF" w:val="clear"/>
            <w:vAlign w:val="center"/>
          </w:tcPr>
          <w:p>
            <w:pPr>
              <w:pStyle w:val="TableContents"/>
              <w:bidi w:val="0"/>
              <w:spacing w:before="0" w:after="283"/>
              <w:jc w:val="left"/>
            </w:pPr>
            <w:r>
              <w:t> </w:t>
            </w:r>
          </w:p>
        </w:tc>
        <w:tc>
          <w:tcPr>
            <w:tcW w:w="63" w:type="dxa"/>
            <w:tcBorders/>
            <w:shd w:fill="FFFFFF" w:val="clear"/>
            <w:vAlign w:val="center"/>
          </w:tcPr>
          <w:p>
            <w:pPr>
              <w:pStyle w:val="TableContents"/>
              <w:bidi w:val="0"/>
              <w:spacing w:before="0" w:after="283"/>
              <w:jc w:val="left"/>
            </w:pPr>
            <w:r>
              <w:t> </w:t>
            </w:r>
          </w:p>
        </w:tc>
        <w:tc>
          <w:tcPr>
            <w:tcW w:w="220" w:type="dxa"/>
            <w:tcBorders/>
            <w:shd w:fill="FFFFFF" w:val="clear"/>
            <w:vAlign w:val="center"/>
          </w:tcPr>
          <w:p>
            <w:pPr>
              <w:pStyle w:val="TableContents"/>
              <w:bidi w:val="0"/>
              <w:spacing w:before="0" w:after="283"/>
              <w:ind w:left="0" w:right="0" w:hanging="0"/>
              <w:jc w:val="left"/>
            </w:pPr>
            <w:r>
              <w:t> </w:t>
            </w:r>
          </w:p>
        </w:tc>
        <w:tc>
          <w:tcPr>
            <w:tcW w:w="4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562,435</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55" w:type="dxa"/>
            <w:tcBorders/>
            <w:shd w:fill="FFFFFF" w:val="clear"/>
            <w:vAlign w:val="center"/>
          </w:tcPr>
          <w:p>
            <w:pPr>
              <w:pStyle w:val="TableContents"/>
              <w:bidi w:val="0"/>
              <w:spacing w:before="0" w:after="283"/>
              <w:ind w:left="0" w:right="0" w:hanging="0"/>
              <w:jc w:val="left"/>
            </w:pPr>
            <w:r>
              <w:t> </w:t>
            </w:r>
          </w:p>
        </w:tc>
        <w:tc>
          <w:tcPr>
            <w:tcW w:w="995" w:type="dxa"/>
            <w:tcBorders/>
            <w:shd w:fill="FFFFFF" w:val="cle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8" w:type="dxa"/>
            <w:tcBorders/>
            <w:shd w:fill="FFFFFF" w:val="clear"/>
            <w:vAlign w:val="center"/>
          </w:tcPr>
          <w:p>
            <w:pPr>
              <w:pStyle w:val="TableContents"/>
              <w:bidi w:val="0"/>
              <w:spacing w:before="0" w:after="283"/>
              <w:ind w:left="0" w:right="0" w:hanging="0"/>
              <w:jc w:val="left"/>
            </w:pPr>
            <w:r>
              <w:t> </w:t>
            </w:r>
          </w:p>
        </w:tc>
        <w:tc>
          <w:tcPr>
            <w:tcW w:w="957"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44" w:type="dxa"/>
            <w:tcBorders/>
            <w:shd w:fill="FFFFFF" w:val="clear"/>
            <w:vAlign w:val="center"/>
          </w:tcPr>
          <w:p>
            <w:pPr>
              <w:pStyle w:val="TableContents"/>
              <w:bidi w:val="0"/>
              <w:spacing w:before="0" w:after="283"/>
              <w:ind w:left="0" w:right="0" w:hanging="0"/>
              <w:jc w:val="left"/>
            </w:pPr>
            <w:r>
              <w:t> </w:t>
            </w:r>
          </w:p>
        </w:tc>
        <w:tc>
          <w:tcPr>
            <w:tcW w:w="9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562,440</w:t>
            </w:r>
          </w:p>
        </w:tc>
        <w:tc>
          <w:tcPr>
            <w:tcW w:w="99" w:type="dxa"/>
            <w:tcBorders/>
            <w:shd w:fill="FFFFFF" w:val="clear"/>
            <w:vAlign w:val="center"/>
          </w:tcPr>
          <w:p>
            <w:pPr>
              <w:pStyle w:val="TableContents"/>
              <w:bidi w:val="0"/>
              <w:spacing w:before="0" w:after="283"/>
              <w:jc w:val="left"/>
            </w:pPr>
            <w:r>
              <w:t> </w:t>
            </w:r>
          </w:p>
        </w:tc>
      </w:tr>
      <w:tr>
        <w:tc>
          <w:tcPr>
            <w:tcW w:w="35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Warrants contra revenue</w:t>
            </w:r>
          </w:p>
        </w:tc>
        <w:tc>
          <w:tcPr>
            <w:tcW w:w="60" w:type="dxa"/>
            <w:tcBorders/>
            <w:shd w:fill="CCEEFF" w:val="clear"/>
            <w:vAlign w:val="center"/>
          </w:tcPr>
          <w:p>
            <w:pPr>
              <w:pStyle w:val="TableContents"/>
              <w:bidi w:val="0"/>
              <w:spacing w:before="0" w:after="283"/>
              <w:jc w:val="left"/>
            </w:pPr>
            <w:r>
              <w:t> </w:t>
            </w:r>
          </w:p>
        </w:tc>
        <w:tc>
          <w:tcPr>
            <w:tcW w:w="67" w:type="dxa"/>
            <w:tcBorders/>
            <w:shd w:fill="CCEEFF" w:val="clear"/>
            <w:vAlign w:val="center"/>
          </w:tcPr>
          <w:p>
            <w:pPr>
              <w:pStyle w:val="TableContents"/>
              <w:bidi w:val="0"/>
              <w:spacing w:before="0" w:after="283"/>
              <w:ind w:left="0" w:right="0" w:hanging="0"/>
              <w:jc w:val="left"/>
            </w:pPr>
            <w:r>
              <w:t> </w:t>
            </w:r>
          </w:p>
        </w:tc>
        <w:tc>
          <w:tcPr>
            <w:tcW w:w="652" w:type="dxa"/>
            <w:tcBorders/>
            <w:shd w:fill="CCEEFF" w:val="clear"/>
            <w:vAlign w:val="center"/>
          </w:tcPr>
          <w:p>
            <w:pPr>
              <w:pStyle w:val="TableContents"/>
              <w:bidi w:val="0"/>
              <w:spacing w:before="0" w:after="283"/>
              <w:ind w:left="0" w:right="0" w:hanging="0"/>
              <w:jc w:val="right"/>
            </w:pPr>
            <w:r>
              <w:rPr>
                <w:rStyle w:val="Emphasis"/>
              </w:rPr>
              <w:t>—</w:t>
            </w:r>
          </w:p>
        </w:tc>
        <w:tc>
          <w:tcPr>
            <w:tcW w:w="63" w:type="dxa"/>
            <w:tcBorders/>
            <w:shd w:fill="CCEEFF" w:val="clear"/>
            <w:vAlign w:val="center"/>
          </w:tcPr>
          <w:p>
            <w:pPr>
              <w:pStyle w:val="TableContents"/>
              <w:bidi w:val="0"/>
              <w:spacing w:before="0" w:after="283"/>
              <w:jc w:val="left"/>
            </w:pPr>
            <w:r>
              <w:t> </w:t>
            </w:r>
          </w:p>
        </w:tc>
        <w:tc>
          <w:tcPr>
            <w:tcW w:w="63" w:type="dxa"/>
            <w:tcBorders/>
            <w:shd w:fill="CCEEFF" w:val="clear"/>
            <w:vAlign w:val="center"/>
          </w:tcPr>
          <w:p>
            <w:pPr>
              <w:pStyle w:val="TableContents"/>
              <w:bidi w:val="0"/>
              <w:spacing w:before="0" w:after="283"/>
              <w:jc w:val="left"/>
            </w:pPr>
            <w:r>
              <w:t> </w:t>
            </w:r>
          </w:p>
        </w:tc>
        <w:tc>
          <w:tcPr>
            <w:tcW w:w="220" w:type="dxa"/>
            <w:tcBorders/>
            <w:shd w:fill="CCEEFF" w:val="clear"/>
            <w:vAlign w:val="center"/>
          </w:tcPr>
          <w:p>
            <w:pPr>
              <w:pStyle w:val="TableContents"/>
              <w:bidi w:val="0"/>
              <w:spacing w:before="0" w:after="283"/>
              <w:ind w:left="0" w:right="0" w:hanging="0"/>
              <w:jc w:val="left"/>
            </w:pPr>
            <w:r>
              <w:t> </w:t>
            </w:r>
          </w:p>
        </w:tc>
        <w:tc>
          <w:tcPr>
            <w:tcW w:w="460"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1,608</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55" w:type="dxa"/>
            <w:tcBorders/>
            <w:shd w:fill="CCEEFF" w:val="clear"/>
            <w:vAlign w:val="center"/>
          </w:tcPr>
          <w:p>
            <w:pPr>
              <w:pStyle w:val="TableContents"/>
              <w:bidi w:val="0"/>
              <w:spacing w:before="0" w:after="283"/>
              <w:ind w:left="0" w:right="0" w:hanging="0"/>
              <w:jc w:val="left"/>
            </w:pPr>
            <w:r>
              <w:t> </w:t>
            </w:r>
          </w:p>
        </w:tc>
        <w:tc>
          <w:tcPr>
            <w:tcW w:w="995"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58" w:type="dxa"/>
            <w:tcBorders/>
            <w:shd w:fill="CCEEFF" w:val="clear"/>
            <w:vAlign w:val="center"/>
          </w:tcPr>
          <w:p>
            <w:pPr>
              <w:pStyle w:val="TableContents"/>
              <w:bidi w:val="0"/>
              <w:spacing w:before="0" w:after="283"/>
              <w:ind w:left="0" w:right="0" w:hanging="0"/>
              <w:jc w:val="left"/>
            </w:pPr>
            <w:r>
              <w:t> </w:t>
            </w:r>
          </w:p>
        </w:tc>
        <w:tc>
          <w:tcPr>
            <w:tcW w:w="957"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44" w:type="dxa"/>
            <w:tcBorders/>
            <w:shd w:fill="CCEEFF" w:val="clear"/>
            <w:vAlign w:val="center"/>
          </w:tcPr>
          <w:p>
            <w:pPr>
              <w:pStyle w:val="TableContents"/>
              <w:bidi w:val="0"/>
              <w:spacing w:before="0" w:after="283"/>
              <w:ind w:left="0" w:right="0" w:hanging="0"/>
              <w:jc w:val="left"/>
            </w:pPr>
            <w:r>
              <w:t> </w:t>
            </w:r>
          </w:p>
        </w:tc>
        <w:tc>
          <w:tcPr>
            <w:tcW w:w="9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1,608</w:t>
            </w:r>
          </w:p>
        </w:tc>
        <w:tc>
          <w:tcPr>
            <w:tcW w:w="99" w:type="dxa"/>
            <w:tcBorders/>
            <w:shd w:fill="CCEEFF" w:val="clear"/>
            <w:vAlign w:val="center"/>
          </w:tcPr>
          <w:p>
            <w:pPr>
              <w:pStyle w:val="TableContents"/>
              <w:bidi w:val="0"/>
              <w:spacing w:before="0" w:after="283"/>
              <w:jc w:val="left"/>
            </w:pPr>
            <w:r>
              <w:t> </w:t>
            </w:r>
          </w:p>
        </w:tc>
      </w:tr>
      <w:tr>
        <w:tc>
          <w:tcPr>
            <w:tcW w:w="353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 adjustment</w:t>
            </w:r>
          </w:p>
        </w:tc>
        <w:tc>
          <w:tcPr>
            <w:tcW w:w="60" w:type="dxa"/>
            <w:tcBorders/>
            <w:shd w:fill="FFFFFF" w:val="clear"/>
            <w:vAlign w:val="center"/>
          </w:tcPr>
          <w:p>
            <w:pPr>
              <w:pStyle w:val="TableContents"/>
              <w:bidi w:val="0"/>
              <w:spacing w:before="0" w:after="283"/>
              <w:jc w:val="left"/>
            </w:pPr>
            <w:r>
              <w:t> </w:t>
            </w:r>
          </w:p>
        </w:tc>
        <w:tc>
          <w:tcPr>
            <w:tcW w:w="67" w:type="dxa"/>
            <w:tcBorders/>
            <w:shd w:fill="FFFFFF" w:val="clear"/>
            <w:vAlign w:val="center"/>
          </w:tcPr>
          <w:p>
            <w:pPr>
              <w:pStyle w:val="TableContents"/>
              <w:bidi w:val="0"/>
              <w:spacing w:before="0" w:after="283"/>
              <w:jc w:val="left"/>
            </w:pPr>
            <w:r>
              <w:t> </w:t>
            </w:r>
          </w:p>
        </w:tc>
        <w:tc>
          <w:tcPr>
            <w:tcW w:w="652" w:type="dxa"/>
            <w:tcBorders/>
            <w:shd w:fill="FFFFFF" w:val="clear"/>
            <w:vAlign w:val="center"/>
          </w:tcPr>
          <w:p>
            <w:pPr>
              <w:pStyle w:val="TableContents"/>
              <w:bidi w:val="0"/>
              <w:spacing w:before="0" w:after="283"/>
              <w:jc w:val="right"/>
            </w:pPr>
            <w:r>
              <w:rPr>
                <w:rStyle w:val="Emphasis"/>
              </w:rPr>
              <w:t>—</w:t>
            </w:r>
          </w:p>
        </w:tc>
        <w:tc>
          <w:tcPr>
            <w:tcW w:w="63" w:type="dxa"/>
            <w:tcBorders/>
            <w:shd w:fill="FFFFFF" w:val="clear"/>
            <w:vAlign w:val="center"/>
          </w:tcPr>
          <w:p>
            <w:pPr>
              <w:pStyle w:val="TableContents"/>
              <w:bidi w:val="0"/>
              <w:spacing w:before="0" w:after="283"/>
              <w:jc w:val="left"/>
            </w:pPr>
            <w:r>
              <w:t> </w:t>
            </w:r>
          </w:p>
        </w:tc>
        <w:tc>
          <w:tcPr>
            <w:tcW w:w="63" w:type="dxa"/>
            <w:tcBorders/>
            <w:shd w:fill="FFFFFF" w:val="clear"/>
            <w:vAlign w:val="center"/>
          </w:tcPr>
          <w:p>
            <w:pPr>
              <w:pStyle w:val="TableContents"/>
              <w:bidi w:val="0"/>
              <w:spacing w:before="0" w:after="283"/>
              <w:jc w:val="left"/>
            </w:pPr>
            <w:r>
              <w:t> </w:t>
            </w:r>
          </w:p>
        </w:tc>
        <w:tc>
          <w:tcPr>
            <w:tcW w:w="220" w:type="dxa"/>
            <w:tcBorders/>
            <w:shd w:fill="FFFFFF" w:val="clear"/>
            <w:vAlign w:val="center"/>
          </w:tcPr>
          <w:p>
            <w:pPr>
              <w:pStyle w:val="TableContents"/>
              <w:bidi w:val="0"/>
              <w:spacing w:before="0" w:after="283"/>
              <w:jc w:val="left"/>
            </w:pPr>
            <w:r>
              <w:t> </w:t>
            </w:r>
          </w:p>
        </w:tc>
        <w:tc>
          <w:tcPr>
            <w:tcW w:w="460" w:type="dxa"/>
            <w:tcBorders/>
            <w:shd w:fill="FFFFFF" w:val="clear"/>
            <w:vAlign w:val="center"/>
          </w:tcPr>
          <w:p>
            <w:pPr>
              <w:pStyle w:val="TableContents"/>
              <w:bidi w:val="0"/>
              <w:spacing w:before="0" w:after="283"/>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845" w:type="dxa"/>
            <w:tcBorders/>
            <w:shd w:fill="FFFFFF" w:val="clear"/>
            <w:vAlign w:val="center"/>
          </w:tcPr>
          <w:p>
            <w:pPr>
              <w:pStyle w:val="TableContents"/>
              <w:bidi w:val="0"/>
              <w:spacing w:before="0" w:after="283"/>
              <w:jc w:val="right"/>
            </w:pPr>
            <w:r>
              <w:rPr>
                <w:rStyle w:val="Emphasis"/>
              </w:rP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55" w:type="dxa"/>
            <w:tcBorders/>
            <w:shd w:fill="FFFFFF" w:val="clear"/>
            <w:vAlign w:val="center"/>
          </w:tcPr>
          <w:p>
            <w:pPr>
              <w:pStyle w:val="TableContents"/>
              <w:bidi w:val="0"/>
              <w:spacing w:before="0" w:after="283"/>
              <w:jc w:val="left"/>
            </w:pPr>
            <w:r>
              <w:t> </w:t>
            </w:r>
          </w:p>
        </w:tc>
        <w:tc>
          <w:tcPr>
            <w:tcW w:w="9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2,152</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8" w:type="dxa"/>
            <w:tcBorders/>
            <w:shd w:fill="FFFFFF" w:val="clear"/>
            <w:vAlign w:val="center"/>
          </w:tcPr>
          <w:p>
            <w:pPr>
              <w:pStyle w:val="TableContents"/>
              <w:bidi w:val="0"/>
              <w:spacing w:before="0" w:after="283"/>
              <w:jc w:val="left"/>
            </w:pPr>
            <w:r>
              <w:t> </w:t>
            </w:r>
          </w:p>
        </w:tc>
        <w:tc>
          <w:tcPr>
            <w:tcW w:w="957" w:type="dxa"/>
            <w:tcBorders/>
            <w:shd w:fill="FFFFFF" w:val="clear"/>
            <w:vAlign w:val="center"/>
          </w:tcPr>
          <w:p>
            <w:pPr>
              <w:pStyle w:val="TableContents"/>
              <w:bidi w:val="0"/>
              <w:spacing w:before="0" w:after="283"/>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44" w:type="dxa"/>
            <w:tcBorders/>
            <w:shd w:fill="FFFFFF" w:val="clear"/>
            <w:vAlign w:val="center"/>
          </w:tcPr>
          <w:p>
            <w:pPr>
              <w:pStyle w:val="TableContents"/>
              <w:bidi w:val="0"/>
              <w:spacing w:before="0" w:after="283"/>
              <w:jc w:val="left"/>
            </w:pPr>
            <w:r>
              <w:t> </w:t>
            </w:r>
          </w:p>
        </w:tc>
        <w:tc>
          <w:tcPr>
            <w:tcW w:w="98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2,152</w:t>
            </w:r>
          </w:p>
        </w:tc>
        <w:tc>
          <w:tcPr>
            <w:tcW w:w="99" w:type="dxa"/>
            <w:tcBorders/>
            <w:shd w:fill="FFFFFF" w:val="clear"/>
            <w:vAlign w:val="center"/>
          </w:tcPr>
          <w:p>
            <w:pPr>
              <w:pStyle w:val="TableContents"/>
              <w:bidi w:val="0"/>
              <w:spacing w:before="0" w:after="283"/>
              <w:jc w:val="left"/>
            </w:pPr>
            <w:r>
              <w:t> </w:t>
            </w:r>
          </w:p>
        </w:tc>
      </w:tr>
      <w:tr>
        <w:tc>
          <w:tcPr>
            <w:tcW w:w="35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CCEEFF" w:val="clear"/>
            <w:vAlign w:val="center"/>
          </w:tcPr>
          <w:p>
            <w:pPr>
              <w:pStyle w:val="TableContents"/>
              <w:bidi w:val="0"/>
              <w:spacing w:before="0" w:after="283"/>
              <w:jc w:val="left"/>
            </w:pPr>
            <w:r>
              <w:t> </w:t>
            </w:r>
          </w:p>
        </w:tc>
        <w:tc>
          <w:tcPr>
            <w:tcW w:w="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65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pPr>
            <w:r>
              <w:rPr>
                <w:rStyle w:val="Emphasis"/>
              </w:rPr>
              <w:t>—</w:t>
            </w:r>
          </w:p>
        </w:tc>
        <w:tc>
          <w:tcPr>
            <w:tcW w:w="63" w:type="dxa"/>
            <w:tcBorders/>
            <w:shd w:fill="CCEEFF" w:val="clear"/>
            <w:vAlign w:val="center"/>
          </w:tcPr>
          <w:p>
            <w:pPr>
              <w:pStyle w:val="TableContents"/>
              <w:bidi w:val="0"/>
              <w:spacing w:before="0" w:after="283"/>
              <w:jc w:val="left"/>
            </w:pPr>
            <w:r>
              <w:t> </w:t>
            </w:r>
          </w:p>
        </w:tc>
        <w:tc>
          <w:tcPr>
            <w:tcW w:w="63" w:type="dxa"/>
            <w:tcBorders/>
            <w:shd w:fill="CCEEFF" w:val="clear"/>
            <w:vAlign w:val="center"/>
          </w:tcPr>
          <w:p>
            <w:pPr>
              <w:pStyle w:val="TableContents"/>
              <w:bidi w:val="0"/>
              <w:spacing w:before="0" w:after="283"/>
              <w:jc w:val="left"/>
            </w:pPr>
            <w:r>
              <w:t> </w:t>
            </w:r>
          </w:p>
        </w:tc>
        <w:tc>
          <w:tcPr>
            <w:tcW w:w="22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4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5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9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5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95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6,300</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98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6,300</w:t>
            </w:r>
          </w:p>
        </w:tc>
        <w:tc>
          <w:tcPr>
            <w:tcW w:w="99" w:type="dxa"/>
            <w:tcBorders/>
            <w:shd w:fill="CCEEFF" w:val="clear"/>
            <w:vAlign w:val="center"/>
          </w:tcPr>
          <w:p>
            <w:pPr>
              <w:pStyle w:val="TableContents"/>
              <w:bidi w:val="0"/>
              <w:spacing w:before="0" w:after="283"/>
              <w:jc w:val="left"/>
            </w:pPr>
            <w:r>
              <w:t> </w:t>
            </w:r>
          </w:p>
        </w:tc>
      </w:tr>
      <w:tr>
        <w:tc>
          <w:tcPr>
            <w:tcW w:w="35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30, 2026</w:t>
            </w:r>
          </w:p>
        </w:tc>
        <w:tc>
          <w:tcPr>
            <w:tcW w:w="60" w:type="dxa"/>
            <w:tcBorders/>
            <w:shd w:fill="FFFFFF" w:val="clear"/>
            <w:vAlign w:val="center"/>
          </w:tcPr>
          <w:p>
            <w:pPr>
              <w:pStyle w:val="TableContents"/>
              <w:bidi w:val="0"/>
              <w:spacing w:before="0" w:after="283"/>
              <w:jc w:val="left"/>
            </w:pPr>
            <w:r>
              <w:t> </w:t>
            </w:r>
          </w:p>
        </w:tc>
        <w:tc>
          <w:tcPr>
            <w:tcW w:w="6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pPr>
            <w:r>
              <w:t> </w:t>
            </w:r>
          </w:p>
        </w:tc>
        <w:tc>
          <w:tcPr>
            <w:tcW w:w="65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89,885</w:t>
            </w:r>
          </w:p>
        </w:tc>
        <w:tc>
          <w:tcPr>
            <w:tcW w:w="63" w:type="dxa"/>
            <w:tcBorders/>
            <w:shd w:fill="FFFFFF" w:val="clear"/>
            <w:vAlign w:val="center"/>
          </w:tcPr>
          <w:p>
            <w:pPr>
              <w:pStyle w:val="TableContents"/>
              <w:bidi w:val="0"/>
              <w:spacing w:before="0" w:after="283"/>
              <w:jc w:val="left"/>
            </w:pPr>
            <w:r>
              <w:t> </w:t>
            </w:r>
          </w:p>
        </w:tc>
        <w:tc>
          <w:tcPr>
            <w:tcW w:w="63" w:type="dxa"/>
            <w:tcBorders/>
            <w:shd w:fill="FFFFFF" w:val="clear"/>
            <w:vAlign w:val="center"/>
          </w:tcPr>
          <w:p>
            <w:pPr>
              <w:pStyle w:val="TableContents"/>
              <w:bidi w:val="0"/>
              <w:spacing w:before="0" w:after="283"/>
              <w:ind w:left="0" w:right="0" w:hanging="0"/>
              <w:jc w:val="left"/>
            </w:pPr>
            <w:r>
              <w:t> </w:t>
            </w:r>
          </w:p>
        </w:tc>
        <w:tc>
          <w:tcPr>
            <w:tcW w:w="22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6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2,757,548</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5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4,551</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5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(520,841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pPr>
            <w:r>
              <w:t> </w:t>
            </w:r>
          </w:p>
        </w:tc>
        <w:tc>
          <w:tcPr>
            <w:tcW w:w="14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2,241,348</w:t>
            </w:r>
          </w:p>
        </w:tc>
        <w:tc>
          <w:tcPr>
            <w:tcW w:w="99" w:type="dxa"/>
            <w:tcBorders/>
            <w:shd w:fill="FFFFFF" w:val="clear"/>
            <w:vAlign w:val="center"/>
          </w:tcPr>
          <w:p>
            <w:pPr>
              <w:pStyle w:val="TableContents"/>
              <w:bidi w:val="0"/>
              <w:spacing w:before="0" w:after="283"/>
              <w:jc w:val="left"/>
            </w:pPr>
            <w:r>
              <w:t> </w:t>
            </w:r>
          </w:p>
        </w:tc>
      </w:tr>
    </w:tbl>
    <w:p>
      <w:pPr>
        <w:pStyle w:val="TextBody"/>
        <w:bidi w:val="0"/>
        <w:spacing w:before="0" w:after="0"/>
        <w:ind w:left="0" w:right="0" w:hanging="0"/>
        <w:jc w:val="left"/>
      </w:pPr>
      <w:r>
        <w:t> </w:t>
      </w:r>
    </w:p>
    <w:tbl>
      <w:tblPr>
        <w:tblW w:w="10205" w:type="dxa"/>
        <w:jc w:val="left"/>
        <w:tblInd w:w="0" w:type="dxa"/>
        <w:tblLayout w:type="fixed"/>
        <w:tblCellMar>
          <w:top w:w="0" w:type="dxa"/>
          <w:left w:w="0" w:type="dxa"/>
          <w:bottom w:w="0" w:type="dxa"/>
          <w:right w:w="0" w:type="dxa"/>
        </w:tblCellMar>
      </w:tblPr>
      <w:tblGrid>
        <w:gridCol w:w="3530"/>
        <w:gridCol w:w="60"/>
        <w:gridCol w:w="67"/>
        <w:gridCol w:w="653"/>
        <w:gridCol w:w="63"/>
        <w:gridCol w:w="63"/>
        <w:gridCol w:w="220"/>
        <w:gridCol w:w="460"/>
        <w:gridCol w:w="60"/>
        <w:gridCol w:w="60"/>
        <w:gridCol w:w="125"/>
        <w:gridCol w:w="845"/>
        <w:gridCol w:w="80"/>
        <w:gridCol w:w="60"/>
        <w:gridCol w:w="255"/>
        <w:gridCol w:w="995"/>
        <w:gridCol w:w="80"/>
        <w:gridCol w:w="60"/>
        <w:gridCol w:w="158"/>
        <w:gridCol w:w="957"/>
        <w:gridCol w:w="80"/>
        <w:gridCol w:w="60"/>
        <w:gridCol w:w="171"/>
        <w:gridCol w:w="960"/>
        <w:gridCol w:w="83"/>
      </w:tblGrid>
      <w:tr>
        <w:tc>
          <w:tcPr>
            <w:tcW w:w="353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20" w:type="dxa"/>
            <w:gridSpan w:val="2"/>
            <w:tcBorders/>
            <w:shd w:fill="FFFFFF" w:val="clear"/>
            <w:vAlign w:val="center"/>
          </w:tcPr>
          <w:p>
            <w:pPr>
              <w:pStyle w:val="TableContents"/>
              <w:bidi w:val="0"/>
              <w:spacing w:before="0" w:after="283"/>
              <w:jc w:val="left"/>
            </w:pPr>
            <w:r>
              <w:rPr>
                <w:rStyle w:val="Emphasis"/>
              </w:rPr>
              <w:t> </w:t>
            </w:r>
          </w:p>
        </w:tc>
        <w:tc>
          <w:tcPr>
            <w:tcW w:w="63" w:type="dxa"/>
            <w:tcBorders/>
            <w:shd w:fill="FFFFFF" w:val="clear"/>
            <w:vAlign w:val="center"/>
          </w:tcPr>
          <w:p>
            <w:pPr>
              <w:pStyle w:val="TableContents"/>
              <w:bidi w:val="0"/>
              <w:spacing w:before="0" w:after="283"/>
              <w:jc w:val="left"/>
            </w:pPr>
            <w:r>
              <w:t> </w:t>
            </w:r>
          </w:p>
        </w:tc>
        <w:tc>
          <w:tcPr>
            <w:tcW w:w="63" w:type="dxa"/>
            <w:tcBorders/>
            <w:shd w:fill="FFFFFF" w:val="clear"/>
            <w:vAlign w:val="center"/>
          </w:tcPr>
          <w:p>
            <w:pPr>
              <w:pStyle w:val="TableContents"/>
              <w:bidi w:val="0"/>
              <w:spacing w:before="0" w:after="283"/>
              <w:ind w:left="0" w:right="0" w:hanging="0"/>
              <w:jc w:val="left"/>
            </w:pPr>
            <w:r>
              <w:t> </w:t>
            </w:r>
          </w:p>
        </w:tc>
        <w:tc>
          <w:tcPr>
            <w:tcW w:w="680" w:type="dxa"/>
            <w:gridSpan w:val="2"/>
            <w:tcBorders/>
            <w:shd w:fill="FFFFFF" w:val="clear"/>
            <w:vAlign w:val="center"/>
          </w:tcPr>
          <w:p>
            <w:pPr>
              <w:pStyle w:val="TableContents"/>
              <w:bidi w:val="0"/>
              <w:spacing w:before="0" w:after="283"/>
              <w:jc w:val="left"/>
            </w:pPr>
            <w:r>
              <w:rPr>
                <w:rStyle w:val="Emphasis"/>
              </w:rP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970" w:type="dxa"/>
            <w:gridSpan w:val="2"/>
            <w:tcBorders/>
            <w:shd w:fill="FFFFFF" w:val="clear"/>
            <w:vAlign w:val="center"/>
          </w:tcPr>
          <w:p>
            <w:pPr>
              <w:pStyle w:val="TableContents"/>
              <w:bidi w:val="0"/>
              <w:spacing w:before="0" w:after="283"/>
              <w:jc w:val="left"/>
            </w:pPr>
            <w:r>
              <w:rPr>
                <w:rStyle w:val="Emphasis"/>
              </w:rP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50"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Accumulated</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15" w:type="dxa"/>
            <w:gridSpan w:val="2"/>
            <w:tcBorders/>
            <w:shd w:fill="FFFFFF" w:val="clear"/>
            <w:vAlign w:val="center"/>
          </w:tcPr>
          <w:p>
            <w:pPr>
              <w:pStyle w:val="TableContents"/>
              <w:bidi w:val="0"/>
              <w:spacing w:before="0" w:after="283"/>
              <w:jc w:val="left"/>
            </w:pPr>
            <w:r>
              <w:rPr>
                <w:rStyle w:val="Emphasis"/>
              </w:rP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31" w:type="dxa"/>
            <w:gridSpan w:val="2"/>
            <w:tcBorders/>
            <w:shd w:fill="FFFFFF" w:val="clear"/>
            <w:vAlign w:val="center"/>
          </w:tcPr>
          <w:p>
            <w:pPr>
              <w:pStyle w:val="TableContents"/>
              <w:bidi w:val="0"/>
              <w:spacing w:before="0" w:after="283"/>
              <w:jc w:val="left"/>
            </w:pPr>
            <w:r>
              <w:rPr>
                <w:rStyle w:val="Emphasis"/>
              </w:rPr>
              <w:t> </w:t>
            </w:r>
          </w:p>
        </w:tc>
        <w:tc>
          <w:tcPr>
            <w:tcW w:w="83" w:type="dxa"/>
            <w:tcBorders/>
            <w:shd w:fill="FFFFFF" w:val="clear"/>
            <w:vAlign w:val="center"/>
          </w:tcPr>
          <w:p>
            <w:pPr>
              <w:pStyle w:val="TableContents"/>
              <w:bidi w:val="0"/>
              <w:spacing w:before="0" w:after="283"/>
              <w:jc w:val="left"/>
            </w:pPr>
            <w:r>
              <w:t> </w:t>
            </w:r>
          </w:p>
        </w:tc>
      </w:tr>
      <w:tr>
        <w:tc>
          <w:tcPr>
            <w:tcW w:w="353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52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Common Stock</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970"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Additional</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50"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other</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15" w:type="dxa"/>
            <w:gridSpan w:val="2"/>
            <w:tcBorders/>
            <w:shd w:fill="FFFFFF" w:val="clear"/>
            <w:vAlign w:val="center"/>
          </w:tcPr>
          <w:p>
            <w:pPr>
              <w:pStyle w:val="TableContents"/>
              <w:bidi w:val="0"/>
              <w:spacing w:before="0" w:after="283"/>
              <w:jc w:val="left"/>
            </w:pPr>
            <w:r>
              <w:rPr>
                <w:rStyle w:val="Emphasis"/>
              </w:rP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31" w:type="dxa"/>
            <w:gridSpan w:val="2"/>
            <w:tcBorders/>
            <w:shd w:fill="FFFFFF" w:val="clear"/>
            <w:vAlign w:val="center"/>
          </w:tcPr>
          <w:p>
            <w:pPr>
              <w:pStyle w:val="TableContents"/>
              <w:bidi w:val="0"/>
              <w:spacing w:before="0" w:after="283"/>
              <w:jc w:val="left"/>
            </w:pPr>
            <w:r>
              <w:rPr>
                <w:rStyle w:val="Emphasis"/>
              </w:rPr>
              <w:t> </w:t>
            </w:r>
          </w:p>
        </w:tc>
        <w:tc>
          <w:tcPr>
            <w:tcW w:w="83" w:type="dxa"/>
            <w:tcBorders/>
            <w:shd w:fill="FFFFFF" w:val="clear"/>
            <w:vAlign w:val="center"/>
          </w:tcPr>
          <w:p>
            <w:pPr>
              <w:pStyle w:val="TableContents"/>
              <w:bidi w:val="0"/>
              <w:spacing w:before="0" w:after="283"/>
              <w:jc w:val="left"/>
            </w:pPr>
            <w:r>
              <w:t> </w:t>
            </w:r>
          </w:p>
        </w:tc>
      </w:tr>
      <w:tr>
        <w:tc>
          <w:tcPr>
            <w:tcW w:w="353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20"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Number</w:t>
            </w:r>
          </w:p>
        </w:tc>
        <w:tc>
          <w:tcPr>
            <w:tcW w:w="63" w:type="dxa"/>
            <w:tcBorders/>
            <w:shd w:fill="FFFFFF" w:val="clear"/>
            <w:vAlign w:val="center"/>
          </w:tcPr>
          <w:p>
            <w:pPr>
              <w:pStyle w:val="TableContents"/>
              <w:bidi w:val="0"/>
              <w:spacing w:before="0" w:after="283"/>
              <w:jc w:val="left"/>
            </w:pPr>
            <w:r>
              <w:t> </w:t>
            </w:r>
          </w:p>
        </w:tc>
        <w:tc>
          <w:tcPr>
            <w:tcW w:w="63" w:type="dxa"/>
            <w:tcBorders/>
            <w:shd w:fill="FFFFFF" w:val="clear"/>
            <w:vAlign w:val="center"/>
          </w:tcPr>
          <w:p>
            <w:pPr>
              <w:pStyle w:val="TableContents"/>
              <w:bidi w:val="0"/>
              <w:spacing w:before="0" w:after="283"/>
              <w:ind w:left="0" w:right="0" w:hanging="0"/>
              <w:jc w:val="left"/>
            </w:pPr>
            <w:r>
              <w:t> </w:t>
            </w:r>
          </w:p>
        </w:tc>
        <w:tc>
          <w:tcPr>
            <w:tcW w:w="680" w:type="dxa"/>
            <w:gridSpan w:val="2"/>
            <w:tcBorders/>
            <w:shd w:fill="FFFFFF" w:val="clear"/>
            <w:vAlign w:val="center"/>
          </w:tcPr>
          <w:p>
            <w:pPr>
              <w:pStyle w:val="TableContents"/>
              <w:bidi w:val="0"/>
              <w:spacing w:before="0" w:after="283"/>
              <w:jc w:val="left"/>
            </w:pPr>
            <w:r>
              <w:rPr>
                <w:rStyle w:val="Emphasis"/>
              </w:rP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970"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paid-in</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50"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comprehensive</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15"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Accumulated</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31"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Stockholders'</w:t>
            </w:r>
          </w:p>
        </w:tc>
        <w:tc>
          <w:tcPr>
            <w:tcW w:w="83" w:type="dxa"/>
            <w:tcBorders/>
            <w:shd w:fill="FFFFFF" w:val="clear"/>
            <w:vAlign w:val="center"/>
          </w:tcPr>
          <w:p>
            <w:pPr>
              <w:pStyle w:val="TableContents"/>
              <w:bidi w:val="0"/>
              <w:spacing w:before="0" w:after="283"/>
              <w:jc w:val="left"/>
            </w:pPr>
            <w:r>
              <w:t> </w:t>
            </w:r>
          </w:p>
        </w:tc>
      </w:tr>
      <w:tr>
        <w:tc>
          <w:tcPr>
            <w:tcW w:w="353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of shares</w:t>
            </w:r>
          </w:p>
        </w:tc>
        <w:tc>
          <w:tcPr>
            <w:tcW w:w="63" w:type="dxa"/>
            <w:tcBorders/>
            <w:shd w:fill="FFFFFF" w:val="clear"/>
            <w:vAlign w:val="center"/>
          </w:tcPr>
          <w:p>
            <w:pPr>
              <w:pStyle w:val="TableContents"/>
              <w:bidi w:val="0"/>
              <w:spacing w:before="0" w:after="283"/>
              <w:jc w:val="left"/>
            </w:pPr>
            <w:r>
              <w:t> </w:t>
            </w:r>
          </w:p>
        </w:tc>
        <w:tc>
          <w:tcPr>
            <w:tcW w:w="63" w:type="dxa"/>
            <w:tcBorders/>
            <w:shd w:fill="FFFFFF" w:val="clear"/>
            <w:vAlign w:val="center"/>
          </w:tcPr>
          <w:p>
            <w:pPr>
              <w:pStyle w:val="TableContents"/>
              <w:bidi w:val="0"/>
              <w:spacing w:before="0" w:after="283"/>
              <w:ind w:left="0" w:right="0" w:hanging="0"/>
              <w:jc w:val="left"/>
            </w:pPr>
            <w:r>
              <w:t> </w:t>
            </w:r>
          </w:p>
        </w:tc>
        <w:tc>
          <w:tcPr>
            <w:tcW w:w="6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capital</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gain (loss)</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deficit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3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equity</w:t>
            </w:r>
          </w:p>
        </w:tc>
        <w:tc>
          <w:tcPr>
            <w:tcW w:w="83" w:type="dxa"/>
            <w:tcBorders/>
            <w:shd w:fill="FFFFFF" w:val="clear"/>
            <w:vAlign w:val="center"/>
          </w:tcPr>
          <w:p>
            <w:pPr>
              <w:pStyle w:val="TableContents"/>
              <w:bidi w:val="0"/>
              <w:spacing w:before="0" w:after="283"/>
              <w:jc w:val="left"/>
            </w:pPr>
            <w:r>
              <w:t> </w:t>
            </w:r>
          </w:p>
        </w:tc>
      </w:tr>
      <w:tr>
        <w:tc>
          <w:tcPr>
            <w:tcW w:w="35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June 30, 2025</w:t>
            </w:r>
          </w:p>
        </w:tc>
        <w:tc>
          <w:tcPr>
            <w:tcW w:w="60" w:type="dxa"/>
            <w:tcBorders/>
            <w:shd w:fill="CCEEFF" w:val="clear"/>
            <w:vAlign w:val="center"/>
          </w:tcPr>
          <w:p>
            <w:pPr>
              <w:pStyle w:val="TableContents"/>
              <w:bidi w:val="0"/>
              <w:spacing w:before="0" w:after="283"/>
              <w:jc w:val="left"/>
            </w:pPr>
            <w:r>
              <w:t> </w:t>
            </w:r>
          </w:p>
        </w:tc>
        <w:tc>
          <w:tcPr>
            <w:tcW w:w="67" w:type="dxa"/>
            <w:tcBorders/>
            <w:shd w:fill="CCEEFF" w:val="clear"/>
            <w:vAlign w:val="center"/>
          </w:tcPr>
          <w:p>
            <w:pPr>
              <w:pStyle w:val="TableContents"/>
              <w:bidi w:val="0"/>
              <w:spacing w:before="0" w:after="283"/>
              <w:ind w:left="0" w:right="0" w:hanging="0"/>
              <w:jc w:val="left"/>
            </w:pPr>
            <w:r>
              <w:t> </w:t>
            </w:r>
          </w:p>
        </w:tc>
        <w:tc>
          <w:tcPr>
            <w:tcW w:w="6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61,890</w:t>
            </w:r>
          </w:p>
        </w:tc>
        <w:tc>
          <w:tcPr>
            <w:tcW w:w="63" w:type="dxa"/>
            <w:tcBorders/>
            <w:shd w:fill="CCEEFF" w:val="clear"/>
            <w:vAlign w:val="center"/>
          </w:tcPr>
          <w:p>
            <w:pPr>
              <w:pStyle w:val="TableContents"/>
              <w:bidi w:val="0"/>
              <w:spacing w:before="0" w:after="283"/>
              <w:jc w:val="left"/>
            </w:pPr>
            <w:r>
              <w:t> </w:t>
            </w:r>
          </w:p>
        </w:tc>
        <w:tc>
          <w:tcPr>
            <w:tcW w:w="63" w:type="dxa"/>
            <w:tcBorders/>
            <w:shd w:fill="CCEEFF" w:val="clear"/>
            <w:vAlign w:val="center"/>
          </w:tcPr>
          <w:p>
            <w:pPr>
              <w:pStyle w:val="TableContents"/>
              <w:bidi w:val="0"/>
              <w:spacing w:before="0" w:after="283"/>
              <w:ind w:left="0" w:right="0" w:hanging="0"/>
              <w:jc w:val="left"/>
            </w:pPr>
            <w:r>
              <w:t> </w:t>
            </w:r>
          </w:p>
        </w:tc>
        <w:tc>
          <w:tcPr>
            <w:tcW w:w="22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893,927</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25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1,113</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5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(470,121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pPr>
            <w:r>
              <w:t> </w:t>
            </w:r>
          </w:p>
        </w:tc>
        <w:tc>
          <w:tcPr>
            <w:tcW w:w="17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424,981</w:t>
            </w:r>
          </w:p>
        </w:tc>
        <w:tc>
          <w:tcPr>
            <w:tcW w:w="83" w:type="dxa"/>
            <w:tcBorders/>
            <w:shd w:fill="CCEEFF" w:val="clear"/>
            <w:vAlign w:val="center"/>
          </w:tcPr>
          <w:p>
            <w:pPr>
              <w:pStyle w:val="TableContents"/>
              <w:bidi w:val="0"/>
              <w:spacing w:before="0" w:after="283"/>
              <w:jc w:val="left"/>
            </w:pPr>
            <w:r>
              <w:t> </w:t>
            </w:r>
          </w:p>
        </w:tc>
      </w:tr>
      <w:tr>
        <w:tc>
          <w:tcPr>
            <w:tcW w:w="35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restricted stock, net of shares withheld for employee tax</w:t>
            </w:r>
          </w:p>
        </w:tc>
        <w:tc>
          <w:tcPr>
            <w:tcW w:w="60" w:type="dxa"/>
            <w:tcBorders/>
            <w:shd w:fill="FFFFFF" w:val="clear"/>
            <w:vAlign w:val="center"/>
          </w:tcPr>
          <w:p>
            <w:pPr>
              <w:pStyle w:val="TableContents"/>
              <w:bidi w:val="0"/>
              <w:spacing w:before="0" w:after="283"/>
              <w:jc w:val="left"/>
            </w:pPr>
            <w:r>
              <w:t> </w:t>
            </w:r>
          </w:p>
        </w:tc>
        <w:tc>
          <w:tcPr>
            <w:tcW w:w="67" w:type="dxa"/>
            <w:tcBorders/>
            <w:shd w:fill="FFFFFF" w:val="clear"/>
            <w:vAlign w:val="center"/>
          </w:tcPr>
          <w:p>
            <w:pPr>
              <w:pStyle w:val="TableContents"/>
              <w:bidi w:val="0"/>
              <w:spacing w:before="0" w:after="283"/>
              <w:ind w:left="0" w:right="0" w:hanging="0"/>
              <w:jc w:val="left"/>
            </w:pPr>
            <w:r>
              <w:t> </w:t>
            </w:r>
          </w:p>
        </w:tc>
        <w:tc>
          <w:tcPr>
            <w:tcW w:w="6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256</w:t>
            </w:r>
          </w:p>
        </w:tc>
        <w:tc>
          <w:tcPr>
            <w:tcW w:w="63" w:type="dxa"/>
            <w:tcBorders/>
            <w:shd w:fill="FFFFFF" w:val="clear"/>
            <w:vAlign w:val="center"/>
          </w:tcPr>
          <w:p>
            <w:pPr>
              <w:pStyle w:val="TableContents"/>
              <w:bidi w:val="0"/>
              <w:spacing w:before="0" w:after="283"/>
              <w:jc w:val="left"/>
            </w:pPr>
            <w:r>
              <w:t> </w:t>
            </w:r>
          </w:p>
        </w:tc>
        <w:tc>
          <w:tcPr>
            <w:tcW w:w="63" w:type="dxa"/>
            <w:tcBorders/>
            <w:shd w:fill="FFFFFF" w:val="clear"/>
            <w:vAlign w:val="center"/>
          </w:tcPr>
          <w:p>
            <w:pPr>
              <w:pStyle w:val="TableContents"/>
              <w:bidi w:val="0"/>
              <w:spacing w:before="0" w:after="283"/>
              <w:jc w:val="left"/>
            </w:pPr>
            <w:r>
              <w:t> </w:t>
            </w:r>
          </w:p>
        </w:tc>
        <w:tc>
          <w:tcPr>
            <w:tcW w:w="220" w:type="dxa"/>
            <w:tcBorders/>
            <w:shd w:fill="FFFFFF" w:val="clear"/>
            <w:vAlign w:val="center"/>
          </w:tcPr>
          <w:p>
            <w:pPr>
              <w:pStyle w:val="TableContents"/>
              <w:bidi w:val="0"/>
              <w:spacing w:before="0" w:after="283"/>
              <w:ind w:left="0" w:right="0" w:hanging="0"/>
              <w:jc w:val="left"/>
            </w:pPr>
            <w:r>
              <w:t> </w:t>
            </w:r>
          </w:p>
        </w:tc>
        <w:tc>
          <w:tcPr>
            <w:tcW w:w="460" w:type="dxa"/>
            <w:tcBorders/>
            <w:shd w:fill="FFFFFF" w:val="cle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255" w:type="dxa"/>
            <w:tcBorders/>
            <w:shd w:fill="FFFFFF" w:val="clear"/>
            <w:vAlign w:val="center"/>
          </w:tcPr>
          <w:p>
            <w:pPr>
              <w:pStyle w:val="TableContents"/>
              <w:bidi w:val="0"/>
              <w:spacing w:before="0" w:after="283"/>
              <w:ind w:left="0" w:right="0" w:hanging="0"/>
              <w:jc w:val="left"/>
            </w:pPr>
            <w:r>
              <w:t> </w:t>
            </w:r>
          </w:p>
        </w:tc>
        <w:tc>
          <w:tcPr>
            <w:tcW w:w="995"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8" w:type="dxa"/>
            <w:tcBorders/>
            <w:shd w:fill="FFFFFF" w:val="clear"/>
            <w:vAlign w:val="center"/>
          </w:tcPr>
          <w:p>
            <w:pPr>
              <w:pStyle w:val="TableContents"/>
              <w:bidi w:val="0"/>
              <w:spacing w:before="0" w:after="283"/>
              <w:ind w:left="0" w:right="0" w:hanging="0"/>
              <w:jc w:val="left"/>
            </w:pPr>
            <w:r>
              <w:t> </w:t>
            </w:r>
          </w:p>
        </w:tc>
        <w:tc>
          <w:tcPr>
            <w:tcW w:w="957"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71" w:type="dxa"/>
            <w:tcBorders/>
            <w:shd w:fill="FFFFFF" w:val="clear"/>
            <w:vAlign w:val="center"/>
          </w:tcPr>
          <w:p>
            <w:pPr>
              <w:pStyle w:val="TableContents"/>
              <w:bidi w:val="0"/>
              <w:spacing w:before="0" w:after="283"/>
              <w:ind w:left="0" w:right="0" w:hanging="0"/>
              <w:jc w:val="left"/>
            </w:pPr>
            <w:r>
              <w:t> </w:t>
            </w:r>
          </w:p>
        </w:tc>
        <w:tc>
          <w:tcPr>
            <w:tcW w:w="9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(1,380</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35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Share-based compensation</w:t>
            </w:r>
          </w:p>
        </w:tc>
        <w:tc>
          <w:tcPr>
            <w:tcW w:w="60" w:type="dxa"/>
            <w:tcBorders/>
            <w:shd w:fill="CCEEFF" w:val="clear"/>
            <w:vAlign w:val="center"/>
          </w:tcPr>
          <w:p>
            <w:pPr>
              <w:pStyle w:val="TableContents"/>
              <w:bidi w:val="0"/>
              <w:spacing w:before="0" w:after="283"/>
              <w:jc w:val="left"/>
            </w:pPr>
            <w:r>
              <w:t> </w:t>
            </w:r>
          </w:p>
        </w:tc>
        <w:tc>
          <w:tcPr>
            <w:tcW w:w="67" w:type="dxa"/>
            <w:tcBorders/>
            <w:shd w:fill="CCEEFF" w:val="clear"/>
            <w:vAlign w:val="center"/>
          </w:tcPr>
          <w:p>
            <w:pPr>
              <w:pStyle w:val="TableContents"/>
              <w:bidi w:val="0"/>
              <w:spacing w:before="0" w:after="283"/>
              <w:ind w:left="0" w:right="0" w:hanging="0"/>
              <w:jc w:val="left"/>
            </w:pPr>
            <w:r>
              <w:t> </w:t>
            </w:r>
          </w:p>
        </w:tc>
        <w:tc>
          <w:tcPr>
            <w:tcW w:w="653" w:type="dxa"/>
            <w:tcBorders/>
            <w:shd w:fill="CCEEFF" w:val="clear"/>
            <w:vAlign w:val="center"/>
          </w:tcPr>
          <w:p>
            <w:pPr>
              <w:pStyle w:val="TableContents"/>
              <w:bidi w:val="0"/>
              <w:spacing w:before="0" w:after="283"/>
              <w:ind w:left="0" w:right="0" w:hanging="0"/>
              <w:jc w:val="right"/>
            </w:pPr>
            <w:r>
              <w:rPr>
                <w:rStyle w:val="Emphasis"/>
              </w:rPr>
              <w:t>—</w:t>
            </w:r>
          </w:p>
        </w:tc>
        <w:tc>
          <w:tcPr>
            <w:tcW w:w="63" w:type="dxa"/>
            <w:tcBorders/>
            <w:shd w:fill="CCEEFF" w:val="clear"/>
            <w:vAlign w:val="center"/>
          </w:tcPr>
          <w:p>
            <w:pPr>
              <w:pStyle w:val="TableContents"/>
              <w:bidi w:val="0"/>
              <w:spacing w:before="0" w:after="283"/>
              <w:jc w:val="left"/>
            </w:pPr>
            <w:r>
              <w:t> </w:t>
            </w:r>
          </w:p>
        </w:tc>
        <w:tc>
          <w:tcPr>
            <w:tcW w:w="63" w:type="dxa"/>
            <w:tcBorders/>
            <w:shd w:fill="CCEEFF" w:val="clear"/>
            <w:vAlign w:val="center"/>
          </w:tcPr>
          <w:p>
            <w:pPr>
              <w:pStyle w:val="TableContents"/>
              <w:bidi w:val="0"/>
              <w:spacing w:before="0" w:after="283"/>
              <w:jc w:val="left"/>
            </w:pPr>
            <w:r>
              <w:t> </w:t>
            </w:r>
          </w:p>
        </w:tc>
        <w:tc>
          <w:tcPr>
            <w:tcW w:w="220" w:type="dxa"/>
            <w:tcBorders/>
            <w:shd w:fill="CCEEFF" w:val="clear"/>
            <w:vAlign w:val="center"/>
          </w:tcPr>
          <w:p>
            <w:pPr>
              <w:pStyle w:val="TableContents"/>
              <w:bidi w:val="0"/>
              <w:spacing w:before="0" w:after="283"/>
              <w:ind w:left="0" w:right="0" w:hanging="0"/>
              <w:jc w:val="left"/>
            </w:pPr>
            <w:r>
              <w:t> </w:t>
            </w:r>
          </w:p>
        </w:tc>
        <w:tc>
          <w:tcPr>
            <w:tcW w:w="460"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3,116</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55" w:type="dxa"/>
            <w:tcBorders/>
            <w:shd w:fill="CCEEFF" w:val="clear"/>
            <w:vAlign w:val="center"/>
          </w:tcPr>
          <w:p>
            <w:pPr>
              <w:pStyle w:val="TableContents"/>
              <w:bidi w:val="0"/>
              <w:spacing w:before="0" w:after="283"/>
              <w:ind w:left="0" w:right="0" w:hanging="0"/>
              <w:jc w:val="left"/>
            </w:pPr>
            <w:r>
              <w:t> </w:t>
            </w:r>
          </w:p>
        </w:tc>
        <w:tc>
          <w:tcPr>
            <w:tcW w:w="995"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58" w:type="dxa"/>
            <w:tcBorders/>
            <w:shd w:fill="CCEEFF" w:val="clear"/>
            <w:vAlign w:val="center"/>
          </w:tcPr>
          <w:p>
            <w:pPr>
              <w:pStyle w:val="TableContents"/>
              <w:bidi w:val="0"/>
              <w:spacing w:before="0" w:after="283"/>
              <w:ind w:left="0" w:right="0" w:hanging="0"/>
              <w:jc w:val="left"/>
            </w:pPr>
            <w:r>
              <w:t> </w:t>
            </w:r>
          </w:p>
        </w:tc>
        <w:tc>
          <w:tcPr>
            <w:tcW w:w="957"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71" w:type="dxa"/>
            <w:tcBorders/>
            <w:shd w:fill="CCEEFF" w:val="clear"/>
            <w:vAlign w:val="center"/>
          </w:tcPr>
          <w:p>
            <w:pPr>
              <w:pStyle w:val="TableContents"/>
              <w:bidi w:val="0"/>
              <w:spacing w:before="0" w:after="283"/>
              <w:ind w:left="0" w:right="0" w:hanging="0"/>
              <w:jc w:val="left"/>
            </w:pPr>
            <w:r>
              <w:t> </w:t>
            </w:r>
          </w:p>
        </w:tc>
        <w:tc>
          <w:tcPr>
            <w:tcW w:w="9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3,116</w:t>
            </w:r>
          </w:p>
        </w:tc>
        <w:tc>
          <w:tcPr>
            <w:tcW w:w="83" w:type="dxa"/>
            <w:tcBorders/>
            <w:shd w:fill="CCEEFF" w:val="clear"/>
            <w:vAlign w:val="center"/>
          </w:tcPr>
          <w:p>
            <w:pPr>
              <w:pStyle w:val="TableContents"/>
              <w:bidi w:val="0"/>
              <w:spacing w:before="0" w:after="283"/>
              <w:jc w:val="left"/>
            </w:pPr>
            <w:r>
              <w:t> </w:t>
            </w:r>
          </w:p>
        </w:tc>
      </w:tr>
      <w:tr>
        <w:tc>
          <w:tcPr>
            <w:tcW w:w="35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Public offering of common stock, net</w:t>
            </w:r>
          </w:p>
        </w:tc>
        <w:tc>
          <w:tcPr>
            <w:tcW w:w="60" w:type="dxa"/>
            <w:tcBorders/>
            <w:shd w:fill="FFFFFF" w:val="clear"/>
            <w:vAlign w:val="center"/>
          </w:tcPr>
          <w:p>
            <w:pPr>
              <w:pStyle w:val="TableContents"/>
              <w:bidi w:val="0"/>
              <w:spacing w:before="0" w:after="283"/>
              <w:jc w:val="left"/>
            </w:pPr>
            <w:r>
              <w:t> </w:t>
            </w:r>
          </w:p>
        </w:tc>
        <w:tc>
          <w:tcPr>
            <w:tcW w:w="67" w:type="dxa"/>
            <w:tcBorders/>
            <w:shd w:fill="FFFFFF" w:val="clear"/>
            <w:vAlign w:val="center"/>
          </w:tcPr>
          <w:p>
            <w:pPr>
              <w:pStyle w:val="TableContents"/>
              <w:bidi w:val="0"/>
              <w:spacing w:before="0" w:after="283"/>
              <w:ind w:left="0" w:right="0" w:hanging="0"/>
              <w:jc w:val="left"/>
            </w:pPr>
            <w:r>
              <w:t> </w:t>
            </w:r>
          </w:p>
        </w:tc>
        <w:tc>
          <w:tcPr>
            <w:tcW w:w="6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5,680</w:t>
            </w:r>
          </w:p>
        </w:tc>
        <w:tc>
          <w:tcPr>
            <w:tcW w:w="63" w:type="dxa"/>
            <w:tcBorders/>
            <w:shd w:fill="FFFFFF" w:val="clear"/>
            <w:vAlign w:val="center"/>
          </w:tcPr>
          <w:p>
            <w:pPr>
              <w:pStyle w:val="TableContents"/>
              <w:bidi w:val="0"/>
              <w:spacing w:before="0" w:after="283"/>
              <w:jc w:val="left"/>
            </w:pPr>
            <w:r>
              <w:t> </w:t>
            </w:r>
          </w:p>
        </w:tc>
        <w:tc>
          <w:tcPr>
            <w:tcW w:w="63" w:type="dxa"/>
            <w:tcBorders/>
            <w:shd w:fill="FFFFFF" w:val="clear"/>
            <w:vAlign w:val="center"/>
          </w:tcPr>
          <w:p>
            <w:pPr>
              <w:pStyle w:val="TableContents"/>
              <w:bidi w:val="0"/>
              <w:spacing w:before="0" w:after="283"/>
              <w:jc w:val="left"/>
            </w:pPr>
            <w:r>
              <w:t> </w:t>
            </w:r>
          </w:p>
        </w:tc>
        <w:tc>
          <w:tcPr>
            <w:tcW w:w="220" w:type="dxa"/>
            <w:tcBorders/>
            <w:shd w:fill="FFFFFF" w:val="clear"/>
            <w:vAlign w:val="center"/>
          </w:tcPr>
          <w:p>
            <w:pPr>
              <w:pStyle w:val="TableContents"/>
              <w:bidi w:val="0"/>
              <w:spacing w:before="0" w:after="283"/>
              <w:ind w:left="0" w:right="0" w:hanging="0"/>
              <w:jc w:val="left"/>
            </w:pPr>
            <w:r>
              <w:t> </w:t>
            </w:r>
          </w:p>
        </w:tc>
        <w:tc>
          <w:tcPr>
            <w:tcW w:w="4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146,785</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55" w:type="dxa"/>
            <w:tcBorders/>
            <w:shd w:fill="FFFFFF" w:val="clear"/>
            <w:vAlign w:val="center"/>
          </w:tcPr>
          <w:p>
            <w:pPr>
              <w:pStyle w:val="TableContents"/>
              <w:bidi w:val="0"/>
              <w:spacing w:before="0" w:after="283"/>
              <w:ind w:left="0" w:right="0" w:hanging="0"/>
              <w:jc w:val="left"/>
            </w:pPr>
            <w:r>
              <w:t> </w:t>
            </w:r>
          </w:p>
        </w:tc>
        <w:tc>
          <w:tcPr>
            <w:tcW w:w="995"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8" w:type="dxa"/>
            <w:tcBorders/>
            <w:shd w:fill="FFFFFF" w:val="clear"/>
            <w:vAlign w:val="center"/>
          </w:tcPr>
          <w:p>
            <w:pPr>
              <w:pStyle w:val="TableContents"/>
              <w:bidi w:val="0"/>
              <w:spacing w:before="0" w:after="283"/>
              <w:ind w:left="0" w:right="0" w:hanging="0"/>
              <w:jc w:val="left"/>
            </w:pPr>
            <w:r>
              <w:t> </w:t>
            </w:r>
          </w:p>
        </w:tc>
        <w:tc>
          <w:tcPr>
            <w:tcW w:w="957"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71" w:type="dxa"/>
            <w:tcBorders/>
            <w:shd w:fill="FFFFFF" w:val="clear"/>
            <w:vAlign w:val="center"/>
          </w:tcPr>
          <w:p>
            <w:pPr>
              <w:pStyle w:val="TableContents"/>
              <w:bidi w:val="0"/>
              <w:spacing w:before="0" w:after="283"/>
              <w:ind w:left="0" w:right="0" w:hanging="0"/>
              <w:jc w:val="left"/>
            </w:pPr>
            <w:r>
              <w:t> </w:t>
            </w:r>
          </w:p>
        </w:tc>
        <w:tc>
          <w:tcPr>
            <w:tcW w:w="9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146,791</w:t>
            </w:r>
          </w:p>
        </w:tc>
        <w:tc>
          <w:tcPr>
            <w:tcW w:w="83" w:type="dxa"/>
            <w:tcBorders/>
            <w:shd w:fill="FFFFFF" w:val="clear"/>
            <w:vAlign w:val="center"/>
          </w:tcPr>
          <w:p>
            <w:pPr>
              <w:pStyle w:val="TableContents"/>
              <w:bidi w:val="0"/>
              <w:spacing w:before="0" w:after="283"/>
              <w:jc w:val="left"/>
            </w:pPr>
            <w:r>
              <w:t> </w:t>
            </w:r>
          </w:p>
        </w:tc>
      </w:tr>
      <w:tr>
        <w:tc>
          <w:tcPr>
            <w:tcW w:w="35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Warrants contra revenue</w:t>
            </w:r>
          </w:p>
        </w:tc>
        <w:tc>
          <w:tcPr>
            <w:tcW w:w="60" w:type="dxa"/>
            <w:tcBorders/>
            <w:shd w:fill="CCEEFF" w:val="clear"/>
            <w:vAlign w:val="center"/>
          </w:tcPr>
          <w:p>
            <w:pPr>
              <w:pStyle w:val="TableContents"/>
              <w:bidi w:val="0"/>
              <w:spacing w:before="0" w:after="283"/>
              <w:jc w:val="left"/>
            </w:pPr>
            <w:r>
              <w:t> </w:t>
            </w:r>
          </w:p>
        </w:tc>
        <w:tc>
          <w:tcPr>
            <w:tcW w:w="67" w:type="dxa"/>
            <w:tcBorders/>
            <w:shd w:fill="CCEEFF" w:val="clear"/>
            <w:vAlign w:val="center"/>
          </w:tcPr>
          <w:p>
            <w:pPr>
              <w:pStyle w:val="TableContents"/>
              <w:bidi w:val="0"/>
              <w:spacing w:before="0" w:after="283"/>
              <w:jc w:val="left"/>
            </w:pPr>
            <w:r>
              <w:t> </w:t>
            </w:r>
          </w:p>
        </w:tc>
        <w:tc>
          <w:tcPr>
            <w:tcW w:w="653" w:type="dxa"/>
            <w:tcBorders/>
            <w:shd w:fill="CCEEFF" w:val="clear"/>
            <w:vAlign w:val="center"/>
          </w:tcPr>
          <w:p>
            <w:pPr>
              <w:pStyle w:val="TableContents"/>
              <w:bidi w:val="0"/>
              <w:spacing w:before="0" w:after="283"/>
              <w:jc w:val="right"/>
            </w:pPr>
            <w:r>
              <w:rPr>
                <w:rStyle w:val="Emphasis"/>
              </w:rPr>
              <w:t>—</w:t>
            </w:r>
          </w:p>
        </w:tc>
        <w:tc>
          <w:tcPr>
            <w:tcW w:w="63" w:type="dxa"/>
            <w:tcBorders/>
            <w:shd w:fill="CCEEFF" w:val="clear"/>
            <w:vAlign w:val="center"/>
          </w:tcPr>
          <w:p>
            <w:pPr>
              <w:pStyle w:val="TableContents"/>
              <w:bidi w:val="0"/>
              <w:spacing w:before="0" w:after="283"/>
              <w:jc w:val="left"/>
            </w:pPr>
            <w:r>
              <w:t> </w:t>
            </w:r>
          </w:p>
        </w:tc>
        <w:tc>
          <w:tcPr>
            <w:tcW w:w="63" w:type="dxa"/>
            <w:tcBorders/>
            <w:shd w:fill="CCEEFF" w:val="clear"/>
            <w:vAlign w:val="center"/>
          </w:tcPr>
          <w:p>
            <w:pPr>
              <w:pStyle w:val="TableContents"/>
              <w:bidi w:val="0"/>
              <w:spacing w:before="0" w:after="283"/>
              <w:jc w:val="left"/>
            </w:pPr>
            <w:r>
              <w:t> </w:t>
            </w:r>
          </w:p>
        </w:tc>
        <w:tc>
          <w:tcPr>
            <w:tcW w:w="220" w:type="dxa"/>
            <w:tcBorders/>
            <w:shd w:fill="CCEEFF" w:val="clear"/>
            <w:vAlign w:val="center"/>
          </w:tcPr>
          <w:p>
            <w:pPr>
              <w:pStyle w:val="TableContents"/>
              <w:bidi w:val="0"/>
              <w:spacing w:before="0" w:after="283"/>
              <w:jc w:val="left"/>
            </w:pPr>
            <w:r>
              <w:t> </w:t>
            </w:r>
          </w:p>
        </w:tc>
        <w:tc>
          <w:tcPr>
            <w:tcW w:w="460" w:type="dxa"/>
            <w:tcBorders/>
            <w:shd w:fill="CCEEFF" w:val="clear"/>
            <w:vAlign w:val="center"/>
          </w:tcPr>
          <w:p>
            <w:pPr>
              <w:pStyle w:val="TableContents"/>
              <w:bidi w:val="0"/>
              <w:spacing w:before="0" w:after="283"/>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55" w:type="dxa"/>
            <w:tcBorders/>
            <w:shd w:fill="CCEEFF" w:val="clear"/>
            <w:vAlign w:val="center"/>
          </w:tcPr>
          <w:p>
            <w:pPr>
              <w:pStyle w:val="TableContents"/>
              <w:bidi w:val="0"/>
              <w:spacing w:before="0" w:after="283"/>
              <w:jc w:val="left"/>
            </w:pPr>
            <w:r>
              <w:t> </w:t>
            </w:r>
          </w:p>
        </w:tc>
        <w:tc>
          <w:tcPr>
            <w:tcW w:w="995" w:type="dxa"/>
            <w:tcBorders/>
            <w:shd w:fill="CCEEFF" w:val="clear"/>
            <w:vAlign w:val="center"/>
          </w:tcPr>
          <w:p>
            <w:pPr>
              <w:pStyle w:val="TableContents"/>
              <w:bidi w:val="0"/>
              <w:spacing w:before="0" w:after="283"/>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58" w:type="dxa"/>
            <w:tcBorders/>
            <w:shd w:fill="CCEEFF" w:val="clear"/>
            <w:vAlign w:val="center"/>
          </w:tcPr>
          <w:p>
            <w:pPr>
              <w:pStyle w:val="TableContents"/>
              <w:bidi w:val="0"/>
              <w:spacing w:before="0" w:after="283"/>
              <w:jc w:val="left"/>
            </w:pPr>
            <w:r>
              <w:t> </w:t>
            </w:r>
          </w:p>
        </w:tc>
        <w:tc>
          <w:tcPr>
            <w:tcW w:w="957" w:type="dxa"/>
            <w:tcBorders/>
            <w:shd w:fill="CCEEFF" w:val="clear"/>
            <w:vAlign w:val="center"/>
          </w:tcPr>
          <w:p>
            <w:pPr>
              <w:pStyle w:val="TableContents"/>
              <w:bidi w:val="0"/>
              <w:spacing w:before="0" w:after="283"/>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71" w:type="dxa"/>
            <w:tcBorders/>
            <w:shd w:fill="CCEEFF" w:val="clear"/>
            <w:vAlign w:val="center"/>
          </w:tcPr>
          <w:p>
            <w:pPr>
              <w:pStyle w:val="TableContents"/>
              <w:bidi w:val="0"/>
              <w:spacing w:before="0" w:after="283"/>
              <w:jc w:val="left"/>
            </w:pPr>
            <w:r>
              <w:t> </w:t>
            </w:r>
          </w:p>
        </w:tc>
        <w:tc>
          <w:tcPr>
            <w:tcW w:w="9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w:t>
            </w:r>
          </w:p>
        </w:tc>
        <w:tc>
          <w:tcPr>
            <w:tcW w:w="83" w:type="dxa"/>
            <w:tcBorders/>
            <w:shd w:fill="CCEEFF" w:val="clear"/>
            <w:vAlign w:val="center"/>
          </w:tcPr>
          <w:p>
            <w:pPr>
              <w:pStyle w:val="TableContents"/>
              <w:bidi w:val="0"/>
              <w:spacing w:before="0" w:after="283"/>
              <w:jc w:val="left"/>
            </w:pPr>
            <w:r>
              <w:t> </w:t>
            </w:r>
          </w:p>
        </w:tc>
      </w:tr>
      <w:tr>
        <w:tc>
          <w:tcPr>
            <w:tcW w:w="35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Equity exchanged to shares</w:t>
            </w:r>
          </w:p>
        </w:tc>
        <w:tc>
          <w:tcPr>
            <w:tcW w:w="60" w:type="dxa"/>
            <w:tcBorders/>
            <w:shd w:fill="FFFFFF" w:val="clear"/>
            <w:vAlign w:val="center"/>
          </w:tcPr>
          <w:p>
            <w:pPr>
              <w:pStyle w:val="TableContents"/>
              <w:bidi w:val="0"/>
              <w:spacing w:before="0" w:after="283"/>
              <w:jc w:val="left"/>
            </w:pPr>
            <w:r>
              <w:t> </w:t>
            </w:r>
          </w:p>
        </w:tc>
        <w:tc>
          <w:tcPr>
            <w:tcW w:w="67" w:type="dxa"/>
            <w:tcBorders/>
            <w:shd w:fill="FFFFFF" w:val="clear"/>
            <w:vAlign w:val="center"/>
          </w:tcPr>
          <w:p>
            <w:pPr>
              <w:pStyle w:val="TableContents"/>
              <w:bidi w:val="0"/>
              <w:spacing w:before="0" w:after="283"/>
              <w:jc w:val="left"/>
            </w:pPr>
            <w:r>
              <w:t> </w:t>
            </w:r>
          </w:p>
        </w:tc>
        <w:tc>
          <w:tcPr>
            <w:tcW w:w="65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239</w:t>
            </w:r>
          </w:p>
        </w:tc>
        <w:tc>
          <w:tcPr>
            <w:tcW w:w="63" w:type="dxa"/>
            <w:tcBorders/>
            <w:shd w:fill="FFFFFF" w:val="clear"/>
            <w:vAlign w:val="center"/>
          </w:tcPr>
          <w:p>
            <w:pPr>
              <w:pStyle w:val="TableContents"/>
              <w:bidi w:val="0"/>
              <w:spacing w:before="0" w:after="283"/>
              <w:jc w:val="left"/>
            </w:pPr>
            <w:r>
              <w:t> </w:t>
            </w:r>
          </w:p>
        </w:tc>
        <w:tc>
          <w:tcPr>
            <w:tcW w:w="63" w:type="dxa"/>
            <w:tcBorders/>
            <w:shd w:fill="FFFFFF" w:val="clear"/>
            <w:vAlign w:val="center"/>
          </w:tcPr>
          <w:p>
            <w:pPr>
              <w:pStyle w:val="TableContents"/>
              <w:bidi w:val="0"/>
              <w:spacing w:before="0" w:after="283"/>
              <w:jc w:val="left"/>
            </w:pPr>
            <w:r>
              <w:t> </w:t>
            </w:r>
          </w:p>
        </w:tc>
        <w:tc>
          <w:tcPr>
            <w:tcW w:w="220" w:type="dxa"/>
            <w:tcBorders/>
            <w:shd w:fill="FFFFFF" w:val="clear"/>
            <w:vAlign w:val="center"/>
          </w:tcPr>
          <w:p>
            <w:pPr>
              <w:pStyle w:val="TableContents"/>
              <w:bidi w:val="0"/>
              <w:spacing w:before="0" w:after="283"/>
              <w:jc w:val="left"/>
            </w:pPr>
            <w:r>
              <w:t> </w:t>
            </w:r>
          </w:p>
        </w:tc>
        <w:tc>
          <w:tcPr>
            <w:tcW w:w="460" w:type="dxa"/>
            <w:tcBorders/>
            <w:shd w:fill="FFFFFF" w:val="clear"/>
            <w:vAlign w:val="center"/>
          </w:tcPr>
          <w:p>
            <w:pPr>
              <w:pStyle w:val="TableContents"/>
              <w:bidi w:val="0"/>
              <w:spacing w:before="0" w:after="283"/>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3,500</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55" w:type="dxa"/>
            <w:tcBorders/>
            <w:shd w:fill="FFFFFF" w:val="clear"/>
            <w:vAlign w:val="center"/>
          </w:tcPr>
          <w:p>
            <w:pPr>
              <w:pStyle w:val="TableContents"/>
              <w:bidi w:val="0"/>
              <w:spacing w:before="0" w:after="283"/>
              <w:jc w:val="left"/>
            </w:pPr>
            <w:r>
              <w:t> </w:t>
            </w:r>
          </w:p>
        </w:tc>
        <w:tc>
          <w:tcPr>
            <w:tcW w:w="995" w:type="dxa"/>
            <w:tcBorders/>
            <w:shd w:fill="FFFFFF" w:val="clear"/>
            <w:vAlign w:val="center"/>
          </w:tcPr>
          <w:p>
            <w:pPr>
              <w:pStyle w:val="TableContents"/>
              <w:bidi w:val="0"/>
              <w:spacing w:before="0" w:after="283"/>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8" w:type="dxa"/>
            <w:tcBorders/>
            <w:shd w:fill="FFFFFF" w:val="clear"/>
            <w:vAlign w:val="center"/>
          </w:tcPr>
          <w:p>
            <w:pPr>
              <w:pStyle w:val="TableContents"/>
              <w:bidi w:val="0"/>
              <w:spacing w:before="0" w:after="283"/>
              <w:jc w:val="left"/>
            </w:pPr>
            <w:r>
              <w:t> </w:t>
            </w:r>
          </w:p>
        </w:tc>
        <w:tc>
          <w:tcPr>
            <w:tcW w:w="957" w:type="dxa"/>
            <w:tcBorders/>
            <w:shd w:fill="FFFFFF" w:val="clear"/>
            <w:vAlign w:val="center"/>
          </w:tcPr>
          <w:p>
            <w:pPr>
              <w:pStyle w:val="TableContents"/>
              <w:bidi w:val="0"/>
              <w:spacing w:before="0" w:after="283"/>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71" w:type="dxa"/>
            <w:tcBorders/>
            <w:shd w:fill="FFFFFF" w:val="clear"/>
            <w:vAlign w:val="center"/>
          </w:tcPr>
          <w:p>
            <w:pPr>
              <w:pStyle w:val="TableContents"/>
              <w:bidi w:val="0"/>
              <w:spacing w:before="0" w:after="283"/>
              <w:jc w:val="left"/>
            </w:pPr>
            <w:r>
              <w:t> </w:t>
            </w:r>
          </w:p>
        </w:tc>
        <w:tc>
          <w:tcPr>
            <w:tcW w:w="96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3,500</w:t>
            </w:r>
          </w:p>
        </w:tc>
        <w:tc>
          <w:tcPr>
            <w:tcW w:w="83" w:type="dxa"/>
            <w:tcBorders/>
            <w:shd w:fill="FFFFFF" w:val="clear"/>
            <w:vAlign w:val="center"/>
          </w:tcPr>
          <w:p>
            <w:pPr>
              <w:pStyle w:val="TableContents"/>
              <w:bidi w:val="0"/>
              <w:spacing w:before="0" w:after="283"/>
              <w:jc w:val="left"/>
            </w:pPr>
            <w:r>
              <w:t> </w:t>
            </w:r>
          </w:p>
        </w:tc>
      </w:tr>
      <w:tr>
        <w:tc>
          <w:tcPr>
            <w:tcW w:w="35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translation adjustment</w:t>
            </w:r>
          </w:p>
        </w:tc>
        <w:tc>
          <w:tcPr>
            <w:tcW w:w="60" w:type="dxa"/>
            <w:tcBorders/>
            <w:shd w:fill="CCEEFF" w:val="clear"/>
            <w:vAlign w:val="center"/>
          </w:tcPr>
          <w:p>
            <w:pPr>
              <w:pStyle w:val="TableContents"/>
              <w:bidi w:val="0"/>
              <w:spacing w:before="0" w:after="283"/>
              <w:jc w:val="left"/>
            </w:pPr>
            <w:r>
              <w:t> </w:t>
            </w:r>
          </w:p>
        </w:tc>
        <w:tc>
          <w:tcPr>
            <w:tcW w:w="67" w:type="dxa"/>
            <w:tcBorders/>
            <w:shd w:fill="CCEEFF" w:val="clear"/>
            <w:vAlign w:val="center"/>
          </w:tcPr>
          <w:p>
            <w:pPr>
              <w:pStyle w:val="TableContents"/>
              <w:bidi w:val="0"/>
              <w:spacing w:before="0" w:after="283"/>
              <w:ind w:left="0" w:right="0" w:hanging="0"/>
              <w:jc w:val="left"/>
            </w:pPr>
            <w:r>
              <w:t> </w:t>
            </w:r>
          </w:p>
        </w:tc>
        <w:tc>
          <w:tcPr>
            <w:tcW w:w="653" w:type="dxa"/>
            <w:tcBorders/>
            <w:shd w:fill="CCEEFF" w:val="clear"/>
            <w:vAlign w:val="center"/>
          </w:tcPr>
          <w:p>
            <w:pPr>
              <w:pStyle w:val="TableContents"/>
              <w:bidi w:val="0"/>
              <w:spacing w:before="0" w:after="283"/>
              <w:ind w:left="0" w:right="0" w:hanging="0"/>
              <w:jc w:val="right"/>
            </w:pPr>
            <w:r>
              <w:rPr>
                <w:rStyle w:val="Emphasis"/>
              </w:rPr>
              <w:t>—</w:t>
            </w:r>
          </w:p>
        </w:tc>
        <w:tc>
          <w:tcPr>
            <w:tcW w:w="63" w:type="dxa"/>
            <w:tcBorders/>
            <w:shd w:fill="CCEEFF" w:val="clear"/>
            <w:vAlign w:val="center"/>
          </w:tcPr>
          <w:p>
            <w:pPr>
              <w:pStyle w:val="TableContents"/>
              <w:bidi w:val="0"/>
              <w:spacing w:before="0" w:after="283"/>
              <w:jc w:val="left"/>
            </w:pPr>
            <w:r>
              <w:t> </w:t>
            </w:r>
          </w:p>
        </w:tc>
        <w:tc>
          <w:tcPr>
            <w:tcW w:w="63" w:type="dxa"/>
            <w:tcBorders/>
            <w:shd w:fill="CCEEFF" w:val="clear"/>
            <w:vAlign w:val="center"/>
          </w:tcPr>
          <w:p>
            <w:pPr>
              <w:pStyle w:val="TableContents"/>
              <w:bidi w:val="0"/>
              <w:spacing w:before="0" w:after="283"/>
              <w:jc w:val="left"/>
            </w:pPr>
            <w:r>
              <w:t> </w:t>
            </w:r>
          </w:p>
        </w:tc>
        <w:tc>
          <w:tcPr>
            <w:tcW w:w="220" w:type="dxa"/>
            <w:tcBorders/>
            <w:shd w:fill="CCEEFF" w:val="clear"/>
            <w:vAlign w:val="center"/>
          </w:tcPr>
          <w:p>
            <w:pPr>
              <w:pStyle w:val="TableContents"/>
              <w:bidi w:val="0"/>
              <w:spacing w:before="0" w:after="283"/>
              <w:ind w:left="0" w:right="0" w:hanging="0"/>
              <w:jc w:val="left"/>
            </w:pPr>
            <w:r>
              <w:t> </w:t>
            </w:r>
          </w:p>
        </w:tc>
        <w:tc>
          <w:tcPr>
            <w:tcW w:w="460"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845" w:type="dxa"/>
            <w:tcBorders/>
            <w:shd w:fill="CCEEFF" w:val="clear"/>
            <w:vAlign w:val="center"/>
          </w:tcPr>
          <w:p>
            <w:pPr>
              <w:pStyle w:val="TableContents"/>
              <w:bidi w:val="0"/>
              <w:spacing w:before="0" w:after="283"/>
              <w:ind w:left="0" w:right="0" w:hanging="0"/>
              <w:jc w:val="right"/>
            </w:pPr>
            <w:r>
              <w:rPr>
                <w:rStyle w:val="Emphasis"/>
              </w:rP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55" w:type="dxa"/>
            <w:tcBorders/>
            <w:shd w:fill="CCEEFF" w:val="clear"/>
            <w:vAlign w:val="center"/>
          </w:tcPr>
          <w:p>
            <w:pPr>
              <w:pStyle w:val="TableContents"/>
              <w:bidi w:val="0"/>
              <w:spacing w:before="0" w:after="283"/>
              <w:ind w:left="0" w:right="0" w:hanging="0"/>
              <w:jc w:val="left"/>
            </w:pPr>
            <w:r>
              <w:t> </w:t>
            </w:r>
          </w:p>
        </w:tc>
        <w:tc>
          <w:tcPr>
            <w:tcW w:w="9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158" w:type="dxa"/>
            <w:tcBorders/>
            <w:shd w:fill="CCEEFF" w:val="clear"/>
            <w:vAlign w:val="center"/>
          </w:tcPr>
          <w:p>
            <w:pPr>
              <w:pStyle w:val="TableContents"/>
              <w:bidi w:val="0"/>
              <w:spacing w:before="0" w:after="283"/>
              <w:ind w:left="0" w:right="0" w:hanging="0"/>
              <w:jc w:val="left"/>
            </w:pPr>
            <w:r>
              <w:t> </w:t>
            </w:r>
          </w:p>
        </w:tc>
        <w:tc>
          <w:tcPr>
            <w:tcW w:w="957"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71" w:type="dxa"/>
            <w:tcBorders/>
            <w:shd w:fill="CCEEFF" w:val="clear"/>
            <w:vAlign w:val="center"/>
          </w:tcPr>
          <w:p>
            <w:pPr>
              <w:pStyle w:val="TableContents"/>
              <w:bidi w:val="0"/>
              <w:spacing w:before="0" w:after="283"/>
              <w:ind w:left="0" w:right="0" w:hanging="0"/>
              <w:jc w:val="left"/>
            </w:pPr>
            <w:r>
              <w:t> </w:t>
            </w:r>
          </w:p>
        </w:tc>
        <w:tc>
          <w:tcPr>
            <w:tcW w:w="9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35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jc w:val="left"/>
            </w:pPr>
            <w:r>
              <w:t> </w:t>
            </w:r>
          </w:p>
        </w:tc>
        <w:tc>
          <w:tcPr>
            <w:tcW w:w="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65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pPr>
            <w:r>
              <w:rPr>
                <w:rStyle w:val="Emphasis"/>
              </w:rPr>
              <w:t>—</w:t>
            </w:r>
          </w:p>
        </w:tc>
        <w:tc>
          <w:tcPr>
            <w:tcW w:w="63" w:type="dxa"/>
            <w:tcBorders/>
            <w:shd w:fill="FFFFFF" w:val="clear"/>
            <w:vAlign w:val="center"/>
          </w:tcPr>
          <w:p>
            <w:pPr>
              <w:pStyle w:val="TableContents"/>
              <w:bidi w:val="0"/>
              <w:spacing w:before="0" w:after="283"/>
              <w:jc w:val="left"/>
            </w:pPr>
            <w:r>
              <w:t> </w:t>
            </w:r>
          </w:p>
        </w:tc>
        <w:tc>
          <w:tcPr>
            <w:tcW w:w="63" w:type="dxa"/>
            <w:tcBorders/>
            <w:shd w:fill="FFFFFF" w:val="clear"/>
            <w:vAlign w:val="center"/>
          </w:tcPr>
          <w:p>
            <w:pPr>
              <w:pStyle w:val="TableContents"/>
              <w:bidi w:val="0"/>
              <w:spacing w:before="0" w:after="283"/>
              <w:jc w:val="left"/>
            </w:pPr>
            <w:r>
              <w:t> </w:t>
            </w:r>
          </w:p>
        </w:tc>
        <w:tc>
          <w:tcPr>
            <w:tcW w:w="22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4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pPr>
            <w:r>
              <w:rPr>
                <w:rStyle w:val="Emphasis"/>
              </w:rP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5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9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95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(17,936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9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(17,936</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35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30, 2025</w:t>
            </w:r>
          </w:p>
        </w:tc>
        <w:tc>
          <w:tcPr>
            <w:tcW w:w="60" w:type="dxa"/>
            <w:tcBorders/>
            <w:shd w:fill="CCEEFF" w:val="clear"/>
            <w:vAlign w:val="center"/>
          </w:tcPr>
          <w:p>
            <w:pPr>
              <w:pStyle w:val="TableContents"/>
              <w:bidi w:val="0"/>
              <w:spacing w:before="0" w:after="283"/>
              <w:jc w:val="left"/>
            </w:pPr>
            <w:r>
              <w:t> </w:t>
            </w:r>
          </w:p>
        </w:tc>
        <w:tc>
          <w:tcPr>
            <w:tcW w:w="6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pPr>
            <w:r>
              <w:t> </w:t>
            </w:r>
          </w:p>
        </w:tc>
        <w:tc>
          <w:tcPr>
            <w:tcW w:w="65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68,065</w:t>
            </w:r>
          </w:p>
        </w:tc>
        <w:tc>
          <w:tcPr>
            <w:tcW w:w="63" w:type="dxa"/>
            <w:tcBorders/>
            <w:shd w:fill="CCEEFF" w:val="clear"/>
            <w:vAlign w:val="center"/>
          </w:tcPr>
          <w:p>
            <w:pPr>
              <w:pStyle w:val="TableContents"/>
              <w:bidi w:val="0"/>
              <w:spacing w:before="0" w:after="283"/>
              <w:jc w:val="left"/>
            </w:pPr>
            <w:r>
              <w:t> </w:t>
            </w:r>
          </w:p>
        </w:tc>
        <w:tc>
          <w:tcPr>
            <w:tcW w:w="63" w:type="dxa"/>
            <w:tcBorders/>
            <w:shd w:fill="CCEEFF" w:val="clear"/>
            <w:vAlign w:val="center"/>
          </w:tcPr>
          <w:p>
            <w:pPr>
              <w:pStyle w:val="TableContents"/>
              <w:bidi w:val="0"/>
              <w:spacing w:before="0" w:after="283"/>
              <w:ind w:left="0" w:right="0" w:hanging="0"/>
              <w:jc w:val="left"/>
            </w:pPr>
            <w:r>
              <w:t> </w:t>
            </w:r>
          </w:p>
        </w:tc>
        <w:tc>
          <w:tcPr>
            <w:tcW w:w="22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6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1,045,986</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25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1,088</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5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(488,057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pPr>
            <w:r>
              <w:t> </w:t>
            </w:r>
          </w:p>
        </w:tc>
        <w:tc>
          <w:tcPr>
            <w:tcW w:w="17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559,085</w:t>
            </w:r>
          </w:p>
        </w:tc>
        <w:tc>
          <w:tcPr>
            <w:tcW w:w="83" w:type="dxa"/>
            <w:tcBorders/>
            <w:shd w:fill="CCEEFF" w:val="clear"/>
            <w:vAlign w:val="center"/>
          </w:tcPr>
          <w:p>
            <w:pPr>
              <w:pStyle w:val="TableContents"/>
              <w:bidi w:val="0"/>
              <w:spacing w:before="0" w:after="283"/>
              <w:jc w:val="left"/>
            </w:pPr>
            <w:r>
              <w:t> </w:t>
            </w:r>
          </w:p>
        </w:tc>
      </w:tr>
    </w:tbl>
    <w:p>
      <w:pPr>
        <w:pStyle w:val="TextBody"/>
        <w:bidi w:val="0"/>
        <w:spacing w:before="0" w:after="0"/>
        <w:ind w:left="0" w:right="0" w:hanging="0"/>
        <w:jc w:val="left"/>
      </w:pPr>
      <w: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 </w:t>
      </w:r>
    </w:p>
    <w:p>
      <w:pPr>
        <w:pStyle w:val="HorizontalLine"/>
        <w:pBdr>
          <w:bottom w:val="double" w:sz="2" w:space="0" w:color="808080"/>
        </w:pBdr>
        <w:bidi w:val="0"/>
        <w:spacing w:before="0" w:after="283"/>
        <w:jc w:val="left"/>
      </w:pPr>
      <w:r/>
    </w:p>
    <w:p>
      <w:pPr>
        <w:pStyle w:val="TextBody"/>
        <w:bidi w:val="0"/>
        <w:jc w:val="left"/>
      </w:pPr>
      <w:hyperlink w:anchor="toc">
        <w:r>
          <w:rPr>
            <w:rStyle w:val="InternetLink"/>
            <w:rFonts w:ascii="Times New Roman;Times;serif" w:hAnsi="Times New Roman;Times;serif"/>
            <w:sz w:val="20"/>
          </w:rPr>
          <w:t>Table of Contents</w:t>
        </w:r>
      </w:hyperlink>
      <w:r>
        <w:t xml:space="preserve"> </w:t>
      </w:r>
    </w:p>
    <w:p>
      <w:pPr>
        <w:pStyle w:val="TextBody"/>
        <w:bidi w:val="0"/>
        <w:spacing w:before="0" w:after="0"/>
        <w:ind w:left="0" w:right="0" w:hanging="0"/>
        <w:jc w:val="left"/>
      </w:pPr>
      <w:r>
        <w:t> </w:t>
      </w:r>
    </w:p>
    <w:tbl>
      <w:tblPr>
        <w:tblW w:w="10205" w:type="dxa"/>
        <w:jc w:val="left"/>
        <w:tblInd w:w="0" w:type="dxa"/>
        <w:tblLayout w:type="fixed"/>
        <w:tblCellMar>
          <w:top w:w="0" w:type="dxa"/>
          <w:left w:w="0" w:type="dxa"/>
          <w:bottom w:w="0" w:type="dxa"/>
          <w:right w:w="0" w:type="dxa"/>
        </w:tblCellMar>
      </w:tblPr>
      <w:tblGrid>
        <w:gridCol w:w="3530"/>
        <w:gridCol w:w="60"/>
        <w:gridCol w:w="67"/>
        <w:gridCol w:w="653"/>
        <w:gridCol w:w="63"/>
        <w:gridCol w:w="63"/>
        <w:gridCol w:w="220"/>
        <w:gridCol w:w="460"/>
        <w:gridCol w:w="60"/>
        <w:gridCol w:w="60"/>
        <w:gridCol w:w="125"/>
        <w:gridCol w:w="845"/>
        <w:gridCol w:w="80"/>
        <w:gridCol w:w="60"/>
        <w:gridCol w:w="255"/>
        <w:gridCol w:w="995"/>
        <w:gridCol w:w="80"/>
        <w:gridCol w:w="60"/>
        <w:gridCol w:w="158"/>
        <w:gridCol w:w="957"/>
        <w:gridCol w:w="80"/>
        <w:gridCol w:w="60"/>
        <w:gridCol w:w="144"/>
        <w:gridCol w:w="987"/>
        <w:gridCol w:w="83"/>
      </w:tblGrid>
      <w:tr>
        <w:tc>
          <w:tcPr>
            <w:tcW w:w="353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7" w:type="dxa"/>
            <w:tcBorders/>
            <w:shd w:fill="FFFFFF" w:val="clear"/>
            <w:vAlign w:val="center"/>
          </w:tcPr>
          <w:p>
            <w:pPr>
              <w:pStyle w:val="TableContents"/>
              <w:bidi w:val="0"/>
              <w:spacing w:before="0" w:after="283"/>
              <w:jc w:val="left"/>
            </w:pPr>
            <w:r>
              <w:t> </w:t>
            </w:r>
          </w:p>
        </w:tc>
        <w:tc>
          <w:tcPr>
            <w:tcW w:w="653" w:type="dxa"/>
            <w:tcBorders/>
            <w:shd w:fill="FFFFFF" w:val="clear"/>
            <w:vAlign w:val="center"/>
          </w:tcPr>
          <w:p>
            <w:pPr>
              <w:pStyle w:val="TableContents"/>
              <w:bidi w:val="0"/>
              <w:spacing w:before="0" w:after="283"/>
              <w:jc w:val="center"/>
            </w:pPr>
            <w:r>
              <w:rPr>
                <w:rStyle w:val="Emphasis"/>
              </w:rPr>
              <w:t> </w:t>
            </w:r>
          </w:p>
        </w:tc>
        <w:tc>
          <w:tcPr>
            <w:tcW w:w="63" w:type="dxa"/>
            <w:tcBorders/>
            <w:shd w:fill="FFFFFF" w:val="clear"/>
            <w:vAlign w:val="center"/>
          </w:tcPr>
          <w:p>
            <w:pPr>
              <w:pStyle w:val="TableContents"/>
              <w:bidi w:val="0"/>
              <w:spacing w:before="0" w:after="283"/>
              <w:jc w:val="left"/>
            </w:pPr>
            <w:r>
              <w:t> </w:t>
            </w:r>
          </w:p>
        </w:tc>
        <w:tc>
          <w:tcPr>
            <w:tcW w:w="63" w:type="dxa"/>
            <w:tcBorders/>
            <w:shd w:fill="FFFFFF" w:val="clear"/>
            <w:vAlign w:val="center"/>
          </w:tcPr>
          <w:p>
            <w:pPr>
              <w:pStyle w:val="TableContents"/>
              <w:bidi w:val="0"/>
              <w:spacing w:before="0" w:after="283"/>
              <w:jc w:val="left"/>
            </w:pPr>
            <w:r>
              <w:t> </w:t>
            </w:r>
          </w:p>
        </w:tc>
        <w:tc>
          <w:tcPr>
            <w:tcW w:w="220" w:type="dxa"/>
            <w:tcBorders/>
            <w:shd w:fill="FFFFFF" w:val="clear"/>
            <w:vAlign w:val="center"/>
          </w:tcPr>
          <w:p>
            <w:pPr>
              <w:pStyle w:val="TableContents"/>
              <w:bidi w:val="0"/>
              <w:spacing w:before="0" w:after="283"/>
              <w:jc w:val="left"/>
            </w:pPr>
            <w:r>
              <w:t> </w:t>
            </w:r>
          </w:p>
        </w:tc>
        <w:tc>
          <w:tcPr>
            <w:tcW w:w="460" w:type="dxa"/>
            <w:tcBorders/>
            <w:shd w:fill="FFFFFF" w:val="clear"/>
            <w:vAlign w:val="center"/>
          </w:tcPr>
          <w:p>
            <w:pPr>
              <w:pStyle w:val="TableContents"/>
              <w:bidi w:val="0"/>
              <w:spacing w:before="0" w:after="283"/>
              <w:jc w:val="center"/>
            </w:pPr>
            <w:r>
              <w:rPr>
                <w:rStyle w:val="Emphasis"/>
              </w:rP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845" w:type="dxa"/>
            <w:tcBorders/>
            <w:shd w:fill="FFFFFF" w:val="clear"/>
            <w:vAlign w:val="center"/>
          </w:tcPr>
          <w:p>
            <w:pPr>
              <w:pStyle w:val="TableContents"/>
              <w:bidi w:val="0"/>
              <w:spacing w:before="0" w:after="283"/>
              <w:jc w:val="center"/>
            </w:pPr>
            <w:r>
              <w:rPr>
                <w:rStyle w:val="Emphasis"/>
              </w:rP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50"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Accumulated</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8" w:type="dxa"/>
            <w:tcBorders/>
            <w:shd w:fill="FFFFFF" w:val="clear"/>
            <w:vAlign w:val="center"/>
          </w:tcPr>
          <w:p>
            <w:pPr>
              <w:pStyle w:val="TableContents"/>
              <w:bidi w:val="0"/>
              <w:spacing w:before="0" w:after="283"/>
              <w:jc w:val="left"/>
            </w:pPr>
            <w:r>
              <w:t> </w:t>
            </w:r>
          </w:p>
        </w:tc>
        <w:tc>
          <w:tcPr>
            <w:tcW w:w="957" w:type="dxa"/>
            <w:tcBorders/>
            <w:shd w:fill="FFFFFF" w:val="clear"/>
            <w:vAlign w:val="center"/>
          </w:tcPr>
          <w:p>
            <w:pPr>
              <w:pStyle w:val="TableContents"/>
              <w:bidi w:val="0"/>
              <w:spacing w:before="0" w:after="283"/>
              <w:jc w:val="center"/>
            </w:pPr>
            <w:r>
              <w:rPr>
                <w:rStyle w:val="Emphasis"/>
              </w:rP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44" w:type="dxa"/>
            <w:tcBorders/>
            <w:shd w:fill="FFFFFF" w:val="clear"/>
            <w:vAlign w:val="center"/>
          </w:tcPr>
          <w:p>
            <w:pPr>
              <w:pStyle w:val="TableContents"/>
              <w:bidi w:val="0"/>
              <w:spacing w:before="0" w:after="283"/>
              <w:jc w:val="left"/>
            </w:pPr>
            <w:r>
              <w:t> </w:t>
            </w:r>
          </w:p>
        </w:tc>
        <w:tc>
          <w:tcPr>
            <w:tcW w:w="987" w:type="dxa"/>
            <w:tcBorders/>
            <w:shd w:fill="FFFFFF" w:val="clear"/>
            <w:vAlign w:val="center"/>
          </w:tcPr>
          <w:p>
            <w:pPr>
              <w:pStyle w:val="TableContents"/>
              <w:bidi w:val="0"/>
              <w:spacing w:before="0" w:after="283"/>
              <w:jc w:val="center"/>
            </w:pPr>
            <w:r>
              <w:rPr>
                <w:rStyle w:val="Emphasis"/>
              </w:rPr>
              <w:t> </w:t>
            </w:r>
          </w:p>
        </w:tc>
        <w:tc>
          <w:tcPr>
            <w:tcW w:w="83" w:type="dxa"/>
            <w:tcBorders/>
            <w:shd w:fill="FFFFFF" w:val="clear"/>
            <w:vAlign w:val="center"/>
          </w:tcPr>
          <w:p>
            <w:pPr>
              <w:pStyle w:val="TableContents"/>
              <w:bidi w:val="0"/>
              <w:spacing w:before="0" w:after="283"/>
              <w:jc w:val="left"/>
            </w:pPr>
            <w:r>
              <w:t> </w:t>
            </w:r>
          </w:p>
        </w:tc>
      </w:tr>
      <w:tr>
        <w:tc>
          <w:tcPr>
            <w:tcW w:w="353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52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Common Stock</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970"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Additional</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50"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other</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8" w:type="dxa"/>
            <w:tcBorders/>
            <w:shd w:fill="FFFFFF" w:val="clear"/>
            <w:vAlign w:val="center"/>
          </w:tcPr>
          <w:p>
            <w:pPr>
              <w:pStyle w:val="TableContents"/>
              <w:bidi w:val="0"/>
              <w:spacing w:before="0" w:after="283"/>
              <w:jc w:val="left"/>
            </w:pPr>
            <w:r>
              <w:t> </w:t>
            </w:r>
          </w:p>
        </w:tc>
        <w:tc>
          <w:tcPr>
            <w:tcW w:w="957" w:type="dxa"/>
            <w:tcBorders/>
            <w:shd w:fill="FFFFFF" w:val="clear"/>
            <w:vAlign w:val="center"/>
          </w:tcPr>
          <w:p>
            <w:pPr>
              <w:pStyle w:val="TableContents"/>
              <w:bidi w:val="0"/>
              <w:spacing w:before="0" w:after="283"/>
              <w:jc w:val="center"/>
            </w:pPr>
            <w:r>
              <w:rPr>
                <w:rStyle w:val="Emphasis"/>
              </w:rP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44" w:type="dxa"/>
            <w:tcBorders/>
            <w:shd w:fill="FFFFFF" w:val="clear"/>
            <w:vAlign w:val="center"/>
          </w:tcPr>
          <w:p>
            <w:pPr>
              <w:pStyle w:val="TableContents"/>
              <w:bidi w:val="0"/>
              <w:spacing w:before="0" w:after="283"/>
              <w:jc w:val="left"/>
            </w:pPr>
            <w:r>
              <w:t> </w:t>
            </w:r>
          </w:p>
        </w:tc>
        <w:tc>
          <w:tcPr>
            <w:tcW w:w="987" w:type="dxa"/>
            <w:tcBorders/>
            <w:shd w:fill="FFFFFF" w:val="clear"/>
            <w:vAlign w:val="center"/>
          </w:tcPr>
          <w:p>
            <w:pPr>
              <w:pStyle w:val="TableContents"/>
              <w:bidi w:val="0"/>
              <w:spacing w:before="0" w:after="283"/>
              <w:jc w:val="center"/>
            </w:pPr>
            <w:r>
              <w:rPr>
                <w:rStyle w:val="Emphasis"/>
              </w:rPr>
              <w:t> </w:t>
            </w:r>
          </w:p>
        </w:tc>
        <w:tc>
          <w:tcPr>
            <w:tcW w:w="83" w:type="dxa"/>
            <w:tcBorders/>
            <w:shd w:fill="FFFFFF" w:val="clear"/>
            <w:vAlign w:val="center"/>
          </w:tcPr>
          <w:p>
            <w:pPr>
              <w:pStyle w:val="TableContents"/>
              <w:bidi w:val="0"/>
              <w:spacing w:before="0" w:after="283"/>
              <w:jc w:val="left"/>
            </w:pPr>
            <w:r>
              <w:t> </w:t>
            </w:r>
          </w:p>
        </w:tc>
      </w:tr>
      <w:tr>
        <w:tc>
          <w:tcPr>
            <w:tcW w:w="353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20"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Number</w:t>
            </w:r>
          </w:p>
        </w:tc>
        <w:tc>
          <w:tcPr>
            <w:tcW w:w="63" w:type="dxa"/>
            <w:tcBorders/>
            <w:shd w:fill="FFFFFF" w:val="clear"/>
            <w:vAlign w:val="center"/>
          </w:tcPr>
          <w:p>
            <w:pPr>
              <w:pStyle w:val="TableContents"/>
              <w:bidi w:val="0"/>
              <w:spacing w:before="0" w:after="283"/>
              <w:jc w:val="left"/>
            </w:pPr>
            <w:r>
              <w:t> </w:t>
            </w:r>
          </w:p>
        </w:tc>
        <w:tc>
          <w:tcPr>
            <w:tcW w:w="63" w:type="dxa"/>
            <w:tcBorders/>
            <w:shd w:fill="FFFFFF" w:val="clear"/>
            <w:vAlign w:val="center"/>
          </w:tcPr>
          <w:p>
            <w:pPr>
              <w:pStyle w:val="TableContents"/>
              <w:bidi w:val="0"/>
              <w:spacing w:before="0" w:after="283"/>
              <w:jc w:val="left"/>
            </w:pPr>
            <w:r>
              <w:t> </w:t>
            </w:r>
          </w:p>
        </w:tc>
        <w:tc>
          <w:tcPr>
            <w:tcW w:w="220" w:type="dxa"/>
            <w:tcBorders/>
            <w:shd w:fill="FFFFFF" w:val="clear"/>
            <w:vAlign w:val="center"/>
          </w:tcPr>
          <w:p>
            <w:pPr>
              <w:pStyle w:val="TableContents"/>
              <w:bidi w:val="0"/>
              <w:spacing w:before="0" w:after="283"/>
              <w:jc w:val="left"/>
            </w:pPr>
            <w:r>
              <w:t> </w:t>
            </w:r>
          </w:p>
        </w:tc>
        <w:tc>
          <w:tcPr>
            <w:tcW w:w="460" w:type="dxa"/>
            <w:tcBorders/>
            <w:shd w:fill="FFFFFF" w:val="clear"/>
            <w:vAlign w:val="center"/>
          </w:tcPr>
          <w:p>
            <w:pPr>
              <w:pStyle w:val="TableContents"/>
              <w:bidi w:val="0"/>
              <w:spacing w:before="0" w:after="283"/>
              <w:jc w:val="center"/>
            </w:pPr>
            <w:r>
              <w:rPr>
                <w:rStyle w:val="Emphasis"/>
              </w:rP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970"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paid-in</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50"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comprehensive</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15"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Accumulated</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31"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Stockholders'</w:t>
            </w:r>
          </w:p>
        </w:tc>
        <w:tc>
          <w:tcPr>
            <w:tcW w:w="83" w:type="dxa"/>
            <w:tcBorders/>
            <w:shd w:fill="FFFFFF" w:val="clear"/>
            <w:vAlign w:val="center"/>
          </w:tcPr>
          <w:p>
            <w:pPr>
              <w:pStyle w:val="TableContents"/>
              <w:bidi w:val="0"/>
              <w:spacing w:before="0" w:after="283"/>
              <w:jc w:val="left"/>
            </w:pPr>
            <w:r>
              <w:t> </w:t>
            </w:r>
          </w:p>
        </w:tc>
      </w:tr>
      <w:tr>
        <w:tc>
          <w:tcPr>
            <w:tcW w:w="353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of shares</w:t>
            </w:r>
          </w:p>
        </w:tc>
        <w:tc>
          <w:tcPr>
            <w:tcW w:w="63" w:type="dxa"/>
            <w:tcBorders/>
            <w:shd w:fill="FFFFFF" w:val="clear"/>
            <w:vAlign w:val="center"/>
          </w:tcPr>
          <w:p>
            <w:pPr>
              <w:pStyle w:val="TableContents"/>
              <w:bidi w:val="0"/>
              <w:spacing w:before="0" w:after="283"/>
              <w:jc w:val="left"/>
            </w:pPr>
            <w:r>
              <w:t> </w:t>
            </w:r>
          </w:p>
        </w:tc>
        <w:tc>
          <w:tcPr>
            <w:tcW w:w="63" w:type="dxa"/>
            <w:tcBorders/>
            <w:shd w:fill="FFFFFF" w:val="clear"/>
            <w:vAlign w:val="center"/>
          </w:tcPr>
          <w:p>
            <w:pPr>
              <w:pStyle w:val="TableContents"/>
              <w:bidi w:val="0"/>
              <w:spacing w:before="0" w:after="283"/>
              <w:ind w:left="0" w:right="0" w:hanging="0"/>
              <w:jc w:val="left"/>
            </w:pPr>
            <w:r>
              <w:t> </w:t>
            </w:r>
          </w:p>
        </w:tc>
        <w:tc>
          <w:tcPr>
            <w:tcW w:w="6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capital</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gain (loss)</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deficit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3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equity</w:t>
            </w:r>
          </w:p>
        </w:tc>
        <w:tc>
          <w:tcPr>
            <w:tcW w:w="83" w:type="dxa"/>
            <w:tcBorders/>
            <w:shd w:fill="FFFFFF" w:val="clear"/>
            <w:vAlign w:val="center"/>
          </w:tcPr>
          <w:p>
            <w:pPr>
              <w:pStyle w:val="TableContents"/>
              <w:bidi w:val="0"/>
              <w:spacing w:before="0" w:after="283"/>
              <w:jc w:val="left"/>
            </w:pPr>
            <w:r>
              <w:t> </w:t>
            </w:r>
          </w:p>
        </w:tc>
      </w:tr>
      <w:tr>
        <w:tc>
          <w:tcPr>
            <w:tcW w:w="35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31, 2025</w:t>
            </w:r>
          </w:p>
        </w:tc>
        <w:tc>
          <w:tcPr>
            <w:tcW w:w="60" w:type="dxa"/>
            <w:tcBorders/>
            <w:shd w:fill="CCEEFF" w:val="clear"/>
            <w:vAlign w:val="center"/>
          </w:tcPr>
          <w:p>
            <w:pPr>
              <w:pStyle w:val="TableContents"/>
              <w:bidi w:val="0"/>
              <w:spacing w:before="0" w:after="283"/>
              <w:jc w:val="left"/>
            </w:pPr>
            <w:r>
              <w:t> </w:t>
            </w:r>
          </w:p>
        </w:tc>
        <w:tc>
          <w:tcPr>
            <w:tcW w:w="67" w:type="dxa"/>
            <w:tcBorders/>
            <w:shd w:fill="CCEEFF" w:val="clear"/>
            <w:vAlign w:val="center"/>
          </w:tcPr>
          <w:p>
            <w:pPr>
              <w:pStyle w:val="TableContents"/>
              <w:bidi w:val="0"/>
              <w:spacing w:before="0" w:after="283"/>
              <w:ind w:left="0" w:right="0" w:hanging="0"/>
              <w:jc w:val="left"/>
            </w:pPr>
            <w:r>
              <w:t> </w:t>
            </w:r>
          </w:p>
        </w:tc>
        <w:tc>
          <w:tcPr>
            <w:tcW w:w="6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74,998</w:t>
            </w:r>
          </w:p>
        </w:tc>
        <w:tc>
          <w:tcPr>
            <w:tcW w:w="63" w:type="dxa"/>
            <w:tcBorders/>
            <w:shd w:fill="CCEEFF" w:val="clear"/>
            <w:vAlign w:val="center"/>
          </w:tcPr>
          <w:p>
            <w:pPr>
              <w:pStyle w:val="TableContents"/>
              <w:bidi w:val="0"/>
              <w:spacing w:before="0" w:after="283"/>
              <w:jc w:val="left"/>
            </w:pPr>
            <w:r>
              <w:t> </w:t>
            </w:r>
          </w:p>
        </w:tc>
        <w:tc>
          <w:tcPr>
            <w:tcW w:w="63" w:type="dxa"/>
            <w:tcBorders/>
            <w:shd w:fill="CCEEFF" w:val="clear"/>
            <w:vAlign w:val="center"/>
          </w:tcPr>
          <w:p>
            <w:pPr>
              <w:pStyle w:val="TableContents"/>
              <w:bidi w:val="0"/>
              <w:spacing w:before="0" w:after="283"/>
              <w:ind w:left="0" w:right="0" w:hanging="0"/>
              <w:jc w:val="left"/>
            </w:pPr>
            <w:r>
              <w:t> </w:t>
            </w:r>
          </w:p>
        </w:tc>
        <w:tc>
          <w:tcPr>
            <w:tcW w:w="22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1,224,538</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25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pPr>
            <w:r>
              <w:t> </w:t>
            </w:r>
          </w:p>
        </w:tc>
        <w:tc>
          <w:tcPr>
            <w:tcW w:w="15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(490,078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pPr>
            <w:r>
              <w:t> </w:t>
            </w:r>
          </w:p>
        </w:tc>
        <w:tc>
          <w:tcPr>
            <w:tcW w:w="14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733,918</w:t>
            </w:r>
          </w:p>
        </w:tc>
        <w:tc>
          <w:tcPr>
            <w:tcW w:w="83" w:type="dxa"/>
            <w:tcBorders/>
            <w:shd w:fill="CCEEFF" w:val="clear"/>
            <w:vAlign w:val="center"/>
          </w:tcPr>
          <w:p>
            <w:pPr>
              <w:pStyle w:val="TableContents"/>
              <w:bidi w:val="0"/>
              <w:spacing w:before="0" w:after="283"/>
              <w:jc w:val="left"/>
            </w:pPr>
            <w:r>
              <w:t> </w:t>
            </w:r>
          </w:p>
        </w:tc>
      </w:tr>
      <w:tr>
        <w:tc>
          <w:tcPr>
            <w:tcW w:w="35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restricted stock, net of shares withheld for employee tax</w:t>
            </w:r>
          </w:p>
        </w:tc>
        <w:tc>
          <w:tcPr>
            <w:tcW w:w="60" w:type="dxa"/>
            <w:tcBorders/>
            <w:shd w:fill="FFFFFF" w:val="clear"/>
            <w:vAlign w:val="center"/>
          </w:tcPr>
          <w:p>
            <w:pPr>
              <w:pStyle w:val="TableContents"/>
              <w:bidi w:val="0"/>
              <w:spacing w:before="0" w:after="283"/>
              <w:jc w:val="left"/>
            </w:pPr>
            <w:r>
              <w:t> </w:t>
            </w:r>
          </w:p>
        </w:tc>
        <w:tc>
          <w:tcPr>
            <w:tcW w:w="67" w:type="dxa"/>
            <w:tcBorders/>
            <w:shd w:fill="FFFFFF" w:val="clear"/>
            <w:vAlign w:val="center"/>
          </w:tcPr>
          <w:p>
            <w:pPr>
              <w:pStyle w:val="TableContents"/>
              <w:bidi w:val="0"/>
              <w:spacing w:before="0" w:after="283"/>
              <w:ind w:left="0" w:right="0" w:hanging="0"/>
              <w:jc w:val="left"/>
            </w:pPr>
            <w:r>
              <w:t> </w:t>
            </w:r>
          </w:p>
        </w:tc>
        <w:tc>
          <w:tcPr>
            <w:tcW w:w="6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1,801</w:t>
            </w:r>
          </w:p>
        </w:tc>
        <w:tc>
          <w:tcPr>
            <w:tcW w:w="63" w:type="dxa"/>
            <w:tcBorders/>
            <w:shd w:fill="FFFFFF" w:val="clear"/>
            <w:vAlign w:val="center"/>
          </w:tcPr>
          <w:p>
            <w:pPr>
              <w:pStyle w:val="TableContents"/>
              <w:bidi w:val="0"/>
              <w:spacing w:before="0" w:after="283"/>
              <w:jc w:val="left"/>
            </w:pPr>
            <w:r>
              <w:t> </w:t>
            </w:r>
          </w:p>
        </w:tc>
        <w:tc>
          <w:tcPr>
            <w:tcW w:w="63" w:type="dxa"/>
            <w:tcBorders/>
            <w:shd w:fill="FFFFFF" w:val="clear"/>
            <w:vAlign w:val="center"/>
          </w:tcPr>
          <w:p>
            <w:pPr>
              <w:pStyle w:val="TableContents"/>
              <w:bidi w:val="0"/>
              <w:spacing w:before="0" w:after="283"/>
              <w:jc w:val="left"/>
            </w:pPr>
            <w:r>
              <w:t> </w:t>
            </w:r>
          </w:p>
        </w:tc>
        <w:tc>
          <w:tcPr>
            <w:tcW w:w="220" w:type="dxa"/>
            <w:tcBorders/>
            <w:shd w:fill="FFFFFF" w:val="clear"/>
            <w:vAlign w:val="center"/>
          </w:tcPr>
          <w:p>
            <w:pPr>
              <w:pStyle w:val="TableContents"/>
              <w:bidi w:val="0"/>
              <w:spacing w:before="0" w:after="283"/>
              <w:ind w:left="0" w:right="0" w:hanging="0"/>
              <w:jc w:val="left"/>
            </w:pPr>
            <w:r>
              <w:t> </w:t>
            </w:r>
          </w:p>
        </w:tc>
        <w:tc>
          <w:tcPr>
            <w:tcW w:w="4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(76,025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255" w:type="dxa"/>
            <w:tcBorders/>
            <w:shd w:fill="FFFFFF" w:val="clear"/>
            <w:vAlign w:val="center"/>
          </w:tcPr>
          <w:p>
            <w:pPr>
              <w:pStyle w:val="TableContents"/>
              <w:bidi w:val="0"/>
              <w:spacing w:before="0" w:after="283"/>
              <w:ind w:left="0" w:right="0" w:hanging="0"/>
              <w:jc w:val="left"/>
            </w:pPr>
            <w:r>
              <w:t> </w:t>
            </w:r>
          </w:p>
        </w:tc>
        <w:tc>
          <w:tcPr>
            <w:tcW w:w="995"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8" w:type="dxa"/>
            <w:tcBorders/>
            <w:shd w:fill="FFFFFF" w:val="clear"/>
            <w:vAlign w:val="center"/>
          </w:tcPr>
          <w:p>
            <w:pPr>
              <w:pStyle w:val="TableContents"/>
              <w:bidi w:val="0"/>
              <w:spacing w:before="0" w:after="283"/>
              <w:ind w:left="0" w:right="0" w:hanging="0"/>
              <w:jc w:val="left"/>
            </w:pPr>
            <w:r>
              <w:t> </w:t>
            </w:r>
          </w:p>
        </w:tc>
        <w:tc>
          <w:tcPr>
            <w:tcW w:w="957"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44" w:type="dxa"/>
            <w:tcBorders/>
            <w:shd w:fill="FFFFFF" w:val="clear"/>
            <w:vAlign w:val="center"/>
          </w:tcPr>
          <w:p>
            <w:pPr>
              <w:pStyle w:val="TableContents"/>
              <w:bidi w:val="0"/>
              <w:spacing w:before="0" w:after="283"/>
              <w:ind w:left="0" w:right="0" w:hanging="0"/>
              <w:jc w:val="left"/>
            </w:pPr>
            <w:r>
              <w:t> </w:t>
            </w:r>
          </w:p>
        </w:tc>
        <w:tc>
          <w:tcPr>
            <w:tcW w:w="9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(76,023</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35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Share-based compensation</w:t>
            </w:r>
          </w:p>
        </w:tc>
        <w:tc>
          <w:tcPr>
            <w:tcW w:w="60" w:type="dxa"/>
            <w:tcBorders/>
            <w:shd w:fill="CCEEFF" w:val="clear"/>
            <w:vAlign w:val="center"/>
          </w:tcPr>
          <w:p>
            <w:pPr>
              <w:pStyle w:val="TableContents"/>
              <w:bidi w:val="0"/>
              <w:spacing w:before="0" w:after="283"/>
              <w:jc w:val="left"/>
            </w:pPr>
            <w:r>
              <w:t> </w:t>
            </w:r>
          </w:p>
        </w:tc>
        <w:tc>
          <w:tcPr>
            <w:tcW w:w="67" w:type="dxa"/>
            <w:tcBorders/>
            <w:shd w:fill="CCEEFF" w:val="clear"/>
            <w:vAlign w:val="center"/>
          </w:tcPr>
          <w:p>
            <w:pPr>
              <w:pStyle w:val="TableContents"/>
              <w:bidi w:val="0"/>
              <w:spacing w:before="0" w:after="283"/>
              <w:ind w:left="0" w:right="0" w:hanging="0"/>
              <w:jc w:val="left"/>
            </w:pPr>
            <w:r>
              <w:t> </w:t>
            </w:r>
          </w:p>
        </w:tc>
        <w:tc>
          <w:tcPr>
            <w:tcW w:w="653" w:type="dxa"/>
            <w:tcBorders/>
            <w:shd w:fill="CCEEFF" w:val="clear"/>
            <w:vAlign w:val="center"/>
          </w:tcPr>
          <w:p>
            <w:pPr>
              <w:pStyle w:val="TableContents"/>
              <w:bidi w:val="0"/>
              <w:spacing w:before="0" w:after="283"/>
              <w:ind w:left="0" w:right="0" w:hanging="0"/>
              <w:jc w:val="right"/>
            </w:pPr>
            <w:r>
              <w:rPr>
                <w:rStyle w:val="Emphasis"/>
              </w:rPr>
              <w:t>—</w:t>
            </w:r>
          </w:p>
        </w:tc>
        <w:tc>
          <w:tcPr>
            <w:tcW w:w="63" w:type="dxa"/>
            <w:tcBorders/>
            <w:shd w:fill="CCEEFF" w:val="clear"/>
            <w:vAlign w:val="center"/>
          </w:tcPr>
          <w:p>
            <w:pPr>
              <w:pStyle w:val="TableContents"/>
              <w:bidi w:val="0"/>
              <w:spacing w:before="0" w:after="283"/>
              <w:jc w:val="left"/>
            </w:pPr>
            <w:r>
              <w:t> </w:t>
            </w:r>
          </w:p>
        </w:tc>
        <w:tc>
          <w:tcPr>
            <w:tcW w:w="63" w:type="dxa"/>
            <w:tcBorders/>
            <w:shd w:fill="CCEEFF" w:val="clear"/>
            <w:vAlign w:val="center"/>
          </w:tcPr>
          <w:p>
            <w:pPr>
              <w:pStyle w:val="TableContents"/>
              <w:bidi w:val="0"/>
              <w:spacing w:before="0" w:after="283"/>
              <w:jc w:val="left"/>
            </w:pPr>
            <w:r>
              <w:t> </w:t>
            </w:r>
          </w:p>
        </w:tc>
        <w:tc>
          <w:tcPr>
            <w:tcW w:w="220" w:type="dxa"/>
            <w:tcBorders/>
            <w:shd w:fill="CCEEFF" w:val="clear"/>
            <w:vAlign w:val="center"/>
          </w:tcPr>
          <w:p>
            <w:pPr>
              <w:pStyle w:val="TableContents"/>
              <w:bidi w:val="0"/>
              <w:spacing w:before="0" w:after="283"/>
              <w:ind w:left="0" w:right="0" w:hanging="0"/>
              <w:jc w:val="left"/>
            </w:pPr>
            <w:r>
              <w:t> </w:t>
            </w:r>
          </w:p>
        </w:tc>
        <w:tc>
          <w:tcPr>
            <w:tcW w:w="460"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14,939</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55" w:type="dxa"/>
            <w:tcBorders/>
            <w:shd w:fill="CCEEFF" w:val="clear"/>
            <w:vAlign w:val="center"/>
          </w:tcPr>
          <w:p>
            <w:pPr>
              <w:pStyle w:val="TableContents"/>
              <w:bidi w:val="0"/>
              <w:spacing w:before="0" w:after="283"/>
              <w:ind w:left="0" w:right="0" w:hanging="0"/>
              <w:jc w:val="left"/>
            </w:pPr>
            <w:r>
              <w:t> </w:t>
            </w:r>
          </w:p>
        </w:tc>
        <w:tc>
          <w:tcPr>
            <w:tcW w:w="995"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58" w:type="dxa"/>
            <w:tcBorders/>
            <w:shd w:fill="CCEEFF" w:val="clear"/>
            <w:vAlign w:val="center"/>
          </w:tcPr>
          <w:p>
            <w:pPr>
              <w:pStyle w:val="TableContents"/>
              <w:bidi w:val="0"/>
              <w:spacing w:before="0" w:after="283"/>
              <w:ind w:left="0" w:right="0" w:hanging="0"/>
              <w:jc w:val="left"/>
            </w:pPr>
            <w:r>
              <w:t> </w:t>
            </w:r>
          </w:p>
        </w:tc>
        <w:tc>
          <w:tcPr>
            <w:tcW w:w="957"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44" w:type="dxa"/>
            <w:tcBorders/>
            <w:shd w:fill="CCEEFF" w:val="clear"/>
            <w:vAlign w:val="center"/>
          </w:tcPr>
          <w:p>
            <w:pPr>
              <w:pStyle w:val="TableContents"/>
              <w:bidi w:val="0"/>
              <w:spacing w:before="0" w:after="283"/>
              <w:ind w:left="0" w:right="0" w:hanging="0"/>
              <w:jc w:val="left"/>
            </w:pPr>
            <w:r>
              <w:t> </w:t>
            </w:r>
          </w:p>
        </w:tc>
        <w:tc>
          <w:tcPr>
            <w:tcW w:w="9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14,939</w:t>
            </w:r>
          </w:p>
        </w:tc>
        <w:tc>
          <w:tcPr>
            <w:tcW w:w="83" w:type="dxa"/>
            <w:tcBorders/>
            <w:shd w:fill="CCEEFF" w:val="clear"/>
            <w:vAlign w:val="center"/>
          </w:tcPr>
          <w:p>
            <w:pPr>
              <w:pStyle w:val="TableContents"/>
              <w:bidi w:val="0"/>
              <w:spacing w:before="0" w:after="283"/>
              <w:jc w:val="left"/>
            </w:pPr>
            <w:r>
              <w:t> </w:t>
            </w:r>
          </w:p>
        </w:tc>
      </w:tr>
      <w:tr>
        <w:tc>
          <w:tcPr>
            <w:tcW w:w="35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Public offering of common stock, net</w:t>
            </w:r>
          </w:p>
        </w:tc>
        <w:tc>
          <w:tcPr>
            <w:tcW w:w="60" w:type="dxa"/>
            <w:tcBorders/>
            <w:shd w:fill="FFFFFF" w:val="clear"/>
            <w:vAlign w:val="center"/>
          </w:tcPr>
          <w:p>
            <w:pPr>
              <w:pStyle w:val="TableContents"/>
              <w:bidi w:val="0"/>
              <w:spacing w:before="0" w:after="283"/>
              <w:jc w:val="left"/>
            </w:pPr>
            <w:r>
              <w:t> </w:t>
            </w:r>
          </w:p>
        </w:tc>
        <w:tc>
          <w:tcPr>
            <w:tcW w:w="67" w:type="dxa"/>
            <w:tcBorders/>
            <w:shd w:fill="FFFFFF" w:val="clear"/>
            <w:vAlign w:val="center"/>
          </w:tcPr>
          <w:p>
            <w:pPr>
              <w:pStyle w:val="TableContents"/>
              <w:bidi w:val="0"/>
              <w:spacing w:before="0" w:after="283"/>
              <w:ind w:left="0" w:right="0" w:hanging="0"/>
              <w:jc w:val="left"/>
            </w:pPr>
            <w:r>
              <w:t> </w:t>
            </w:r>
          </w:p>
        </w:tc>
        <w:tc>
          <w:tcPr>
            <w:tcW w:w="6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13,084</w:t>
            </w:r>
          </w:p>
        </w:tc>
        <w:tc>
          <w:tcPr>
            <w:tcW w:w="63" w:type="dxa"/>
            <w:tcBorders/>
            <w:shd w:fill="FFFFFF" w:val="clear"/>
            <w:vAlign w:val="center"/>
          </w:tcPr>
          <w:p>
            <w:pPr>
              <w:pStyle w:val="TableContents"/>
              <w:bidi w:val="0"/>
              <w:spacing w:before="0" w:after="283"/>
              <w:jc w:val="left"/>
            </w:pPr>
            <w:r>
              <w:t> </w:t>
            </w:r>
          </w:p>
        </w:tc>
        <w:tc>
          <w:tcPr>
            <w:tcW w:w="63" w:type="dxa"/>
            <w:tcBorders/>
            <w:shd w:fill="FFFFFF" w:val="clear"/>
            <w:vAlign w:val="center"/>
          </w:tcPr>
          <w:p>
            <w:pPr>
              <w:pStyle w:val="TableContents"/>
              <w:bidi w:val="0"/>
              <w:spacing w:before="0" w:after="283"/>
              <w:jc w:val="left"/>
            </w:pPr>
            <w:r>
              <w:t> </w:t>
            </w:r>
          </w:p>
        </w:tc>
        <w:tc>
          <w:tcPr>
            <w:tcW w:w="220" w:type="dxa"/>
            <w:tcBorders/>
            <w:shd w:fill="FFFFFF" w:val="clear"/>
            <w:vAlign w:val="center"/>
          </w:tcPr>
          <w:p>
            <w:pPr>
              <w:pStyle w:val="TableContents"/>
              <w:bidi w:val="0"/>
              <w:spacing w:before="0" w:after="283"/>
              <w:ind w:left="0" w:right="0" w:hanging="0"/>
              <w:jc w:val="left"/>
            </w:pPr>
            <w:r>
              <w:t> </w:t>
            </w:r>
          </w:p>
        </w:tc>
        <w:tc>
          <w:tcPr>
            <w:tcW w:w="4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1,590,633</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55" w:type="dxa"/>
            <w:tcBorders/>
            <w:shd w:fill="FFFFFF" w:val="clear"/>
            <w:vAlign w:val="center"/>
          </w:tcPr>
          <w:p>
            <w:pPr>
              <w:pStyle w:val="TableContents"/>
              <w:bidi w:val="0"/>
              <w:spacing w:before="0" w:after="283"/>
              <w:ind w:left="0" w:right="0" w:hanging="0"/>
              <w:jc w:val="left"/>
            </w:pPr>
            <w:r>
              <w:t> </w:t>
            </w:r>
          </w:p>
        </w:tc>
        <w:tc>
          <w:tcPr>
            <w:tcW w:w="995"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8" w:type="dxa"/>
            <w:tcBorders/>
            <w:shd w:fill="FFFFFF" w:val="clear"/>
            <w:vAlign w:val="center"/>
          </w:tcPr>
          <w:p>
            <w:pPr>
              <w:pStyle w:val="TableContents"/>
              <w:bidi w:val="0"/>
              <w:spacing w:before="0" w:after="283"/>
              <w:ind w:left="0" w:right="0" w:hanging="0"/>
              <w:jc w:val="left"/>
            </w:pPr>
            <w:r>
              <w:t> </w:t>
            </w:r>
          </w:p>
        </w:tc>
        <w:tc>
          <w:tcPr>
            <w:tcW w:w="957"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44" w:type="dxa"/>
            <w:tcBorders/>
            <w:shd w:fill="FFFFFF" w:val="clear"/>
            <w:vAlign w:val="center"/>
          </w:tcPr>
          <w:p>
            <w:pPr>
              <w:pStyle w:val="TableContents"/>
              <w:bidi w:val="0"/>
              <w:spacing w:before="0" w:after="283"/>
              <w:ind w:left="0" w:right="0" w:hanging="0"/>
              <w:jc w:val="left"/>
            </w:pPr>
            <w:r>
              <w:t> </w:t>
            </w:r>
          </w:p>
        </w:tc>
        <w:tc>
          <w:tcPr>
            <w:tcW w:w="9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1,590,647</w:t>
            </w:r>
          </w:p>
        </w:tc>
        <w:tc>
          <w:tcPr>
            <w:tcW w:w="83" w:type="dxa"/>
            <w:tcBorders/>
            <w:shd w:fill="FFFFFF" w:val="clear"/>
            <w:vAlign w:val="center"/>
          </w:tcPr>
          <w:p>
            <w:pPr>
              <w:pStyle w:val="TableContents"/>
              <w:bidi w:val="0"/>
              <w:spacing w:before="0" w:after="283"/>
              <w:jc w:val="left"/>
            </w:pPr>
            <w:r>
              <w:t> </w:t>
            </w:r>
          </w:p>
        </w:tc>
      </w:tr>
      <w:tr>
        <w:tc>
          <w:tcPr>
            <w:tcW w:w="35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Convertible note to share</w:t>
            </w:r>
          </w:p>
        </w:tc>
        <w:tc>
          <w:tcPr>
            <w:tcW w:w="60" w:type="dxa"/>
            <w:tcBorders/>
            <w:shd w:fill="CCEEFF" w:val="clear"/>
            <w:vAlign w:val="center"/>
          </w:tcPr>
          <w:p>
            <w:pPr>
              <w:pStyle w:val="TableContents"/>
              <w:bidi w:val="0"/>
              <w:spacing w:before="0" w:after="283"/>
              <w:jc w:val="left"/>
            </w:pPr>
            <w:r>
              <w:t> </w:t>
            </w:r>
          </w:p>
        </w:tc>
        <w:tc>
          <w:tcPr>
            <w:tcW w:w="67" w:type="dxa"/>
            <w:tcBorders/>
            <w:shd w:fill="CCEEFF" w:val="clear"/>
            <w:vAlign w:val="center"/>
          </w:tcPr>
          <w:p>
            <w:pPr>
              <w:pStyle w:val="TableContents"/>
              <w:bidi w:val="0"/>
              <w:spacing w:before="0" w:after="283"/>
              <w:ind w:left="0" w:right="0" w:hanging="0"/>
              <w:jc w:val="left"/>
            </w:pPr>
            <w:r>
              <w:t> </w:t>
            </w:r>
          </w:p>
        </w:tc>
        <w:tc>
          <w:tcPr>
            <w:tcW w:w="6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63" w:type="dxa"/>
            <w:tcBorders/>
            <w:shd w:fill="CCEEFF" w:val="clear"/>
            <w:vAlign w:val="center"/>
          </w:tcPr>
          <w:p>
            <w:pPr>
              <w:pStyle w:val="TableContents"/>
              <w:bidi w:val="0"/>
              <w:spacing w:before="0" w:after="283"/>
              <w:jc w:val="left"/>
            </w:pPr>
            <w:r>
              <w:t> </w:t>
            </w:r>
          </w:p>
        </w:tc>
        <w:tc>
          <w:tcPr>
            <w:tcW w:w="63" w:type="dxa"/>
            <w:tcBorders/>
            <w:shd w:fill="CCEEFF" w:val="clear"/>
            <w:vAlign w:val="center"/>
          </w:tcPr>
          <w:p>
            <w:pPr>
              <w:pStyle w:val="TableContents"/>
              <w:bidi w:val="0"/>
              <w:spacing w:before="0" w:after="283"/>
              <w:jc w:val="left"/>
            </w:pPr>
            <w:r>
              <w:t> </w:t>
            </w:r>
          </w:p>
        </w:tc>
        <w:tc>
          <w:tcPr>
            <w:tcW w:w="220" w:type="dxa"/>
            <w:tcBorders/>
            <w:shd w:fill="CCEEFF" w:val="clear"/>
            <w:vAlign w:val="center"/>
          </w:tcPr>
          <w:p>
            <w:pPr>
              <w:pStyle w:val="TableContents"/>
              <w:bidi w:val="0"/>
              <w:spacing w:before="0" w:after="283"/>
              <w:ind w:left="0" w:right="0" w:hanging="0"/>
              <w:jc w:val="left"/>
            </w:pPr>
            <w:r>
              <w:t> </w:t>
            </w:r>
          </w:p>
        </w:tc>
        <w:tc>
          <w:tcPr>
            <w:tcW w:w="460"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55" w:type="dxa"/>
            <w:tcBorders/>
            <w:shd w:fill="CCEEFF" w:val="clear"/>
            <w:vAlign w:val="center"/>
          </w:tcPr>
          <w:p>
            <w:pPr>
              <w:pStyle w:val="TableContents"/>
              <w:bidi w:val="0"/>
              <w:spacing w:before="0" w:after="283"/>
              <w:ind w:left="0" w:right="0" w:hanging="0"/>
              <w:jc w:val="left"/>
            </w:pPr>
            <w:r>
              <w:t> </w:t>
            </w:r>
          </w:p>
        </w:tc>
        <w:tc>
          <w:tcPr>
            <w:tcW w:w="995"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58" w:type="dxa"/>
            <w:tcBorders/>
            <w:shd w:fill="CCEEFF" w:val="clear"/>
            <w:vAlign w:val="center"/>
          </w:tcPr>
          <w:p>
            <w:pPr>
              <w:pStyle w:val="TableContents"/>
              <w:bidi w:val="0"/>
              <w:spacing w:before="0" w:after="283"/>
              <w:ind w:left="0" w:right="0" w:hanging="0"/>
              <w:jc w:val="left"/>
            </w:pPr>
            <w:r>
              <w:t> </w:t>
            </w:r>
          </w:p>
        </w:tc>
        <w:tc>
          <w:tcPr>
            <w:tcW w:w="957"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44" w:type="dxa"/>
            <w:tcBorders/>
            <w:shd w:fill="CCEEFF" w:val="clear"/>
            <w:vAlign w:val="center"/>
          </w:tcPr>
          <w:p>
            <w:pPr>
              <w:pStyle w:val="TableContents"/>
              <w:bidi w:val="0"/>
              <w:spacing w:before="0" w:after="283"/>
              <w:ind w:left="0" w:right="0" w:hanging="0"/>
              <w:jc w:val="left"/>
            </w:pPr>
            <w:r>
              <w:t> </w:t>
            </w:r>
          </w:p>
        </w:tc>
        <w:tc>
          <w:tcPr>
            <w:tcW w:w="9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w:t>
            </w:r>
          </w:p>
        </w:tc>
        <w:tc>
          <w:tcPr>
            <w:tcW w:w="83" w:type="dxa"/>
            <w:tcBorders/>
            <w:shd w:fill="CCEEFF" w:val="clear"/>
            <w:vAlign w:val="center"/>
          </w:tcPr>
          <w:p>
            <w:pPr>
              <w:pStyle w:val="TableContents"/>
              <w:bidi w:val="0"/>
              <w:spacing w:before="0" w:after="283"/>
              <w:jc w:val="left"/>
            </w:pPr>
            <w:r>
              <w:t> </w:t>
            </w:r>
          </w:p>
        </w:tc>
      </w:tr>
      <w:tr>
        <w:tc>
          <w:tcPr>
            <w:tcW w:w="35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Warrants contra revenue</w:t>
            </w:r>
          </w:p>
        </w:tc>
        <w:tc>
          <w:tcPr>
            <w:tcW w:w="60" w:type="dxa"/>
            <w:tcBorders/>
            <w:shd w:fill="FFFFFF" w:val="clear"/>
            <w:vAlign w:val="center"/>
          </w:tcPr>
          <w:p>
            <w:pPr>
              <w:pStyle w:val="TableContents"/>
              <w:bidi w:val="0"/>
              <w:spacing w:before="0" w:after="283"/>
              <w:jc w:val="left"/>
            </w:pPr>
            <w:r>
              <w:t> </w:t>
            </w:r>
          </w:p>
        </w:tc>
        <w:tc>
          <w:tcPr>
            <w:tcW w:w="67" w:type="dxa"/>
            <w:tcBorders/>
            <w:shd w:fill="FFFFFF" w:val="clear"/>
            <w:vAlign w:val="center"/>
          </w:tcPr>
          <w:p>
            <w:pPr>
              <w:pStyle w:val="TableContents"/>
              <w:bidi w:val="0"/>
              <w:spacing w:before="0" w:after="283"/>
              <w:ind w:left="0" w:right="0" w:hanging="0"/>
              <w:jc w:val="left"/>
            </w:pPr>
            <w:r>
              <w:t> </w:t>
            </w:r>
          </w:p>
        </w:tc>
        <w:tc>
          <w:tcPr>
            <w:tcW w:w="653" w:type="dxa"/>
            <w:tcBorders/>
            <w:shd w:fill="FFFFFF" w:val="clear"/>
            <w:vAlign w:val="center"/>
          </w:tcPr>
          <w:p>
            <w:pPr>
              <w:pStyle w:val="TableContents"/>
              <w:bidi w:val="0"/>
              <w:spacing w:before="0" w:after="283"/>
              <w:ind w:left="0" w:right="0" w:hanging="0"/>
              <w:jc w:val="right"/>
            </w:pPr>
            <w:r>
              <w:rPr>
                <w:rStyle w:val="Emphasis"/>
              </w:rPr>
              <w:t>—</w:t>
            </w:r>
          </w:p>
        </w:tc>
        <w:tc>
          <w:tcPr>
            <w:tcW w:w="63" w:type="dxa"/>
            <w:tcBorders/>
            <w:shd w:fill="FFFFFF" w:val="clear"/>
            <w:vAlign w:val="center"/>
          </w:tcPr>
          <w:p>
            <w:pPr>
              <w:pStyle w:val="TableContents"/>
              <w:bidi w:val="0"/>
              <w:spacing w:before="0" w:after="283"/>
              <w:jc w:val="left"/>
            </w:pPr>
            <w:r>
              <w:t> </w:t>
            </w:r>
          </w:p>
        </w:tc>
        <w:tc>
          <w:tcPr>
            <w:tcW w:w="63" w:type="dxa"/>
            <w:tcBorders/>
            <w:shd w:fill="FFFFFF" w:val="clear"/>
            <w:vAlign w:val="center"/>
          </w:tcPr>
          <w:p>
            <w:pPr>
              <w:pStyle w:val="TableContents"/>
              <w:bidi w:val="0"/>
              <w:spacing w:before="0" w:after="283"/>
              <w:jc w:val="left"/>
            </w:pPr>
            <w:r>
              <w:t> </w:t>
            </w:r>
          </w:p>
        </w:tc>
        <w:tc>
          <w:tcPr>
            <w:tcW w:w="220" w:type="dxa"/>
            <w:tcBorders/>
            <w:shd w:fill="FFFFFF" w:val="clear"/>
            <w:vAlign w:val="center"/>
          </w:tcPr>
          <w:p>
            <w:pPr>
              <w:pStyle w:val="TableContents"/>
              <w:bidi w:val="0"/>
              <w:spacing w:before="0" w:after="283"/>
              <w:ind w:left="0" w:right="0" w:hanging="0"/>
              <w:jc w:val="left"/>
            </w:pPr>
            <w:r>
              <w:t> </w:t>
            </w:r>
          </w:p>
        </w:tc>
        <w:tc>
          <w:tcPr>
            <w:tcW w:w="460" w:type="dxa"/>
            <w:tcBorders/>
            <w:shd w:fill="FFFFFF" w:val="cle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3,383</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55" w:type="dxa"/>
            <w:tcBorders/>
            <w:shd w:fill="FFFFFF" w:val="clear"/>
            <w:vAlign w:val="center"/>
          </w:tcPr>
          <w:p>
            <w:pPr>
              <w:pStyle w:val="TableContents"/>
              <w:bidi w:val="0"/>
              <w:spacing w:before="0" w:after="283"/>
              <w:ind w:left="0" w:right="0" w:hanging="0"/>
              <w:jc w:val="left"/>
            </w:pPr>
            <w:r>
              <w:t> </w:t>
            </w:r>
          </w:p>
        </w:tc>
        <w:tc>
          <w:tcPr>
            <w:tcW w:w="995"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8" w:type="dxa"/>
            <w:tcBorders/>
            <w:shd w:fill="FFFFFF" w:val="clear"/>
            <w:vAlign w:val="center"/>
          </w:tcPr>
          <w:p>
            <w:pPr>
              <w:pStyle w:val="TableContents"/>
              <w:bidi w:val="0"/>
              <w:spacing w:before="0" w:after="283"/>
              <w:ind w:left="0" w:right="0" w:hanging="0"/>
              <w:jc w:val="left"/>
            </w:pPr>
            <w:r>
              <w:t> </w:t>
            </w:r>
          </w:p>
        </w:tc>
        <w:tc>
          <w:tcPr>
            <w:tcW w:w="957"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44" w:type="dxa"/>
            <w:tcBorders/>
            <w:shd w:fill="FFFFFF" w:val="clear"/>
            <w:vAlign w:val="center"/>
          </w:tcPr>
          <w:p>
            <w:pPr>
              <w:pStyle w:val="TableContents"/>
              <w:bidi w:val="0"/>
              <w:spacing w:before="0" w:after="283"/>
              <w:ind w:left="0" w:right="0" w:hanging="0"/>
              <w:jc w:val="left"/>
            </w:pPr>
            <w:r>
              <w:t> </w:t>
            </w:r>
          </w:p>
        </w:tc>
        <w:tc>
          <w:tcPr>
            <w:tcW w:w="9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3,383</w:t>
            </w:r>
          </w:p>
        </w:tc>
        <w:tc>
          <w:tcPr>
            <w:tcW w:w="83" w:type="dxa"/>
            <w:tcBorders/>
            <w:shd w:fill="FFFFFF" w:val="clear"/>
            <w:vAlign w:val="center"/>
          </w:tcPr>
          <w:p>
            <w:pPr>
              <w:pStyle w:val="TableContents"/>
              <w:bidi w:val="0"/>
              <w:spacing w:before="0" w:after="283"/>
              <w:jc w:val="left"/>
            </w:pPr>
            <w:r>
              <w:t> </w:t>
            </w:r>
          </w:p>
        </w:tc>
      </w:tr>
      <w:tr>
        <w:tc>
          <w:tcPr>
            <w:tcW w:w="35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translation adjustment</w:t>
            </w:r>
          </w:p>
        </w:tc>
        <w:tc>
          <w:tcPr>
            <w:tcW w:w="60" w:type="dxa"/>
            <w:tcBorders/>
            <w:shd w:fill="CCEEFF" w:val="clear"/>
            <w:vAlign w:val="center"/>
          </w:tcPr>
          <w:p>
            <w:pPr>
              <w:pStyle w:val="TableContents"/>
              <w:bidi w:val="0"/>
              <w:spacing w:before="0" w:after="283"/>
              <w:jc w:val="left"/>
            </w:pPr>
            <w:r>
              <w:t> </w:t>
            </w:r>
          </w:p>
        </w:tc>
        <w:tc>
          <w:tcPr>
            <w:tcW w:w="67" w:type="dxa"/>
            <w:tcBorders/>
            <w:shd w:fill="CCEEFF" w:val="clear"/>
            <w:vAlign w:val="center"/>
          </w:tcPr>
          <w:p>
            <w:pPr>
              <w:pStyle w:val="TableContents"/>
              <w:bidi w:val="0"/>
              <w:spacing w:before="0" w:after="283"/>
              <w:ind w:left="0" w:right="0" w:hanging="0"/>
              <w:jc w:val="left"/>
            </w:pPr>
            <w:r>
              <w:t> </w:t>
            </w:r>
          </w:p>
        </w:tc>
        <w:tc>
          <w:tcPr>
            <w:tcW w:w="653" w:type="dxa"/>
            <w:tcBorders/>
            <w:shd w:fill="CCEEFF" w:val="clear"/>
            <w:vAlign w:val="center"/>
          </w:tcPr>
          <w:p>
            <w:pPr>
              <w:pStyle w:val="TableContents"/>
              <w:bidi w:val="0"/>
              <w:spacing w:before="0" w:after="283"/>
              <w:ind w:left="0" w:right="0" w:hanging="0"/>
              <w:jc w:val="right"/>
            </w:pPr>
            <w:r>
              <w:rPr>
                <w:rStyle w:val="Emphasis"/>
              </w:rPr>
              <w:t>—</w:t>
            </w:r>
          </w:p>
        </w:tc>
        <w:tc>
          <w:tcPr>
            <w:tcW w:w="63" w:type="dxa"/>
            <w:tcBorders/>
            <w:shd w:fill="CCEEFF" w:val="clear"/>
            <w:vAlign w:val="center"/>
          </w:tcPr>
          <w:p>
            <w:pPr>
              <w:pStyle w:val="TableContents"/>
              <w:bidi w:val="0"/>
              <w:spacing w:before="0" w:after="283"/>
              <w:jc w:val="left"/>
            </w:pPr>
            <w:r>
              <w:t> </w:t>
            </w:r>
          </w:p>
        </w:tc>
        <w:tc>
          <w:tcPr>
            <w:tcW w:w="63" w:type="dxa"/>
            <w:tcBorders/>
            <w:shd w:fill="CCEEFF" w:val="clear"/>
            <w:vAlign w:val="center"/>
          </w:tcPr>
          <w:p>
            <w:pPr>
              <w:pStyle w:val="TableContents"/>
              <w:bidi w:val="0"/>
              <w:spacing w:before="0" w:after="283"/>
              <w:jc w:val="left"/>
            </w:pPr>
            <w:r>
              <w:t> </w:t>
            </w:r>
          </w:p>
        </w:tc>
        <w:tc>
          <w:tcPr>
            <w:tcW w:w="220" w:type="dxa"/>
            <w:tcBorders/>
            <w:shd w:fill="CCEEFF" w:val="clear"/>
            <w:vAlign w:val="center"/>
          </w:tcPr>
          <w:p>
            <w:pPr>
              <w:pStyle w:val="TableContents"/>
              <w:bidi w:val="0"/>
              <w:spacing w:before="0" w:after="283"/>
              <w:ind w:left="0" w:right="0" w:hanging="0"/>
              <w:jc w:val="left"/>
            </w:pPr>
            <w:r>
              <w:t> </w:t>
            </w:r>
          </w:p>
        </w:tc>
        <w:tc>
          <w:tcPr>
            <w:tcW w:w="460"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845" w:type="dxa"/>
            <w:tcBorders/>
            <w:shd w:fill="CCEEFF" w:val="clear"/>
            <w:vAlign w:val="center"/>
          </w:tcPr>
          <w:p>
            <w:pPr>
              <w:pStyle w:val="TableContents"/>
              <w:bidi w:val="0"/>
              <w:spacing w:before="0" w:after="283"/>
              <w:ind w:left="0" w:right="0" w:hanging="0"/>
              <w:jc w:val="right"/>
            </w:pPr>
            <w:r>
              <w:rPr>
                <w:rStyle w:val="Emphasis"/>
              </w:rP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55" w:type="dxa"/>
            <w:tcBorders/>
            <w:shd w:fill="CCEEFF" w:val="clear"/>
            <w:vAlign w:val="center"/>
          </w:tcPr>
          <w:p>
            <w:pPr>
              <w:pStyle w:val="TableContents"/>
              <w:bidi w:val="0"/>
              <w:spacing w:before="0" w:after="283"/>
              <w:ind w:left="0" w:right="0" w:hanging="0"/>
              <w:jc w:val="left"/>
            </w:pPr>
            <w:r>
              <w:t> </w:t>
            </w:r>
          </w:p>
        </w:tc>
        <w:tc>
          <w:tcPr>
            <w:tcW w:w="9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5,168</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58" w:type="dxa"/>
            <w:tcBorders/>
            <w:shd w:fill="CCEEFF" w:val="clear"/>
            <w:vAlign w:val="center"/>
          </w:tcPr>
          <w:p>
            <w:pPr>
              <w:pStyle w:val="TableContents"/>
              <w:bidi w:val="0"/>
              <w:spacing w:before="0" w:after="283"/>
              <w:ind w:left="0" w:right="0" w:hanging="0"/>
              <w:jc w:val="left"/>
            </w:pPr>
            <w:r>
              <w:t> </w:t>
            </w:r>
          </w:p>
        </w:tc>
        <w:tc>
          <w:tcPr>
            <w:tcW w:w="957"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44" w:type="dxa"/>
            <w:tcBorders/>
            <w:shd w:fill="CCEEFF" w:val="clear"/>
            <w:vAlign w:val="center"/>
          </w:tcPr>
          <w:p>
            <w:pPr>
              <w:pStyle w:val="TableContents"/>
              <w:bidi w:val="0"/>
              <w:spacing w:before="0" w:after="283"/>
              <w:ind w:left="0" w:right="0" w:hanging="0"/>
              <w:jc w:val="left"/>
            </w:pPr>
            <w:r>
              <w:t> </w:t>
            </w:r>
          </w:p>
        </w:tc>
        <w:tc>
          <w:tcPr>
            <w:tcW w:w="9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5,168</w:t>
            </w:r>
          </w:p>
        </w:tc>
        <w:tc>
          <w:tcPr>
            <w:tcW w:w="83" w:type="dxa"/>
            <w:tcBorders/>
            <w:shd w:fill="CCEEFF" w:val="clear"/>
            <w:vAlign w:val="center"/>
          </w:tcPr>
          <w:p>
            <w:pPr>
              <w:pStyle w:val="TableContents"/>
              <w:bidi w:val="0"/>
              <w:spacing w:before="0" w:after="283"/>
              <w:jc w:val="left"/>
            </w:pPr>
            <w:r>
              <w:t> </w:t>
            </w:r>
          </w:p>
        </w:tc>
      </w:tr>
      <w:tr>
        <w:tc>
          <w:tcPr>
            <w:tcW w:w="35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jc w:val="left"/>
            </w:pPr>
            <w:r>
              <w:t> </w:t>
            </w:r>
          </w:p>
        </w:tc>
        <w:tc>
          <w:tcPr>
            <w:tcW w:w="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65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pPr>
            <w:r>
              <w:rPr>
                <w:rStyle w:val="Emphasis"/>
              </w:rPr>
              <w:t>—</w:t>
            </w:r>
          </w:p>
        </w:tc>
        <w:tc>
          <w:tcPr>
            <w:tcW w:w="63" w:type="dxa"/>
            <w:tcBorders/>
            <w:shd w:fill="FFFFFF" w:val="clear"/>
            <w:vAlign w:val="center"/>
          </w:tcPr>
          <w:p>
            <w:pPr>
              <w:pStyle w:val="TableContents"/>
              <w:bidi w:val="0"/>
              <w:spacing w:before="0" w:after="283"/>
              <w:jc w:val="left"/>
            </w:pPr>
            <w:r>
              <w:t> </w:t>
            </w:r>
          </w:p>
        </w:tc>
        <w:tc>
          <w:tcPr>
            <w:tcW w:w="63" w:type="dxa"/>
            <w:tcBorders/>
            <w:shd w:fill="FFFFFF" w:val="clear"/>
            <w:vAlign w:val="center"/>
          </w:tcPr>
          <w:p>
            <w:pPr>
              <w:pStyle w:val="TableContents"/>
              <w:bidi w:val="0"/>
              <w:spacing w:before="0" w:after="283"/>
              <w:jc w:val="left"/>
            </w:pPr>
            <w:r>
              <w:t> </w:t>
            </w:r>
          </w:p>
        </w:tc>
        <w:tc>
          <w:tcPr>
            <w:tcW w:w="22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4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pPr>
            <w:r>
              <w:rPr>
                <w:rStyle w:val="Emphasis"/>
              </w:rP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5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9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95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(30,762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98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(30,762</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35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30, 2026</w:t>
            </w:r>
          </w:p>
        </w:tc>
        <w:tc>
          <w:tcPr>
            <w:tcW w:w="60" w:type="dxa"/>
            <w:tcBorders/>
            <w:shd w:fill="CCEEFF" w:val="clear"/>
            <w:vAlign w:val="center"/>
          </w:tcPr>
          <w:p>
            <w:pPr>
              <w:pStyle w:val="TableContents"/>
              <w:bidi w:val="0"/>
              <w:spacing w:before="0" w:after="283"/>
              <w:jc w:val="left"/>
            </w:pPr>
            <w:r>
              <w:t> </w:t>
            </w:r>
          </w:p>
        </w:tc>
        <w:tc>
          <w:tcPr>
            <w:tcW w:w="6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pPr>
            <w:r>
              <w:t> </w:t>
            </w:r>
          </w:p>
        </w:tc>
        <w:tc>
          <w:tcPr>
            <w:tcW w:w="65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89,885</w:t>
            </w:r>
          </w:p>
        </w:tc>
        <w:tc>
          <w:tcPr>
            <w:tcW w:w="63" w:type="dxa"/>
            <w:tcBorders/>
            <w:shd w:fill="CCEEFF" w:val="clear"/>
            <w:vAlign w:val="center"/>
          </w:tcPr>
          <w:p>
            <w:pPr>
              <w:pStyle w:val="TableContents"/>
              <w:bidi w:val="0"/>
              <w:spacing w:before="0" w:after="283"/>
              <w:jc w:val="left"/>
            </w:pPr>
            <w:r>
              <w:t> </w:t>
            </w:r>
          </w:p>
        </w:tc>
        <w:tc>
          <w:tcPr>
            <w:tcW w:w="63" w:type="dxa"/>
            <w:tcBorders/>
            <w:shd w:fill="CCEEFF" w:val="clear"/>
            <w:vAlign w:val="center"/>
          </w:tcPr>
          <w:p>
            <w:pPr>
              <w:pStyle w:val="TableContents"/>
              <w:bidi w:val="0"/>
              <w:spacing w:before="0" w:after="283"/>
              <w:ind w:left="0" w:right="0" w:hanging="0"/>
              <w:jc w:val="left"/>
            </w:pPr>
            <w:r>
              <w:t> </w:t>
            </w:r>
          </w:p>
        </w:tc>
        <w:tc>
          <w:tcPr>
            <w:tcW w:w="22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6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2,757,548</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25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4,551</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5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(520,841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pPr>
            <w:r>
              <w:t> </w:t>
            </w:r>
          </w:p>
        </w:tc>
        <w:tc>
          <w:tcPr>
            <w:tcW w:w="14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2,241,348</w:t>
            </w:r>
          </w:p>
        </w:tc>
        <w:tc>
          <w:tcPr>
            <w:tcW w:w="83" w:type="dxa"/>
            <w:tcBorders/>
            <w:shd w:fill="CCEEFF" w:val="clear"/>
            <w:vAlign w:val="center"/>
          </w:tcPr>
          <w:p>
            <w:pPr>
              <w:pStyle w:val="TableContents"/>
              <w:bidi w:val="0"/>
              <w:spacing w:before="0" w:after="283"/>
              <w:jc w:val="left"/>
            </w:pPr>
            <w:r>
              <w:t> </w:t>
            </w:r>
          </w:p>
        </w:tc>
      </w:tr>
    </w:tbl>
    <w:p>
      <w:pPr>
        <w:pStyle w:val="TextBody"/>
        <w:bidi w:val="0"/>
        <w:spacing w:before="0" w:after="0"/>
        <w:ind w:left="0" w:right="0" w:hanging="0"/>
        <w:jc w:val="left"/>
      </w:pPr>
      <w:r>
        <w:t> </w:t>
      </w:r>
    </w:p>
    <w:tbl>
      <w:tblPr>
        <w:tblW w:w="10205" w:type="dxa"/>
        <w:jc w:val="left"/>
        <w:tblInd w:w="0" w:type="dxa"/>
        <w:tblLayout w:type="fixed"/>
        <w:tblCellMar>
          <w:top w:w="0" w:type="dxa"/>
          <w:left w:w="0" w:type="dxa"/>
          <w:bottom w:w="0" w:type="dxa"/>
          <w:right w:w="0" w:type="dxa"/>
        </w:tblCellMar>
      </w:tblPr>
      <w:tblGrid>
        <w:gridCol w:w="3757"/>
        <w:gridCol w:w="60"/>
        <w:gridCol w:w="67"/>
        <w:gridCol w:w="656"/>
        <w:gridCol w:w="63"/>
        <w:gridCol w:w="63"/>
        <w:gridCol w:w="220"/>
        <w:gridCol w:w="460"/>
        <w:gridCol w:w="60"/>
        <w:gridCol w:w="60"/>
        <w:gridCol w:w="125"/>
        <w:gridCol w:w="845"/>
        <w:gridCol w:w="80"/>
        <w:gridCol w:w="60"/>
        <w:gridCol w:w="233"/>
        <w:gridCol w:w="1017"/>
        <w:gridCol w:w="80"/>
        <w:gridCol w:w="60"/>
        <w:gridCol w:w="125"/>
        <w:gridCol w:w="755"/>
        <w:gridCol w:w="80"/>
        <w:gridCol w:w="60"/>
        <w:gridCol w:w="172"/>
        <w:gridCol w:w="963"/>
        <w:gridCol w:w="84"/>
      </w:tblGrid>
      <w:tr>
        <w:tc>
          <w:tcPr>
            <w:tcW w:w="3757"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7" w:type="dxa"/>
            <w:tcBorders/>
            <w:shd w:fill="FFFFFF" w:val="clear"/>
            <w:vAlign w:val="center"/>
          </w:tcPr>
          <w:p>
            <w:pPr>
              <w:pStyle w:val="TableContents"/>
              <w:bidi w:val="0"/>
              <w:spacing w:before="0" w:after="283"/>
              <w:jc w:val="left"/>
            </w:pPr>
            <w:r>
              <w:t> </w:t>
            </w:r>
          </w:p>
        </w:tc>
        <w:tc>
          <w:tcPr>
            <w:tcW w:w="656" w:type="dxa"/>
            <w:tcBorders/>
            <w:shd w:fill="FFFFFF" w:val="clear"/>
            <w:vAlign w:val="center"/>
          </w:tcPr>
          <w:p>
            <w:pPr>
              <w:pStyle w:val="TableContents"/>
              <w:bidi w:val="0"/>
              <w:spacing w:before="0" w:after="283"/>
              <w:jc w:val="center"/>
            </w:pPr>
            <w:r>
              <w:rPr>
                <w:rStyle w:val="Emphasis"/>
              </w:rPr>
              <w:t> </w:t>
            </w:r>
          </w:p>
        </w:tc>
        <w:tc>
          <w:tcPr>
            <w:tcW w:w="63" w:type="dxa"/>
            <w:tcBorders/>
            <w:shd w:fill="FFFFFF" w:val="clear"/>
            <w:vAlign w:val="center"/>
          </w:tcPr>
          <w:p>
            <w:pPr>
              <w:pStyle w:val="TableContents"/>
              <w:bidi w:val="0"/>
              <w:spacing w:before="0" w:after="283"/>
              <w:jc w:val="left"/>
            </w:pPr>
            <w:r>
              <w:t> </w:t>
            </w:r>
          </w:p>
        </w:tc>
        <w:tc>
          <w:tcPr>
            <w:tcW w:w="63" w:type="dxa"/>
            <w:tcBorders/>
            <w:shd w:fill="FFFFFF" w:val="clear"/>
            <w:vAlign w:val="center"/>
          </w:tcPr>
          <w:p>
            <w:pPr>
              <w:pStyle w:val="TableContents"/>
              <w:bidi w:val="0"/>
              <w:spacing w:before="0" w:after="283"/>
              <w:jc w:val="left"/>
            </w:pPr>
            <w:r>
              <w:t> </w:t>
            </w:r>
          </w:p>
        </w:tc>
        <w:tc>
          <w:tcPr>
            <w:tcW w:w="220" w:type="dxa"/>
            <w:tcBorders/>
            <w:shd w:fill="FFFFFF" w:val="clear"/>
            <w:vAlign w:val="center"/>
          </w:tcPr>
          <w:p>
            <w:pPr>
              <w:pStyle w:val="TableContents"/>
              <w:bidi w:val="0"/>
              <w:spacing w:before="0" w:after="283"/>
              <w:jc w:val="left"/>
            </w:pPr>
            <w:r>
              <w:t> </w:t>
            </w:r>
          </w:p>
        </w:tc>
        <w:tc>
          <w:tcPr>
            <w:tcW w:w="460" w:type="dxa"/>
            <w:tcBorders/>
            <w:shd w:fill="FFFFFF" w:val="clear"/>
            <w:vAlign w:val="center"/>
          </w:tcPr>
          <w:p>
            <w:pPr>
              <w:pStyle w:val="TableContents"/>
              <w:bidi w:val="0"/>
              <w:spacing w:before="0" w:after="283"/>
              <w:jc w:val="center"/>
            </w:pPr>
            <w:r>
              <w:rPr>
                <w:rStyle w:val="Emphasis"/>
              </w:rP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845" w:type="dxa"/>
            <w:tcBorders/>
            <w:shd w:fill="FFFFFF" w:val="clear"/>
            <w:vAlign w:val="center"/>
          </w:tcPr>
          <w:p>
            <w:pPr>
              <w:pStyle w:val="TableContents"/>
              <w:bidi w:val="0"/>
              <w:spacing w:before="0" w:after="283"/>
              <w:jc w:val="center"/>
            </w:pPr>
            <w:r>
              <w:rPr>
                <w:rStyle w:val="Emphasis"/>
              </w:rP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50"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Accumulated</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755" w:type="dxa"/>
            <w:tcBorders/>
            <w:shd w:fill="FFFFFF" w:val="clear"/>
            <w:vAlign w:val="center"/>
          </w:tcPr>
          <w:p>
            <w:pPr>
              <w:pStyle w:val="TableContents"/>
              <w:bidi w:val="0"/>
              <w:spacing w:before="0" w:after="283"/>
              <w:jc w:val="center"/>
            </w:pPr>
            <w:r>
              <w:rPr>
                <w:rStyle w:val="Emphasis"/>
              </w:rP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72" w:type="dxa"/>
            <w:tcBorders/>
            <w:shd w:fill="FFFFFF" w:val="clear"/>
            <w:vAlign w:val="center"/>
          </w:tcPr>
          <w:p>
            <w:pPr>
              <w:pStyle w:val="TableContents"/>
              <w:bidi w:val="0"/>
              <w:spacing w:before="0" w:after="283"/>
              <w:jc w:val="left"/>
            </w:pPr>
            <w:r>
              <w:t> </w:t>
            </w:r>
          </w:p>
        </w:tc>
        <w:tc>
          <w:tcPr>
            <w:tcW w:w="963" w:type="dxa"/>
            <w:tcBorders/>
            <w:shd w:fill="FFFFFF" w:val="clear"/>
            <w:vAlign w:val="center"/>
          </w:tcPr>
          <w:p>
            <w:pPr>
              <w:pStyle w:val="TableContents"/>
              <w:bidi w:val="0"/>
              <w:spacing w:before="0" w:after="283"/>
              <w:jc w:val="center"/>
            </w:pPr>
            <w:r>
              <w:rPr>
                <w:rStyle w:val="Emphasis"/>
              </w:rPr>
              <w:t> </w:t>
            </w:r>
          </w:p>
        </w:tc>
        <w:tc>
          <w:tcPr>
            <w:tcW w:w="84" w:type="dxa"/>
            <w:tcBorders/>
            <w:shd w:fill="FFFFFF" w:val="clear"/>
            <w:vAlign w:val="center"/>
          </w:tcPr>
          <w:p>
            <w:pPr>
              <w:pStyle w:val="TableContents"/>
              <w:bidi w:val="0"/>
              <w:spacing w:before="0" w:after="283"/>
              <w:jc w:val="left"/>
            </w:pPr>
            <w:r>
              <w:t> </w:t>
            </w:r>
          </w:p>
        </w:tc>
      </w:tr>
      <w:tr>
        <w:tc>
          <w:tcPr>
            <w:tcW w:w="3757"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529"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Common Stock</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970"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Additional</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50"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other</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755" w:type="dxa"/>
            <w:tcBorders/>
            <w:shd w:fill="FFFFFF" w:val="clear"/>
            <w:vAlign w:val="center"/>
          </w:tcPr>
          <w:p>
            <w:pPr>
              <w:pStyle w:val="TableContents"/>
              <w:bidi w:val="0"/>
              <w:spacing w:before="0" w:after="283"/>
              <w:jc w:val="center"/>
            </w:pPr>
            <w:r>
              <w:rPr>
                <w:rStyle w:val="Emphasis"/>
              </w:rP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72" w:type="dxa"/>
            <w:tcBorders/>
            <w:shd w:fill="FFFFFF" w:val="clear"/>
            <w:vAlign w:val="center"/>
          </w:tcPr>
          <w:p>
            <w:pPr>
              <w:pStyle w:val="TableContents"/>
              <w:bidi w:val="0"/>
              <w:spacing w:before="0" w:after="283"/>
              <w:jc w:val="left"/>
            </w:pPr>
            <w:r>
              <w:t> </w:t>
            </w:r>
          </w:p>
        </w:tc>
        <w:tc>
          <w:tcPr>
            <w:tcW w:w="963" w:type="dxa"/>
            <w:tcBorders/>
            <w:shd w:fill="FFFFFF" w:val="clear"/>
            <w:vAlign w:val="center"/>
          </w:tcPr>
          <w:p>
            <w:pPr>
              <w:pStyle w:val="TableContents"/>
              <w:bidi w:val="0"/>
              <w:spacing w:before="0" w:after="283"/>
              <w:jc w:val="center"/>
            </w:pPr>
            <w:r>
              <w:rPr>
                <w:rStyle w:val="Emphasis"/>
              </w:rPr>
              <w:t> </w:t>
            </w:r>
          </w:p>
        </w:tc>
        <w:tc>
          <w:tcPr>
            <w:tcW w:w="84" w:type="dxa"/>
            <w:tcBorders/>
            <w:shd w:fill="FFFFFF" w:val="clear"/>
            <w:vAlign w:val="center"/>
          </w:tcPr>
          <w:p>
            <w:pPr>
              <w:pStyle w:val="TableContents"/>
              <w:bidi w:val="0"/>
              <w:spacing w:before="0" w:after="283"/>
              <w:jc w:val="left"/>
            </w:pPr>
            <w:r>
              <w:t> </w:t>
            </w:r>
          </w:p>
        </w:tc>
      </w:tr>
      <w:tr>
        <w:tc>
          <w:tcPr>
            <w:tcW w:w="3757"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23"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Number</w:t>
            </w:r>
          </w:p>
        </w:tc>
        <w:tc>
          <w:tcPr>
            <w:tcW w:w="63" w:type="dxa"/>
            <w:tcBorders/>
            <w:shd w:fill="FFFFFF" w:val="clear"/>
            <w:vAlign w:val="center"/>
          </w:tcPr>
          <w:p>
            <w:pPr>
              <w:pStyle w:val="TableContents"/>
              <w:bidi w:val="0"/>
              <w:spacing w:before="0" w:after="283"/>
              <w:jc w:val="left"/>
            </w:pPr>
            <w:r>
              <w:t> </w:t>
            </w:r>
          </w:p>
        </w:tc>
        <w:tc>
          <w:tcPr>
            <w:tcW w:w="63" w:type="dxa"/>
            <w:tcBorders/>
            <w:shd w:fill="FFFFFF" w:val="clear"/>
            <w:vAlign w:val="center"/>
          </w:tcPr>
          <w:p>
            <w:pPr>
              <w:pStyle w:val="TableContents"/>
              <w:bidi w:val="0"/>
              <w:spacing w:before="0" w:after="283"/>
              <w:jc w:val="left"/>
            </w:pPr>
            <w:r>
              <w:t> </w:t>
            </w:r>
          </w:p>
        </w:tc>
        <w:tc>
          <w:tcPr>
            <w:tcW w:w="220" w:type="dxa"/>
            <w:tcBorders/>
            <w:shd w:fill="FFFFFF" w:val="clear"/>
            <w:vAlign w:val="center"/>
          </w:tcPr>
          <w:p>
            <w:pPr>
              <w:pStyle w:val="TableContents"/>
              <w:bidi w:val="0"/>
              <w:spacing w:before="0" w:after="283"/>
              <w:jc w:val="left"/>
            </w:pPr>
            <w:r>
              <w:t> </w:t>
            </w:r>
          </w:p>
        </w:tc>
        <w:tc>
          <w:tcPr>
            <w:tcW w:w="460" w:type="dxa"/>
            <w:tcBorders/>
            <w:shd w:fill="FFFFFF" w:val="clear"/>
            <w:vAlign w:val="center"/>
          </w:tcPr>
          <w:p>
            <w:pPr>
              <w:pStyle w:val="TableContents"/>
              <w:bidi w:val="0"/>
              <w:spacing w:before="0" w:after="283"/>
              <w:jc w:val="center"/>
            </w:pPr>
            <w:r>
              <w:rPr>
                <w:rStyle w:val="Emphasis"/>
              </w:rP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970"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paid-in</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50"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comprehensive</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880"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Retained</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35"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Stockholders'</w:t>
            </w:r>
          </w:p>
        </w:tc>
        <w:tc>
          <w:tcPr>
            <w:tcW w:w="84" w:type="dxa"/>
            <w:tcBorders/>
            <w:shd w:fill="FFFFFF" w:val="clear"/>
            <w:vAlign w:val="center"/>
          </w:tcPr>
          <w:p>
            <w:pPr>
              <w:pStyle w:val="TableContents"/>
              <w:bidi w:val="0"/>
              <w:spacing w:before="0" w:after="283"/>
              <w:jc w:val="left"/>
            </w:pPr>
            <w:r>
              <w:t> </w:t>
            </w:r>
          </w:p>
        </w:tc>
      </w:tr>
      <w:tr>
        <w:tc>
          <w:tcPr>
            <w:tcW w:w="3757"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2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of shares</w:t>
            </w:r>
          </w:p>
        </w:tc>
        <w:tc>
          <w:tcPr>
            <w:tcW w:w="63" w:type="dxa"/>
            <w:tcBorders/>
            <w:shd w:fill="FFFFFF" w:val="clear"/>
            <w:vAlign w:val="center"/>
          </w:tcPr>
          <w:p>
            <w:pPr>
              <w:pStyle w:val="TableContents"/>
              <w:bidi w:val="0"/>
              <w:spacing w:before="0" w:after="283"/>
              <w:jc w:val="left"/>
            </w:pPr>
            <w:r>
              <w:t> </w:t>
            </w:r>
          </w:p>
        </w:tc>
        <w:tc>
          <w:tcPr>
            <w:tcW w:w="63" w:type="dxa"/>
            <w:tcBorders/>
            <w:shd w:fill="FFFFFF" w:val="clear"/>
            <w:vAlign w:val="center"/>
          </w:tcPr>
          <w:p>
            <w:pPr>
              <w:pStyle w:val="TableContents"/>
              <w:bidi w:val="0"/>
              <w:spacing w:before="0" w:after="283"/>
              <w:ind w:left="0" w:right="0" w:hanging="0"/>
              <w:jc w:val="left"/>
            </w:pPr>
            <w:r>
              <w:t> </w:t>
            </w:r>
          </w:p>
        </w:tc>
        <w:tc>
          <w:tcPr>
            <w:tcW w:w="6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capital</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gain (loss)</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earnings</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3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equity</w:t>
            </w:r>
          </w:p>
        </w:tc>
        <w:tc>
          <w:tcPr>
            <w:tcW w:w="84" w:type="dxa"/>
            <w:tcBorders/>
            <w:shd w:fill="FFFFFF" w:val="clear"/>
            <w:vAlign w:val="center"/>
          </w:tcPr>
          <w:p>
            <w:pPr>
              <w:pStyle w:val="TableContents"/>
              <w:bidi w:val="0"/>
              <w:spacing w:before="0" w:after="283"/>
              <w:jc w:val="left"/>
            </w:pPr>
            <w:r>
              <w:t> </w:t>
            </w:r>
          </w:p>
        </w:tc>
      </w:tr>
      <w:tr>
        <w:tc>
          <w:tcPr>
            <w:tcW w:w="375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31, 2024</w:t>
            </w:r>
          </w:p>
        </w:tc>
        <w:tc>
          <w:tcPr>
            <w:tcW w:w="60" w:type="dxa"/>
            <w:tcBorders/>
            <w:shd w:fill="CCEEFF" w:val="clear"/>
            <w:vAlign w:val="center"/>
          </w:tcPr>
          <w:p>
            <w:pPr>
              <w:pStyle w:val="TableContents"/>
              <w:bidi w:val="0"/>
              <w:spacing w:before="0" w:after="283"/>
              <w:jc w:val="left"/>
            </w:pPr>
            <w:r>
              <w:t> </w:t>
            </w:r>
          </w:p>
        </w:tc>
        <w:tc>
          <w:tcPr>
            <w:tcW w:w="67" w:type="dxa"/>
            <w:tcBorders/>
            <w:shd w:fill="CCEEFF" w:val="clear"/>
            <w:vAlign w:val="center"/>
          </w:tcPr>
          <w:p>
            <w:pPr>
              <w:pStyle w:val="TableContents"/>
              <w:bidi w:val="0"/>
              <w:spacing w:before="0" w:after="283"/>
              <w:ind w:left="0" w:right="0" w:hanging="0"/>
              <w:jc w:val="left"/>
            </w:pPr>
            <w:r>
              <w:t> </w:t>
            </w:r>
          </w:p>
        </w:tc>
        <w:tc>
          <w:tcPr>
            <w:tcW w:w="6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49,393</w:t>
            </w:r>
          </w:p>
        </w:tc>
        <w:tc>
          <w:tcPr>
            <w:tcW w:w="63" w:type="dxa"/>
            <w:tcBorders/>
            <w:shd w:fill="CCEEFF" w:val="clear"/>
            <w:vAlign w:val="center"/>
          </w:tcPr>
          <w:p>
            <w:pPr>
              <w:pStyle w:val="TableContents"/>
              <w:bidi w:val="0"/>
              <w:spacing w:before="0" w:after="283"/>
              <w:jc w:val="left"/>
            </w:pPr>
            <w:r>
              <w:t> </w:t>
            </w:r>
          </w:p>
        </w:tc>
        <w:tc>
          <w:tcPr>
            <w:tcW w:w="63" w:type="dxa"/>
            <w:tcBorders/>
            <w:shd w:fill="CCEEFF" w:val="clear"/>
            <w:vAlign w:val="center"/>
          </w:tcPr>
          <w:p>
            <w:pPr>
              <w:pStyle w:val="TableContents"/>
              <w:bidi w:val="0"/>
              <w:spacing w:before="0" w:after="283"/>
              <w:ind w:left="0" w:right="0" w:hanging="0"/>
              <w:jc w:val="left"/>
            </w:pPr>
            <w:r>
              <w:t> </w:t>
            </w:r>
          </w:p>
        </w:tc>
        <w:tc>
          <w:tcPr>
            <w:tcW w:w="22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683,462</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23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(2,548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(451,851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pPr>
            <w:r>
              <w:t> </w:t>
            </w:r>
          </w:p>
        </w:tc>
        <w:tc>
          <w:tcPr>
            <w:tcW w:w="17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229,112</w:t>
            </w:r>
          </w:p>
        </w:tc>
        <w:tc>
          <w:tcPr>
            <w:tcW w:w="84" w:type="dxa"/>
            <w:tcBorders/>
            <w:shd w:fill="CCEEFF" w:val="clear"/>
            <w:vAlign w:val="center"/>
          </w:tcPr>
          <w:p>
            <w:pPr>
              <w:pStyle w:val="TableContents"/>
              <w:bidi w:val="0"/>
              <w:spacing w:before="0" w:after="283"/>
              <w:jc w:val="left"/>
            </w:pPr>
            <w:r>
              <w:t> </w:t>
            </w:r>
          </w:p>
        </w:tc>
      </w:tr>
      <w:tr>
        <w:tc>
          <w:tcPr>
            <w:tcW w:w="375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restricted stock, net of shares withheld for employee tax</w:t>
            </w:r>
          </w:p>
        </w:tc>
        <w:tc>
          <w:tcPr>
            <w:tcW w:w="60" w:type="dxa"/>
            <w:tcBorders/>
            <w:shd w:fill="FFFFFF" w:val="clear"/>
            <w:vAlign w:val="center"/>
          </w:tcPr>
          <w:p>
            <w:pPr>
              <w:pStyle w:val="TableContents"/>
              <w:bidi w:val="0"/>
              <w:spacing w:before="0" w:after="283"/>
              <w:jc w:val="left"/>
            </w:pPr>
            <w:r>
              <w:t> </w:t>
            </w:r>
          </w:p>
        </w:tc>
        <w:tc>
          <w:tcPr>
            <w:tcW w:w="67" w:type="dxa"/>
            <w:tcBorders/>
            <w:shd w:fill="FFFFFF" w:val="clear"/>
            <w:vAlign w:val="center"/>
          </w:tcPr>
          <w:p>
            <w:pPr>
              <w:pStyle w:val="TableContents"/>
              <w:bidi w:val="0"/>
              <w:spacing w:before="0" w:after="283"/>
              <w:ind w:left="0" w:right="0" w:hanging="0"/>
              <w:jc w:val="left"/>
            </w:pPr>
            <w:r>
              <w:t> </w:t>
            </w:r>
          </w:p>
        </w:tc>
        <w:tc>
          <w:tcPr>
            <w:tcW w:w="6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1,381</w:t>
            </w:r>
          </w:p>
        </w:tc>
        <w:tc>
          <w:tcPr>
            <w:tcW w:w="63" w:type="dxa"/>
            <w:tcBorders/>
            <w:shd w:fill="FFFFFF" w:val="clear"/>
            <w:vAlign w:val="center"/>
          </w:tcPr>
          <w:p>
            <w:pPr>
              <w:pStyle w:val="TableContents"/>
              <w:bidi w:val="0"/>
              <w:spacing w:before="0" w:after="283"/>
              <w:jc w:val="left"/>
            </w:pPr>
            <w:r>
              <w:t> </w:t>
            </w:r>
          </w:p>
        </w:tc>
        <w:tc>
          <w:tcPr>
            <w:tcW w:w="63" w:type="dxa"/>
            <w:tcBorders/>
            <w:shd w:fill="FFFFFF" w:val="clear"/>
            <w:vAlign w:val="center"/>
          </w:tcPr>
          <w:p>
            <w:pPr>
              <w:pStyle w:val="TableContents"/>
              <w:bidi w:val="0"/>
              <w:spacing w:before="0" w:after="283"/>
              <w:jc w:val="left"/>
            </w:pPr>
            <w:r>
              <w:t> </w:t>
            </w:r>
          </w:p>
        </w:tc>
        <w:tc>
          <w:tcPr>
            <w:tcW w:w="220" w:type="dxa"/>
            <w:tcBorders/>
            <w:shd w:fill="FFFFFF" w:val="clear"/>
            <w:vAlign w:val="center"/>
          </w:tcPr>
          <w:p>
            <w:pPr>
              <w:pStyle w:val="TableContents"/>
              <w:bidi w:val="0"/>
              <w:spacing w:before="0" w:after="283"/>
              <w:ind w:left="0" w:right="0" w:hanging="0"/>
              <w:jc w:val="left"/>
            </w:pPr>
            <w:r>
              <w:t> </w:t>
            </w:r>
          </w:p>
        </w:tc>
        <w:tc>
          <w:tcPr>
            <w:tcW w:w="4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(9,182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233" w:type="dxa"/>
            <w:tcBorders/>
            <w:shd w:fill="FFFFFF" w:val="clear"/>
            <w:vAlign w:val="center"/>
          </w:tcPr>
          <w:p>
            <w:pPr>
              <w:pStyle w:val="TableContents"/>
              <w:bidi w:val="0"/>
              <w:spacing w:before="0" w:after="283"/>
              <w:ind w:left="0" w:right="0" w:hanging="0"/>
              <w:jc w:val="left"/>
            </w:pPr>
            <w:r>
              <w:t> </w:t>
            </w:r>
          </w:p>
        </w:tc>
        <w:tc>
          <w:tcPr>
            <w:tcW w:w="1017"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755"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72" w:type="dxa"/>
            <w:tcBorders/>
            <w:shd w:fill="FFFFFF" w:val="clear"/>
            <w:vAlign w:val="center"/>
          </w:tcPr>
          <w:p>
            <w:pPr>
              <w:pStyle w:val="TableContents"/>
              <w:bidi w:val="0"/>
              <w:spacing w:before="0" w:after="283"/>
              <w:ind w:left="0" w:right="0" w:hanging="0"/>
              <w:jc w:val="left"/>
            </w:pPr>
            <w:r>
              <w:t> </w:t>
            </w:r>
          </w:p>
        </w:tc>
        <w:tc>
          <w:tcPr>
            <w:tcW w:w="96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(9,181</w:t>
            </w:r>
          </w:p>
        </w:tc>
        <w:tc>
          <w:tcPr>
            <w:tcW w:w="8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375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Share-based compensation</w:t>
            </w:r>
          </w:p>
        </w:tc>
        <w:tc>
          <w:tcPr>
            <w:tcW w:w="60" w:type="dxa"/>
            <w:tcBorders/>
            <w:shd w:fill="CCEEFF" w:val="clear"/>
            <w:vAlign w:val="center"/>
          </w:tcPr>
          <w:p>
            <w:pPr>
              <w:pStyle w:val="TableContents"/>
              <w:bidi w:val="0"/>
              <w:spacing w:before="0" w:after="283"/>
              <w:jc w:val="left"/>
            </w:pPr>
            <w:r>
              <w:t> </w:t>
            </w:r>
          </w:p>
        </w:tc>
        <w:tc>
          <w:tcPr>
            <w:tcW w:w="67" w:type="dxa"/>
            <w:tcBorders/>
            <w:shd w:fill="CCEEFF" w:val="clear"/>
            <w:vAlign w:val="center"/>
          </w:tcPr>
          <w:p>
            <w:pPr>
              <w:pStyle w:val="TableContents"/>
              <w:bidi w:val="0"/>
              <w:spacing w:before="0" w:after="283"/>
              <w:ind w:left="0" w:right="0" w:hanging="0"/>
              <w:jc w:val="left"/>
            </w:pPr>
            <w:r>
              <w:t> </w:t>
            </w:r>
          </w:p>
        </w:tc>
        <w:tc>
          <w:tcPr>
            <w:tcW w:w="656" w:type="dxa"/>
            <w:tcBorders/>
            <w:shd w:fill="CCEEFF" w:val="clear"/>
            <w:vAlign w:val="center"/>
          </w:tcPr>
          <w:p>
            <w:pPr>
              <w:pStyle w:val="TableContents"/>
              <w:bidi w:val="0"/>
              <w:spacing w:before="0" w:after="283"/>
              <w:ind w:left="0" w:right="0" w:hanging="0"/>
              <w:jc w:val="right"/>
            </w:pPr>
            <w:r>
              <w:rPr>
                <w:rStyle w:val="Emphasis"/>
              </w:rPr>
              <w:t>—</w:t>
            </w:r>
          </w:p>
        </w:tc>
        <w:tc>
          <w:tcPr>
            <w:tcW w:w="63" w:type="dxa"/>
            <w:tcBorders/>
            <w:shd w:fill="CCEEFF" w:val="clear"/>
            <w:vAlign w:val="center"/>
          </w:tcPr>
          <w:p>
            <w:pPr>
              <w:pStyle w:val="TableContents"/>
              <w:bidi w:val="0"/>
              <w:spacing w:before="0" w:after="283"/>
              <w:jc w:val="left"/>
            </w:pPr>
            <w:r>
              <w:t> </w:t>
            </w:r>
          </w:p>
        </w:tc>
        <w:tc>
          <w:tcPr>
            <w:tcW w:w="63" w:type="dxa"/>
            <w:tcBorders/>
            <w:shd w:fill="CCEEFF" w:val="clear"/>
            <w:vAlign w:val="center"/>
          </w:tcPr>
          <w:p>
            <w:pPr>
              <w:pStyle w:val="TableContents"/>
              <w:bidi w:val="0"/>
              <w:spacing w:before="0" w:after="283"/>
              <w:jc w:val="left"/>
            </w:pPr>
            <w:r>
              <w:t> </w:t>
            </w:r>
          </w:p>
        </w:tc>
        <w:tc>
          <w:tcPr>
            <w:tcW w:w="220" w:type="dxa"/>
            <w:tcBorders/>
            <w:shd w:fill="CCEEFF" w:val="clear"/>
            <w:vAlign w:val="center"/>
          </w:tcPr>
          <w:p>
            <w:pPr>
              <w:pStyle w:val="TableContents"/>
              <w:bidi w:val="0"/>
              <w:spacing w:before="0" w:after="283"/>
              <w:ind w:left="0" w:right="0" w:hanging="0"/>
              <w:jc w:val="left"/>
            </w:pPr>
            <w:r>
              <w:t> </w:t>
            </w:r>
          </w:p>
        </w:tc>
        <w:tc>
          <w:tcPr>
            <w:tcW w:w="460"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8,842</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33" w:type="dxa"/>
            <w:tcBorders/>
            <w:shd w:fill="CCEEFF" w:val="clear"/>
            <w:vAlign w:val="center"/>
          </w:tcPr>
          <w:p>
            <w:pPr>
              <w:pStyle w:val="TableContents"/>
              <w:bidi w:val="0"/>
              <w:spacing w:before="0" w:after="283"/>
              <w:ind w:left="0" w:right="0" w:hanging="0"/>
              <w:jc w:val="left"/>
            </w:pPr>
            <w:r>
              <w:t> </w:t>
            </w:r>
          </w:p>
        </w:tc>
        <w:tc>
          <w:tcPr>
            <w:tcW w:w="1017"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755"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72" w:type="dxa"/>
            <w:tcBorders/>
            <w:shd w:fill="CCEEFF" w:val="clear"/>
            <w:vAlign w:val="center"/>
          </w:tcPr>
          <w:p>
            <w:pPr>
              <w:pStyle w:val="TableContents"/>
              <w:bidi w:val="0"/>
              <w:spacing w:before="0" w:after="283"/>
              <w:ind w:left="0" w:right="0" w:hanging="0"/>
              <w:jc w:val="left"/>
            </w:pPr>
            <w:r>
              <w:t> </w:t>
            </w:r>
          </w:p>
        </w:tc>
        <w:tc>
          <w:tcPr>
            <w:tcW w:w="96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8,842</w:t>
            </w:r>
          </w:p>
        </w:tc>
        <w:tc>
          <w:tcPr>
            <w:tcW w:w="84" w:type="dxa"/>
            <w:tcBorders/>
            <w:shd w:fill="CCEEFF" w:val="clear"/>
            <w:vAlign w:val="center"/>
          </w:tcPr>
          <w:p>
            <w:pPr>
              <w:pStyle w:val="TableContents"/>
              <w:bidi w:val="0"/>
              <w:spacing w:before="0" w:after="283"/>
              <w:jc w:val="left"/>
            </w:pPr>
            <w:r>
              <w:t> </w:t>
            </w:r>
          </w:p>
        </w:tc>
      </w:tr>
      <w:tr>
        <w:tc>
          <w:tcPr>
            <w:tcW w:w="375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Public offering of common stock, net</w:t>
            </w:r>
          </w:p>
        </w:tc>
        <w:tc>
          <w:tcPr>
            <w:tcW w:w="60" w:type="dxa"/>
            <w:tcBorders/>
            <w:shd w:fill="FFFFFF" w:val="clear"/>
            <w:vAlign w:val="center"/>
          </w:tcPr>
          <w:p>
            <w:pPr>
              <w:pStyle w:val="TableContents"/>
              <w:bidi w:val="0"/>
              <w:spacing w:before="0" w:after="283"/>
              <w:jc w:val="left"/>
            </w:pPr>
            <w:r>
              <w:t> </w:t>
            </w:r>
          </w:p>
        </w:tc>
        <w:tc>
          <w:tcPr>
            <w:tcW w:w="67" w:type="dxa"/>
            <w:tcBorders/>
            <w:shd w:fill="FFFFFF" w:val="clear"/>
            <w:vAlign w:val="center"/>
          </w:tcPr>
          <w:p>
            <w:pPr>
              <w:pStyle w:val="TableContents"/>
              <w:bidi w:val="0"/>
              <w:spacing w:before="0" w:after="283"/>
              <w:ind w:left="0" w:right="0" w:hanging="0"/>
              <w:jc w:val="left"/>
            </w:pPr>
            <w:r>
              <w:t> </w:t>
            </w:r>
          </w:p>
        </w:tc>
        <w:tc>
          <w:tcPr>
            <w:tcW w:w="6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17,052</w:t>
            </w:r>
          </w:p>
        </w:tc>
        <w:tc>
          <w:tcPr>
            <w:tcW w:w="63" w:type="dxa"/>
            <w:tcBorders/>
            <w:shd w:fill="FFFFFF" w:val="clear"/>
            <w:vAlign w:val="center"/>
          </w:tcPr>
          <w:p>
            <w:pPr>
              <w:pStyle w:val="TableContents"/>
              <w:bidi w:val="0"/>
              <w:spacing w:before="0" w:after="283"/>
              <w:jc w:val="left"/>
            </w:pPr>
            <w:r>
              <w:t> </w:t>
            </w:r>
          </w:p>
        </w:tc>
        <w:tc>
          <w:tcPr>
            <w:tcW w:w="63" w:type="dxa"/>
            <w:tcBorders/>
            <w:shd w:fill="FFFFFF" w:val="clear"/>
            <w:vAlign w:val="center"/>
          </w:tcPr>
          <w:p>
            <w:pPr>
              <w:pStyle w:val="TableContents"/>
              <w:bidi w:val="0"/>
              <w:spacing w:before="0" w:after="283"/>
              <w:jc w:val="left"/>
            </w:pPr>
            <w:r>
              <w:t> </w:t>
            </w:r>
          </w:p>
        </w:tc>
        <w:tc>
          <w:tcPr>
            <w:tcW w:w="220" w:type="dxa"/>
            <w:tcBorders/>
            <w:shd w:fill="FFFFFF" w:val="clear"/>
            <w:vAlign w:val="center"/>
          </w:tcPr>
          <w:p>
            <w:pPr>
              <w:pStyle w:val="TableContents"/>
              <w:bidi w:val="0"/>
              <w:spacing w:before="0" w:after="283"/>
              <w:ind w:left="0" w:right="0" w:hanging="0"/>
              <w:jc w:val="left"/>
            </w:pPr>
            <w:r>
              <w:t> </w:t>
            </w:r>
          </w:p>
        </w:tc>
        <w:tc>
          <w:tcPr>
            <w:tcW w:w="4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342,544</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33" w:type="dxa"/>
            <w:tcBorders/>
            <w:shd w:fill="FFFFFF" w:val="clear"/>
            <w:vAlign w:val="center"/>
          </w:tcPr>
          <w:p>
            <w:pPr>
              <w:pStyle w:val="TableContents"/>
              <w:bidi w:val="0"/>
              <w:spacing w:before="0" w:after="283"/>
              <w:ind w:left="0" w:right="0" w:hanging="0"/>
              <w:jc w:val="left"/>
            </w:pPr>
            <w:r>
              <w:t> </w:t>
            </w:r>
          </w:p>
        </w:tc>
        <w:tc>
          <w:tcPr>
            <w:tcW w:w="1017"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755"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72" w:type="dxa"/>
            <w:tcBorders/>
            <w:shd w:fill="FFFFFF" w:val="clear"/>
            <w:vAlign w:val="center"/>
          </w:tcPr>
          <w:p>
            <w:pPr>
              <w:pStyle w:val="TableContents"/>
              <w:bidi w:val="0"/>
              <w:spacing w:before="0" w:after="283"/>
              <w:ind w:left="0" w:right="0" w:hanging="0"/>
              <w:jc w:val="left"/>
            </w:pPr>
            <w:r>
              <w:t> </w:t>
            </w:r>
          </w:p>
        </w:tc>
        <w:tc>
          <w:tcPr>
            <w:tcW w:w="96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342,562</w:t>
            </w:r>
          </w:p>
        </w:tc>
        <w:tc>
          <w:tcPr>
            <w:tcW w:w="84" w:type="dxa"/>
            <w:tcBorders/>
            <w:shd w:fill="FFFFFF" w:val="clear"/>
            <w:vAlign w:val="center"/>
          </w:tcPr>
          <w:p>
            <w:pPr>
              <w:pStyle w:val="TableContents"/>
              <w:bidi w:val="0"/>
              <w:spacing w:before="0" w:after="283"/>
              <w:jc w:val="left"/>
            </w:pPr>
            <w:r>
              <w:t> </w:t>
            </w:r>
          </w:p>
        </w:tc>
      </w:tr>
      <w:tr>
        <w:tc>
          <w:tcPr>
            <w:tcW w:w="375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Warrants contra revenue</w:t>
            </w:r>
          </w:p>
        </w:tc>
        <w:tc>
          <w:tcPr>
            <w:tcW w:w="60" w:type="dxa"/>
            <w:tcBorders/>
            <w:shd w:fill="CCEEFF" w:val="clear"/>
            <w:vAlign w:val="center"/>
          </w:tcPr>
          <w:p>
            <w:pPr>
              <w:pStyle w:val="TableContents"/>
              <w:bidi w:val="0"/>
              <w:spacing w:before="0" w:after="283"/>
              <w:jc w:val="left"/>
            </w:pPr>
            <w:r>
              <w:t> </w:t>
            </w:r>
          </w:p>
        </w:tc>
        <w:tc>
          <w:tcPr>
            <w:tcW w:w="67" w:type="dxa"/>
            <w:tcBorders/>
            <w:shd w:fill="CCEEFF" w:val="clear"/>
            <w:vAlign w:val="center"/>
          </w:tcPr>
          <w:p>
            <w:pPr>
              <w:pStyle w:val="TableContents"/>
              <w:bidi w:val="0"/>
              <w:spacing w:before="0" w:after="283"/>
              <w:ind w:left="0" w:right="0" w:hanging="0"/>
              <w:jc w:val="left"/>
            </w:pPr>
            <w:r>
              <w:t> </w:t>
            </w:r>
          </w:p>
        </w:tc>
        <w:tc>
          <w:tcPr>
            <w:tcW w:w="656" w:type="dxa"/>
            <w:tcBorders/>
            <w:shd w:fill="CCEEFF" w:val="clear"/>
            <w:vAlign w:val="center"/>
          </w:tcPr>
          <w:p>
            <w:pPr>
              <w:pStyle w:val="TableContents"/>
              <w:bidi w:val="0"/>
              <w:spacing w:before="0" w:after="283"/>
              <w:ind w:left="0" w:right="0" w:hanging="0"/>
              <w:jc w:val="right"/>
            </w:pPr>
            <w:r>
              <w:rPr>
                <w:rStyle w:val="Emphasis"/>
              </w:rPr>
              <w:t>—</w:t>
            </w:r>
          </w:p>
        </w:tc>
        <w:tc>
          <w:tcPr>
            <w:tcW w:w="63" w:type="dxa"/>
            <w:tcBorders/>
            <w:shd w:fill="CCEEFF" w:val="clear"/>
            <w:vAlign w:val="center"/>
          </w:tcPr>
          <w:p>
            <w:pPr>
              <w:pStyle w:val="TableContents"/>
              <w:bidi w:val="0"/>
              <w:spacing w:before="0" w:after="283"/>
              <w:jc w:val="left"/>
            </w:pPr>
            <w:r>
              <w:t> </w:t>
            </w:r>
          </w:p>
        </w:tc>
        <w:tc>
          <w:tcPr>
            <w:tcW w:w="63" w:type="dxa"/>
            <w:tcBorders/>
            <w:shd w:fill="CCEEFF" w:val="clear"/>
            <w:vAlign w:val="center"/>
          </w:tcPr>
          <w:p>
            <w:pPr>
              <w:pStyle w:val="TableContents"/>
              <w:bidi w:val="0"/>
              <w:spacing w:before="0" w:after="283"/>
              <w:jc w:val="left"/>
            </w:pPr>
            <w:r>
              <w:t> </w:t>
            </w:r>
          </w:p>
        </w:tc>
        <w:tc>
          <w:tcPr>
            <w:tcW w:w="220" w:type="dxa"/>
            <w:tcBorders/>
            <w:shd w:fill="CCEEFF" w:val="clear"/>
            <w:vAlign w:val="center"/>
          </w:tcPr>
          <w:p>
            <w:pPr>
              <w:pStyle w:val="TableContents"/>
              <w:bidi w:val="0"/>
              <w:spacing w:before="0" w:after="283"/>
              <w:ind w:left="0" w:right="0" w:hanging="0"/>
              <w:jc w:val="left"/>
            </w:pPr>
            <w:r>
              <w:t> </w:t>
            </w:r>
          </w:p>
        </w:tc>
        <w:tc>
          <w:tcPr>
            <w:tcW w:w="460"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16,820</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33" w:type="dxa"/>
            <w:tcBorders/>
            <w:shd w:fill="CCEEFF" w:val="clear"/>
            <w:vAlign w:val="center"/>
          </w:tcPr>
          <w:p>
            <w:pPr>
              <w:pStyle w:val="TableContents"/>
              <w:bidi w:val="0"/>
              <w:spacing w:before="0" w:after="283"/>
              <w:ind w:left="0" w:right="0" w:hanging="0"/>
              <w:jc w:val="left"/>
            </w:pPr>
            <w:r>
              <w:t> </w:t>
            </w:r>
          </w:p>
        </w:tc>
        <w:tc>
          <w:tcPr>
            <w:tcW w:w="1017"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755"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72" w:type="dxa"/>
            <w:tcBorders/>
            <w:shd w:fill="CCEEFF" w:val="clear"/>
            <w:vAlign w:val="center"/>
          </w:tcPr>
          <w:p>
            <w:pPr>
              <w:pStyle w:val="TableContents"/>
              <w:bidi w:val="0"/>
              <w:spacing w:before="0" w:after="283"/>
              <w:ind w:left="0" w:right="0" w:hanging="0"/>
              <w:jc w:val="left"/>
            </w:pPr>
            <w:r>
              <w:t> </w:t>
            </w:r>
          </w:p>
        </w:tc>
        <w:tc>
          <w:tcPr>
            <w:tcW w:w="96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16,820</w:t>
            </w:r>
          </w:p>
        </w:tc>
        <w:tc>
          <w:tcPr>
            <w:tcW w:w="84" w:type="dxa"/>
            <w:tcBorders/>
            <w:shd w:fill="CCEEFF" w:val="clear"/>
            <w:vAlign w:val="center"/>
          </w:tcPr>
          <w:p>
            <w:pPr>
              <w:pStyle w:val="TableContents"/>
              <w:bidi w:val="0"/>
              <w:spacing w:before="0" w:after="283"/>
              <w:jc w:val="left"/>
            </w:pPr>
            <w:r>
              <w:t> </w:t>
            </w:r>
          </w:p>
        </w:tc>
      </w:tr>
      <w:tr>
        <w:tc>
          <w:tcPr>
            <w:tcW w:w="375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Equity exchanged to shares</w:t>
            </w:r>
          </w:p>
        </w:tc>
        <w:tc>
          <w:tcPr>
            <w:tcW w:w="60" w:type="dxa"/>
            <w:tcBorders/>
            <w:shd w:fill="FFFFFF" w:val="clear"/>
            <w:vAlign w:val="center"/>
          </w:tcPr>
          <w:p>
            <w:pPr>
              <w:pStyle w:val="TableContents"/>
              <w:bidi w:val="0"/>
              <w:spacing w:before="0" w:after="283"/>
              <w:jc w:val="left"/>
            </w:pPr>
            <w:r>
              <w:t> </w:t>
            </w:r>
          </w:p>
        </w:tc>
        <w:tc>
          <w:tcPr>
            <w:tcW w:w="67" w:type="dxa"/>
            <w:tcBorders/>
            <w:shd w:fill="FFFFFF" w:val="clear"/>
            <w:vAlign w:val="center"/>
          </w:tcPr>
          <w:p>
            <w:pPr>
              <w:pStyle w:val="TableContents"/>
              <w:bidi w:val="0"/>
              <w:spacing w:before="0" w:after="283"/>
              <w:jc w:val="left"/>
            </w:pPr>
            <w:r>
              <w:t> </w:t>
            </w:r>
          </w:p>
        </w:tc>
        <w:tc>
          <w:tcPr>
            <w:tcW w:w="65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239</w:t>
            </w:r>
          </w:p>
        </w:tc>
        <w:tc>
          <w:tcPr>
            <w:tcW w:w="63" w:type="dxa"/>
            <w:tcBorders/>
            <w:shd w:fill="FFFFFF" w:val="clear"/>
            <w:vAlign w:val="center"/>
          </w:tcPr>
          <w:p>
            <w:pPr>
              <w:pStyle w:val="TableContents"/>
              <w:bidi w:val="0"/>
              <w:spacing w:before="0" w:after="283"/>
              <w:jc w:val="left"/>
            </w:pPr>
            <w:r>
              <w:t> </w:t>
            </w:r>
          </w:p>
        </w:tc>
        <w:tc>
          <w:tcPr>
            <w:tcW w:w="63" w:type="dxa"/>
            <w:tcBorders/>
            <w:shd w:fill="FFFFFF" w:val="clear"/>
            <w:vAlign w:val="center"/>
          </w:tcPr>
          <w:p>
            <w:pPr>
              <w:pStyle w:val="TableContents"/>
              <w:bidi w:val="0"/>
              <w:spacing w:before="0" w:after="283"/>
              <w:jc w:val="left"/>
            </w:pPr>
            <w:r>
              <w:t> </w:t>
            </w:r>
          </w:p>
        </w:tc>
        <w:tc>
          <w:tcPr>
            <w:tcW w:w="220" w:type="dxa"/>
            <w:tcBorders/>
            <w:shd w:fill="FFFFFF" w:val="clear"/>
            <w:vAlign w:val="center"/>
          </w:tcPr>
          <w:p>
            <w:pPr>
              <w:pStyle w:val="TableContents"/>
              <w:bidi w:val="0"/>
              <w:spacing w:before="0" w:after="283"/>
              <w:jc w:val="left"/>
            </w:pPr>
            <w:r>
              <w:t> </w:t>
            </w:r>
          </w:p>
        </w:tc>
        <w:tc>
          <w:tcPr>
            <w:tcW w:w="460" w:type="dxa"/>
            <w:tcBorders/>
            <w:shd w:fill="FFFFFF" w:val="clear"/>
            <w:vAlign w:val="center"/>
          </w:tcPr>
          <w:p>
            <w:pPr>
              <w:pStyle w:val="TableContents"/>
              <w:bidi w:val="0"/>
              <w:spacing w:before="0" w:after="283"/>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3,500</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33" w:type="dxa"/>
            <w:tcBorders/>
            <w:shd w:fill="FFFFFF" w:val="clear"/>
            <w:vAlign w:val="center"/>
          </w:tcPr>
          <w:p>
            <w:pPr>
              <w:pStyle w:val="TableContents"/>
              <w:bidi w:val="0"/>
              <w:spacing w:before="0" w:after="283"/>
              <w:jc w:val="left"/>
            </w:pPr>
            <w:r>
              <w:t> </w:t>
            </w:r>
          </w:p>
        </w:tc>
        <w:tc>
          <w:tcPr>
            <w:tcW w:w="1017" w:type="dxa"/>
            <w:tcBorders/>
            <w:shd w:fill="FFFFFF" w:val="clear"/>
            <w:vAlign w:val="center"/>
          </w:tcPr>
          <w:p>
            <w:pPr>
              <w:pStyle w:val="TableContents"/>
              <w:bidi w:val="0"/>
              <w:spacing w:before="0" w:after="283"/>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755" w:type="dxa"/>
            <w:tcBorders/>
            <w:shd w:fill="FFFFFF" w:val="clear"/>
            <w:vAlign w:val="center"/>
          </w:tcPr>
          <w:p>
            <w:pPr>
              <w:pStyle w:val="TableContents"/>
              <w:bidi w:val="0"/>
              <w:spacing w:before="0" w:after="283"/>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72" w:type="dxa"/>
            <w:tcBorders/>
            <w:shd w:fill="FFFFFF" w:val="clear"/>
            <w:vAlign w:val="center"/>
          </w:tcPr>
          <w:p>
            <w:pPr>
              <w:pStyle w:val="TableContents"/>
              <w:bidi w:val="0"/>
              <w:spacing w:before="0" w:after="283"/>
              <w:jc w:val="left"/>
            </w:pPr>
            <w:r>
              <w:t> </w:t>
            </w:r>
          </w:p>
        </w:tc>
        <w:tc>
          <w:tcPr>
            <w:tcW w:w="96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3,500</w:t>
            </w:r>
          </w:p>
        </w:tc>
        <w:tc>
          <w:tcPr>
            <w:tcW w:w="84" w:type="dxa"/>
            <w:tcBorders/>
            <w:shd w:fill="FFFFFF" w:val="clear"/>
            <w:vAlign w:val="center"/>
          </w:tcPr>
          <w:p>
            <w:pPr>
              <w:pStyle w:val="TableContents"/>
              <w:bidi w:val="0"/>
              <w:spacing w:before="0" w:after="283"/>
              <w:jc w:val="left"/>
            </w:pPr>
            <w:r>
              <w:t> </w:t>
            </w:r>
          </w:p>
        </w:tc>
      </w:tr>
      <w:tr>
        <w:tc>
          <w:tcPr>
            <w:tcW w:w="375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translation adjustment</w:t>
            </w:r>
          </w:p>
        </w:tc>
        <w:tc>
          <w:tcPr>
            <w:tcW w:w="60" w:type="dxa"/>
            <w:tcBorders/>
            <w:shd w:fill="CCEEFF" w:val="clear"/>
            <w:vAlign w:val="center"/>
          </w:tcPr>
          <w:p>
            <w:pPr>
              <w:pStyle w:val="TableContents"/>
              <w:bidi w:val="0"/>
              <w:spacing w:before="0" w:after="283"/>
              <w:jc w:val="left"/>
            </w:pPr>
            <w:r>
              <w:t> </w:t>
            </w:r>
          </w:p>
        </w:tc>
        <w:tc>
          <w:tcPr>
            <w:tcW w:w="67" w:type="dxa"/>
            <w:tcBorders/>
            <w:shd w:fill="CCEEFF" w:val="clear"/>
            <w:vAlign w:val="center"/>
          </w:tcPr>
          <w:p>
            <w:pPr>
              <w:pStyle w:val="TableContents"/>
              <w:bidi w:val="0"/>
              <w:spacing w:before="0" w:after="283"/>
              <w:ind w:left="0" w:right="0" w:hanging="0"/>
              <w:jc w:val="left"/>
            </w:pPr>
            <w:r>
              <w:t> </w:t>
            </w:r>
          </w:p>
        </w:tc>
        <w:tc>
          <w:tcPr>
            <w:tcW w:w="656" w:type="dxa"/>
            <w:tcBorders/>
            <w:shd w:fill="CCEEFF" w:val="clear"/>
            <w:vAlign w:val="center"/>
          </w:tcPr>
          <w:p>
            <w:pPr>
              <w:pStyle w:val="TableContents"/>
              <w:bidi w:val="0"/>
              <w:spacing w:before="0" w:after="283"/>
              <w:ind w:left="0" w:right="0" w:hanging="0"/>
              <w:jc w:val="right"/>
            </w:pPr>
            <w:r>
              <w:rPr>
                <w:rStyle w:val="Emphasis"/>
              </w:rPr>
              <w:t>—</w:t>
            </w:r>
          </w:p>
        </w:tc>
        <w:tc>
          <w:tcPr>
            <w:tcW w:w="63" w:type="dxa"/>
            <w:tcBorders/>
            <w:shd w:fill="CCEEFF" w:val="clear"/>
            <w:vAlign w:val="center"/>
          </w:tcPr>
          <w:p>
            <w:pPr>
              <w:pStyle w:val="TableContents"/>
              <w:bidi w:val="0"/>
              <w:spacing w:before="0" w:after="283"/>
              <w:jc w:val="left"/>
            </w:pPr>
            <w:r>
              <w:t> </w:t>
            </w:r>
          </w:p>
        </w:tc>
        <w:tc>
          <w:tcPr>
            <w:tcW w:w="63" w:type="dxa"/>
            <w:tcBorders/>
            <w:shd w:fill="CCEEFF" w:val="clear"/>
            <w:vAlign w:val="center"/>
          </w:tcPr>
          <w:p>
            <w:pPr>
              <w:pStyle w:val="TableContents"/>
              <w:bidi w:val="0"/>
              <w:spacing w:before="0" w:after="283"/>
              <w:jc w:val="left"/>
            </w:pPr>
            <w:r>
              <w:t> </w:t>
            </w:r>
          </w:p>
        </w:tc>
        <w:tc>
          <w:tcPr>
            <w:tcW w:w="220" w:type="dxa"/>
            <w:tcBorders/>
            <w:shd w:fill="CCEEFF" w:val="clear"/>
            <w:vAlign w:val="center"/>
          </w:tcPr>
          <w:p>
            <w:pPr>
              <w:pStyle w:val="TableContents"/>
              <w:bidi w:val="0"/>
              <w:spacing w:before="0" w:after="283"/>
              <w:ind w:left="0" w:right="0" w:hanging="0"/>
              <w:jc w:val="left"/>
            </w:pPr>
            <w:r>
              <w:t> </w:t>
            </w:r>
          </w:p>
        </w:tc>
        <w:tc>
          <w:tcPr>
            <w:tcW w:w="460"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845" w:type="dxa"/>
            <w:tcBorders/>
            <w:shd w:fill="CCEEFF" w:val="clear"/>
            <w:vAlign w:val="center"/>
          </w:tcPr>
          <w:p>
            <w:pPr>
              <w:pStyle w:val="TableContents"/>
              <w:bidi w:val="0"/>
              <w:spacing w:before="0" w:after="283"/>
              <w:ind w:left="0" w:right="0" w:hanging="0"/>
              <w:jc w:val="right"/>
            </w:pPr>
            <w:r>
              <w:rPr>
                <w:rStyle w:val="Emphasis"/>
              </w:rP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33" w:type="dxa"/>
            <w:tcBorders/>
            <w:shd w:fill="CCEEFF" w:val="clear"/>
            <w:vAlign w:val="center"/>
          </w:tcPr>
          <w:p>
            <w:pPr>
              <w:pStyle w:val="TableContents"/>
              <w:bidi w:val="0"/>
              <w:spacing w:before="0" w:after="283"/>
              <w:ind w:left="0" w:right="0" w:hanging="0"/>
              <w:jc w:val="left"/>
            </w:pPr>
            <w:r>
              <w:t> </w:t>
            </w:r>
          </w:p>
        </w:tc>
        <w:tc>
          <w:tcPr>
            <w:tcW w:w="10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3,636</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755"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72" w:type="dxa"/>
            <w:tcBorders/>
            <w:shd w:fill="CCEEFF" w:val="clear"/>
            <w:vAlign w:val="center"/>
          </w:tcPr>
          <w:p>
            <w:pPr>
              <w:pStyle w:val="TableContents"/>
              <w:bidi w:val="0"/>
              <w:spacing w:before="0" w:after="283"/>
              <w:ind w:left="0" w:right="0" w:hanging="0"/>
              <w:jc w:val="left"/>
            </w:pPr>
            <w:r>
              <w:t> </w:t>
            </w:r>
          </w:p>
        </w:tc>
        <w:tc>
          <w:tcPr>
            <w:tcW w:w="96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3,636</w:t>
            </w:r>
          </w:p>
        </w:tc>
        <w:tc>
          <w:tcPr>
            <w:tcW w:w="84" w:type="dxa"/>
            <w:tcBorders/>
            <w:shd w:fill="CCEEFF" w:val="clear"/>
            <w:vAlign w:val="center"/>
          </w:tcPr>
          <w:p>
            <w:pPr>
              <w:pStyle w:val="TableContents"/>
              <w:bidi w:val="0"/>
              <w:spacing w:before="0" w:after="283"/>
              <w:jc w:val="left"/>
            </w:pPr>
            <w:r>
              <w:t> </w:t>
            </w:r>
          </w:p>
        </w:tc>
      </w:tr>
      <w:tr>
        <w:tc>
          <w:tcPr>
            <w:tcW w:w="375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jc w:val="left"/>
            </w:pPr>
            <w:r>
              <w:t> </w:t>
            </w:r>
          </w:p>
        </w:tc>
        <w:tc>
          <w:tcPr>
            <w:tcW w:w="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65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pPr>
            <w:r>
              <w:rPr>
                <w:rStyle w:val="Emphasis"/>
              </w:rPr>
              <w:t>—</w:t>
            </w:r>
          </w:p>
        </w:tc>
        <w:tc>
          <w:tcPr>
            <w:tcW w:w="63" w:type="dxa"/>
            <w:tcBorders/>
            <w:shd w:fill="FFFFFF" w:val="clear"/>
            <w:vAlign w:val="center"/>
          </w:tcPr>
          <w:p>
            <w:pPr>
              <w:pStyle w:val="TableContents"/>
              <w:bidi w:val="0"/>
              <w:spacing w:before="0" w:after="283"/>
              <w:jc w:val="left"/>
            </w:pPr>
            <w:r>
              <w:t> </w:t>
            </w:r>
          </w:p>
        </w:tc>
        <w:tc>
          <w:tcPr>
            <w:tcW w:w="63" w:type="dxa"/>
            <w:tcBorders/>
            <w:shd w:fill="FFFFFF" w:val="clear"/>
            <w:vAlign w:val="center"/>
          </w:tcPr>
          <w:p>
            <w:pPr>
              <w:pStyle w:val="TableContents"/>
              <w:bidi w:val="0"/>
              <w:spacing w:before="0" w:after="283"/>
              <w:jc w:val="left"/>
            </w:pPr>
            <w:r>
              <w:t> </w:t>
            </w:r>
          </w:p>
        </w:tc>
        <w:tc>
          <w:tcPr>
            <w:tcW w:w="22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4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pPr>
            <w:r>
              <w:rPr>
                <w:rStyle w:val="Emphasis"/>
              </w:rP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0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(36,206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96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(36,206</w:t>
            </w:r>
          </w:p>
        </w:tc>
        <w:tc>
          <w:tcPr>
            <w:tcW w:w="8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375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30, 2025</w:t>
            </w:r>
          </w:p>
        </w:tc>
        <w:tc>
          <w:tcPr>
            <w:tcW w:w="60" w:type="dxa"/>
            <w:tcBorders/>
            <w:shd w:fill="CCEEFF" w:val="clear"/>
            <w:vAlign w:val="center"/>
          </w:tcPr>
          <w:p>
            <w:pPr>
              <w:pStyle w:val="TableContents"/>
              <w:bidi w:val="0"/>
              <w:spacing w:before="0" w:after="283"/>
              <w:jc w:val="left"/>
            </w:pPr>
            <w:r>
              <w:t> </w:t>
            </w:r>
          </w:p>
        </w:tc>
        <w:tc>
          <w:tcPr>
            <w:tcW w:w="6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pPr>
            <w:r>
              <w:t> </w:t>
            </w:r>
          </w:p>
        </w:tc>
        <w:tc>
          <w:tcPr>
            <w:tcW w:w="65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68,065</w:t>
            </w:r>
          </w:p>
        </w:tc>
        <w:tc>
          <w:tcPr>
            <w:tcW w:w="63" w:type="dxa"/>
            <w:tcBorders/>
            <w:shd w:fill="CCEEFF" w:val="clear"/>
            <w:vAlign w:val="center"/>
          </w:tcPr>
          <w:p>
            <w:pPr>
              <w:pStyle w:val="TableContents"/>
              <w:bidi w:val="0"/>
              <w:spacing w:before="0" w:after="283"/>
              <w:jc w:val="left"/>
            </w:pPr>
            <w:r>
              <w:t> </w:t>
            </w:r>
          </w:p>
        </w:tc>
        <w:tc>
          <w:tcPr>
            <w:tcW w:w="63" w:type="dxa"/>
            <w:tcBorders/>
            <w:shd w:fill="CCEEFF" w:val="clear"/>
            <w:vAlign w:val="center"/>
          </w:tcPr>
          <w:p>
            <w:pPr>
              <w:pStyle w:val="TableContents"/>
              <w:bidi w:val="0"/>
              <w:spacing w:before="0" w:after="283"/>
              <w:ind w:left="0" w:right="0" w:hanging="0"/>
              <w:jc w:val="left"/>
            </w:pPr>
            <w:r>
              <w:t> </w:t>
            </w:r>
          </w:p>
        </w:tc>
        <w:tc>
          <w:tcPr>
            <w:tcW w:w="22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6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1,045,986</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23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1,088</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(488,057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pPr>
            <w:r>
              <w:t> </w:t>
            </w:r>
          </w:p>
        </w:tc>
        <w:tc>
          <w:tcPr>
            <w:tcW w:w="17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559,085</w:t>
            </w:r>
          </w:p>
        </w:tc>
        <w:tc>
          <w:tcPr>
            <w:tcW w:w="84" w:type="dxa"/>
            <w:tcBorders/>
            <w:shd w:fill="CCEEFF" w:val="clear"/>
            <w:vAlign w:val="center"/>
          </w:tcPr>
          <w:p>
            <w:pPr>
              <w:pStyle w:val="TableContents"/>
              <w:bidi w:val="0"/>
              <w:spacing w:before="0" w:after="283"/>
              <w:jc w:val="left"/>
            </w:pPr>
            <w:r>
              <w:t> </w:t>
            </w:r>
          </w:p>
        </w:tc>
      </w:tr>
    </w:tbl>
    <w:p>
      <w:pPr>
        <w:pStyle w:val="TextBody"/>
        <w:bidi w:val="0"/>
        <w:spacing w:before="0" w:after="0"/>
        <w:ind w:left="0" w:right="0" w:hanging="0"/>
        <w:jc w:val="left"/>
      </w:pPr>
      <w:r>
        <w:t> </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The accompanying notes are an integral part of these condensed consolidated financial statements.</w:t>
      </w:r>
    </w:p>
    <w:p>
      <w:pPr>
        <w:pStyle w:val="TextBody"/>
        <w:bidi w:val="0"/>
        <w:spacing w:before="0" w:after="0"/>
        <w:ind w:left="0" w:right="0" w:hanging="0"/>
        <w:jc w:val="left"/>
      </w:pPr>
      <w: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 </w:t>
      </w:r>
    </w:p>
    <w:p>
      <w:pPr>
        <w:pStyle w:val="HorizontalLine"/>
        <w:pBdr>
          <w:bottom w:val="double" w:sz="2" w:space="0" w:color="808080"/>
        </w:pBdr>
        <w:bidi w:val="0"/>
        <w:spacing w:before="0" w:after="283"/>
        <w:jc w:val="left"/>
      </w:pPr>
      <w:r/>
    </w:p>
    <w:p>
      <w:pPr>
        <w:pStyle w:val="TextBody"/>
        <w:bidi w:val="0"/>
        <w:jc w:val="left"/>
      </w:pPr>
      <w:hyperlink w:anchor="toc">
        <w:r>
          <w:rPr>
            <w:rStyle w:val="InternetLink"/>
            <w:rFonts w:ascii="Times New Roman;Times;serif" w:hAnsi="Times New Roman;Times;serif"/>
            <w:sz w:val="20"/>
          </w:rPr>
          <w:t>Table of Contents</w:t>
        </w:r>
      </w:hyperlink>
      <w:r>
        <w:t xml:space="preserve"> </w:t>
      </w:r>
    </w:p>
    <w:p>
      <w:pPr>
        <w:pStyle w:val="TextBody"/>
        <w:bidi w:val="0"/>
        <w:spacing w:before="0" w:after="0"/>
        <w:ind w:left="0" w:right="0" w:hanging="0"/>
        <w:jc w:val="left"/>
      </w:pPr>
      <w:r>
        <w:t> </w:t>
      </w:r>
    </w:p>
    <w:p>
      <w:pPr>
        <w:pStyle w:val="TextBody"/>
        <w:bidi w:val="0"/>
        <w:spacing w:before="0" w:after="283"/>
        <w:jc w:val="left"/>
      </w:pPr>
      <w:r>
        <w:t xml:space="preserve">  </w:t>
      </w:r>
    </w:p>
    <w:p>
      <w:pPr>
        <w:pStyle w:val="TextBody"/>
        <w:bidi w:val="0"/>
        <w:spacing w:before="0" w:after="0"/>
        <w:ind w:left="0" w:right="0" w:hanging="0"/>
        <w:jc w:val="center"/>
        <w:rPr>
          <w:rFonts w:ascii="Times New Roman;Times;serif" w:hAnsi="Times New Roman;Times;serif"/>
          <w:b/>
          <w:sz w:val="20"/>
        </w:rPr>
      </w:pPr>
      <w:bookmarkStart w:id="9" w:name="cf"/>
      <w:bookmarkEnd w:id="9"/>
      <w:r>
        <w:rPr>
          <w:rFonts w:ascii="Times New Roman;Times;serif" w:hAnsi="Times New Roman;Times;serif"/>
          <w:b/>
          <w:sz w:val="20"/>
        </w:rPr>
        <w:t>Applied Optoelectronics,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in thousands)</w:t>
      </w:r>
    </w:p>
    <w:p>
      <w:pPr>
        <w:pStyle w:val="TextBody"/>
        <w:bidi w:val="0"/>
        <w:spacing w:before="0" w:after="0"/>
        <w:ind w:left="0" w:right="0" w:hanging="0"/>
        <w:jc w:val="center"/>
      </w:pPr>
      <w:r>
        <w:t>​</w:t>
      </w:r>
    </w:p>
    <w:tbl>
      <w:tblPr>
        <w:tblW w:w="10205" w:type="dxa"/>
        <w:jc w:val="left"/>
        <w:tblInd w:w="0" w:type="dxa"/>
        <w:tblLayout w:type="fixed"/>
        <w:tblCellMar>
          <w:top w:w="0" w:type="dxa"/>
          <w:left w:w="0" w:type="dxa"/>
          <w:bottom w:w="0" w:type="dxa"/>
          <w:right w:w="0" w:type="dxa"/>
        </w:tblCellMar>
      </w:tblPr>
      <w:tblGrid>
        <w:gridCol w:w="7319"/>
        <w:gridCol w:w="60"/>
        <w:gridCol w:w="167"/>
        <w:gridCol w:w="1212"/>
        <w:gridCol w:w="106"/>
        <w:gridCol w:w="80"/>
        <w:gridCol w:w="167"/>
        <w:gridCol w:w="1011"/>
        <w:gridCol w:w="83"/>
      </w:tblGrid>
      <w:tr>
        <w:tc>
          <w:tcPr>
            <w:tcW w:w="7319"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74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sz w:val="20"/>
              </w:rPr>
              <w:t>Nine months ended September 30,</w:t>
            </w:r>
          </w:p>
        </w:tc>
        <w:tc>
          <w:tcPr>
            <w:tcW w:w="83" w:type="dxa"/>
            <w:tcBorders/>
            <w:shd w:fill="FFFFFF" w:val="clear"/>
            <w:vAlign w:val="center"/>
          </w:tcPr>
          <w:p>
            <w:pPr>
              <w:pStyle w:val="TableContents"/>
              <w:bidi w:val="0"/>
              <w:spacing w:before="0" w:after="283"/>
              <w:jc w:val="left"/>
            </w:pPr>
            <w:r>
              <w:t> </w:t>
            </w:r>
          </w:p>
        </w:tc>
      </w:tr>
      <w:tr>
        <w:tc>
          <w:tcPr>
            <w:tcW w:w="7319"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37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sz w:val="20"/>
              </w:rPr>
              <w:t>2026</w:t>
            </w:r>
          </w:p>
        </w:tc>
        <w:tc>
          <w:tcPr>
            <w:tcW w:w="106"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ind w:left="0" w:right="0" w:hanging="0"/>
              <w:jc w:val="left"/>
            </w:pPr>
            <w:r>
              <w:t> </w:t>
            </w:r>
          </w:p>
        </w:tc>
        <w:tc>
          <w:tcPr>
            <w:tcW w:w="117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sz w:val="20"/>
              </w:rPr>
              <w:t>2025</w:t>
            </w:r>
          </w:p>
        </w:tc>
        <w:tc>
          <w:tcPr>
            <w:tcW w:w="83" w:type="dxa"/>
            <w:tcBorders/>
            <w:shd w:fill="FFFFFF" w:val="clear"/>
            <w:vAlign w:val="center"/>
          </w:tcPr>
          <w:p>
            <w:pPr>
              <w:pStyle w:val="TableContents"/>
              <w:bidi w:val="0"/>
              <w:spacing w:before="0" w:after="283"/>
              <w:jc w:val="left"/>
            </w:pPr>
            <w:r>
              <w:t> </w:t>
            </w:r>
          </w:p>
        </w:tc>
      </w:tr>
      <w:tr>
        <w:tc>
          <w:tcPr>
            <w:tcW w:w="7319"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Operating activities:</w:t>
            </w:r>
          </w:p>
        </w:tc>
        <w:tc>
          <w:tcPr>
            <w:tcW w:w="60" w:type="dxa"/>
            <w:tcBorders/>
            <w:shd w:fill="CCEEFF" w:val="clear"/>
            <w:vAlign w:val="center"/>
          </w:tcPr>
          <w:p>
            <w:pPr>
              <w:pStyle w:val="TableContents"/>
              <w:bidi w:val="0"/>
              <w:spacing w:before="0" w:after="283"/>
              <w:ind w:left="0" w:right="0" w:hanging="0"/>
              <w:jc w:val="left"/>
            </w:pPr>
            <w:r>
              <w:t> </w:t>
            </w:r>
          </w:p>
        </w:tc>
        <w:tc>
          <w:tcPr>
            <w:tcW w:w="1379" w:type="dxa"/>
            <w:gridSpan w:val="2"/>
            <w:tcBorders/>
            <w:shd w:fill="CCEEFF" w:val="clear"/>
            <w:vAlign w:val="center"/>
          </w:tcPr>
          <w:p>
            <w:pPr>
              <w:pStyle w:val="TableContents"/>
              <w:bidi w:val="0"/>
              <w:spacing w:before="0" w:after="283"/>
              <w:jc w:val="left"/>
            </w:pPr>
            <w:r>
              <w:t> </w:t>
            </w:r>
          </w:p>
        </w:tc>
        <w:tc>
          <w:tcPr>
            <w:tcW w:w="106"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ind w:left="0" w:right="0" w:hanging="0"/>
              <w:jc w:val="left"/>
            </w:pPr>
            <w:r>
              <w:t> </w:t>
            </w:r>
          </w:p>
        </w:tc>
        <w:tc>
          <w:tcPr>
            <w:tcW w:w="1178" w:type="dxa"/>
            <w:gridSpan w:val="2"/>
            <w:tcBorders/>
            <w:shd w:fill="CCEEFF" w:val="clear"/>
            <w:vAlign w:val="center"/>
          </w:tcPr>
          <w:p>
            <w:pPr>
              <w:pStyle w:val="TableContents"/>
              <w:bidi w:val="0"/>
              <w:spacing w:before="0" w:after="283"/>
              <w:jc w:val="left"/>
            </w:pPr>
            <w:r>
              <w:t> </w:t>
            </w:r>
          </w:p>
        </w:tc>
        <w:tc>
          <w:tcPr>
            <w:tcW w:w="83" w:type="dxa"/>
            <w:tcBorders/>
            <w:shd w:fill="CCEEFF" w:val="clear"/>
            <w:vAlign w:val="center"/>
          </w:tcPr>
          <w:p>
            <w:pPr>
              <w:pStyle w:val="TableContents"/>
              <w:bidi w:val="0"/>
              <w:spacing w:before="0" w:after="283"/>
              <w:jc w:val="left"/>
            </w:pPr>
            <w:r>
              <w:t> </w:t>
            </w:r>
          </w:p>
        </w:tc>
      </w:tr>
      <w:tr>
        <w:tc>
          <w:tcPr>
            <w:tcW w:w="7319" w:type="dxa"/>
            <w:tcBorders/>
            <w:shd w:fill="FFFF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Net loss</w:t>
            </w:r>
          </w:p>
        </w:tc>
        <w:tc>
          <w:tcPr>
            <w:tcW w:w="60" w:type="dxa"/>
            <w:tcBorders/>
            <w:shd w:fill="FFFFFF" w:val="clear"/>
            <w:vAlign w:val="center"/>
          </w:tcPr>
          <w:p>
            <w:pPr>
              <w:pStyle w:val="TableContents"/>
              <w:bidi w:val="0"/>
              <w:spacing w:before="0" w:after="283"/>
              <w:ind w:left="0" w:right="0" w:hanging="0"/>
              <w:jc w:val="left"/>
            </w:pPr>
            <w:r>
              <w:t> </w:t>
            </w:r>
          </w:p>
        </w:tc>
        <w:tc>
          <w:tcPr>
            <w:tcW w:w="167" w:type="dxa"/>
            <w:tcBorders/>
            <w:shd w:fill="FFFFFF" w:val="clear"/>
            <w:vAlign w:val="center"/>
          </w:tcPr>
          <w:p>
            <w:pPr>
              <w:pStyle w:val="TableContents"/>
              <w:bidi w:val="0"/>
              <w:spacing w:before="0" w:after="283"/>
              <w:ind w:left="0" w:right="0" w:hanging="0"/>
              <w:jc w:val="left"/>
              <w:rPr>
                <w:sz w:val="20"/>
              </w:rPr>
            </w:pPr>
            <w:r>
              <w:rPr>
                <w:sz w:val="20"/>
              </w:rPr>
              <w:t>$</w:t>
            </w:r>
          </w:p>
        </w:tc>
        <w:tc>
          <w:tcPr>
            <w:tcW w:w="1212" w:type="dxa"/>
            <w:tcBorders/>
            <w:shd w:fill="FFFFFF" w:val="clear"/>
            <w:vAlign w:val="center"/>
          </w:tcPr>
          <w:p>
            <w:pPr>
              <w:pStyle w:val="TableContents"/>
              <w:bidi w:val="0"/>
              <w:spacing w:before="0" w:after="283"/>
              <w:ind w:left="0" w:right="0" w:hanging="0"/>
              <w:jc w:val="right"/>
              <w:rPr>
                <w:sz w:val="20"/>
              </w:rPr>
            </w:pPr>
            <w:r>
              <w:rPr>
                <w:sz w:val="20"/>
              </w:rPr>
              <w:t>(30,762</w:t>
            </w:r>
          </w:p>
        </w:tc>
        <w:tc>
          <w:tcPr>
            <w:tcW w:w="106" w:type="dxa"/>
            <w:tcBorders/>
            <w:shd w:fill="FFFFFF" w:val="clear"/>
            <w:vAlign w:val="center"/>
          </w:tcPr>
          <w:p>
            <w:pPr>
              <w:pStyle w:val="TableContents"/>
              <w:bidi w:val="0"/>
              <w:spacing w:before="0" w:after="283"/>
              <w:jc w:val="left"/>
              <w:rPr>
                <w:sz w:val="20"/>
              </w:rPr>
            </w:pPr>
            <w:r>
              <w:rPr>
                <w:sz w:val="20"/>
              </w:rPr>
              <w:t>)</w:t>
            </w:r>
          </w:p>
        </w:tc>
        <w:tc>
          <w:tcPr>
            <w:tcW w:w="80" w:type="dxa"/>
            <w:tcBorders/>
            <w:shd w:fill="FFFFFF" w:val="clear"/>
            <w:vAlign w:val="center"/>
          </w:tcPr>
          <w:p>
            <w:pPr>
              <w:pStyle w:val="TableContents"/>
              <w:bidi w:val="0"/>
              <w:spacing w:before="0" w:after="283"/>
              <w:ind w:left="0" w:right="0" w:hanging="0"/>
              <w:jc w:val="left"/>
            </w:pPr>
            <w:r>
              <w:t> </w:t>
            </w:r>
          </w:p>
        </w:tc>
        <w:tc>
          <w:tcPr>
            <w:tcW w:w="167" w:type="dxa"/>
            <w:tcBorders/>
            <w:shd w:fill="FFFFFF" w:val="clear"/>
            <w:vAlign w:val="center"/>
          </w:tcPr>
          <w:p>
            <w:pPr>
              <w:pStyle w:val="TableContents"/>
              <w:bidi w:val="0"/>
              <w:spacing w:before="0" w:after="283"/>
              <w:ind w:left="0" w:right="0" w:hanging="0"/>
              <w:jc w:val="left"/>
              <w:rPr>
                <w:sz w:val="20"/>
              </w:rPr>
            </w:pPr>
            <w:r>
              <w:rPr>
                <w:sz w:val="20"/>
              </w:rPr>
              <w:t>$</w:t>
            </w:r>
          </w:p>
        </w:tc>
        <w:tc>
          <w:tcPr>
            <w:tcW w:w="1011" w:type="dxa"/>
            <w:tcBorders/>
            <w:shd w:fill="FFFFFF" w:val="clear"/>
            <w:vAlign w:val="center"/>
          </w:tcPr>
          <w:p>
            <w:pPr>
              <w:pStyle w:val="TableContents"/>
              <w:bidi w:val="0"/>
              <w:spacing w:before="0" w:after="283"/>
              <w:ind w:left="0" w:right="0" w:hanging="0"/>
              <w:jc w:val="right"/>
              <w:rPr>
                <w:sz w:val="20"/>
              </w:rPr>
            </w:pPr>
            <w:r>
              <w:rPr>
                <w:sz w:val="20"/>
              </w:rPr>
              <w:t>(36,206</w:t>
            </w:r>
          </w:p>
        </w:tc>
        <w:tc>
          <w:tcPr>
            <w:tcW w:w="83" w:type="dxa"/>
            <w:tcBorders/>
            <w:shd w:fill="FFFFFF" w:val="clear"/>
            <w:vAlign w:val="center"/>
          </w:tcPr>
          <w:p>
            <w:pPr>
              <w:pStyle w:val="TableContents"/>
              <w:bidi w:val="0"/>
              <w:spacing w:before="0" w:after="283"/>
              <w:jc w:val="left"/>
              <w:rPr>
                <w:sz w:val="20"/>
              </w:rPr>
            </w:pPr>
            <w:r>
              <w:rPr>
                <w:sz w:val="20"/>
              </w:rPr>
              <w:t>)</w:t>
            </w:r>
          </w:p>
        </w:tc>
      </w:tr>
      <w:tr>
        <w:tc>
          <w:tcPr>
            <w:tcW w:w="7319" w:type="dxa"/>
            <w:tcBorders/>
            <w:shd w:fill="CCEE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Adjustments to reconcile net loss to net cash used in operating activities:</w:t>
            </w:r>
          </w:p>
        </w:tc>
        <w:tc>
          <w:tcPr>
            <w:tcW w:w="60" w:type="dxa"/>
            <w:tcBorders/>
            <w:shd w:fill="CCEEFF" w:val="clear"/>
            <w:vAlign w:val="center"/>
          </w:tcPr>
          <w:p>
            <w:pPr>
              <w:pStyle w:val="TableContents"/>
              <w:bidi w:val="0"/>
              <w:spacing w:before="0" w:after="283"/>
              <w:jc w:val="left"/>
            </w:pPr>
            <w:r>
              <w:t> </w:t>
            </w:r>
          </w:p>
        </w:tc>
        <w:tc>
          <w:tcPr>
            <w:tcW w:w="167" w:type="dxa"/>
            <w:tcBorders/>
            <w:shd w:fill="CCEEFF" w:val="clear"/>
            <w:vAlign w:val="center"/>
          </w:tcPr>
          <w:p>
            <w:pPr>
              <w:pStyle w:val="TableContents"/>
              <w:bidi w:val="0"/>
              <w:spacing w:before="0" w:after="283"/>
              <w:jc w:val="left"/>
            </w:pPr>
            <w:r>
              <w:t> </w:t>
            </w:r>
          </w:p>
        </w:tc>
        <w:tc>
          <w:tcPr>
            <w:tcW w:w="1212" w:type="dxa"/>
            <w:tcBorders/>
            <w:shd w:fill="CCEEFF" w:val="clear"/>
            <w:vAlign w:val="center"/>
          </w:tcPr>
          <w:p>
            <w:pPr>
              <w:pStyle w:val="TableContents"/>
              <w:bidi w:val="0"/>
              <w:spacing w:before="0" w:after="283"/>
              <w:jc w:val="left"/>
            </w:pPr>
            <w:r>
              <w:t> </w:t>
            </w:r>
          </w:p>
        </w:tc>
        <w:tc>
          <w:tcPr>
            <w:tcW w:w="106"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ind w:left="0" w:right="0" w:hanging="0"/>
              <w:jc w:val="left"/>
            </w:pPr>
            <w:r>
              <w:t> </w:t>
            </w:r>
          </w:p>
        </w:tc>
        <w:tc>
          <w:tcPr>
            <w:tcW w:w="1178" w:type="dxa"/>
            <w:gridSpan w:val="2"/>
            <w:tcBorders/>
            <w:shd w:fill="CCEEFF" w:val="clear"/>
            <w:vAlign w:val="center"/>
          </w:tcPr>
          <w:p>
            <w:pPr>
              <w:pStyle w:val="TableContents"/>
              <w:bidi w:val="0"/>
              <w:spacing w:before="0" w:after="283"/>
              <w:jc w:val="left"/>
            </w:pPr>
            <w:r>
              <w:t> </w:t>
            </w:r>
          </w:p>
        </w:tc>
        <w:tc>
          <w:tcPr>
            <w:tcW w:w="83" w:type="dxa"/>
            <w:tcBorders/>
            <w:shd w:fill="CCEEFF" w:val="clear"/>
            <w:vAlign w:val="center"/>
          </w:tcPr>
          <w:p>
            <w:pPr>
              <w:pStyle w:val="TableContents"/>
              <w:bidi w:val="0"/>
              <w:spacing w:before="0" w:after="283"/>
              <w:jc w:val="left"/>
            </w:pPr>
            <w:r>
              <w:t> </w:t>
            </w:r>
          </w:p>
        </w:tc>
      </w:tr>
      <w:tr>
        <w:tc>
          <w:tcPr>
            <w:tcW w:w="7319" w:type="dxa"/>
            <w:tcBorders/>
            <w:shd w:fill="FFFF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Allowance for bad debt</w:t>
            </w:r>
          </w:p>
        </w:tc>
        <w:tc>
          <w:tcPr>
            <w:tcW w:w="60" w:type="dxa"/>
            <w:tcBorders/>
            <w:shd w:fill="FFFFFF" w:val="clear"/>
            <w:vAlign w:val="center"/>
          </w:tcPr>
          <w:p>
            <w:pPr>
              <w:pStyle w:val="TableContents"/>
              <w:bidi w:val="0"/>
              <w:spacing w:before="0" w:after="283"/>
              <w:jc w:val="left"/>
            </w:pPr>
            <w:r>
              <w:t> </w:t>
            </w:r>
          </w:p>
        </w:tc>
        <w:tc>
          <w:tcPr>
            <w:tcW w:w="167" w:type="dxa"/>
            <w:tcBorders/>
            <w:shd w:fill="FFFFFF" w:val="clear"/>
            <w:vAlign w:val="center"/>
          </w:tcPr>
          <w:p>
            <w:pPr>
              <w:pStyle w:val="TableContents"/>
              <w:bidi w:val="0"/>
              <w:spacing w:before="0" w:after="283"/>
              <w:ind w:left="0" w:right="0" w:hanging="0"/>
              <w:jc w:val="left"/>
            </w:pPr>
            <w:r>
              <w:t> </w:t>
            </w:r>
          </w:p>
        </w:tc>
        <w:tc>
          <w:tcPr>
            <w:tcW w:w="1212" w:type="dxa"/>
            <w:tcBorders/>
            <w:shd w:fill="FFFFFF" w:val="clear"/>
            <w:vAlign w:val="center"/>
          </w:tcPr>
          <w:p>
            <w:pPr>
              <w:pStyle w:val="TableContents"/>
              <w:bidi w:val="0"/>
              <w:spacing w:before="0" w:after="283"/>
              <w:ind w:left="0" w:right="0" w:hanging="0"/>
              <w:jc w:val="right"/>
              <w:rPr>
                <w:sz w:val="20"/>
              </w:rPr>
            </w:pPr>
            <w:r>
              <w:rPr>
                <w:sz w:val="20"/>
              </w:rPr>
              <w:t>49</w:t>
            </w:r>
          </w:p>
        </w:tc>
        <w:tc>
          <w:tcPr>
            <w:tcW w:w="106"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c>
          <w:tcPr>
            <w:tcW w:w="167" w:type="dxa"/>
            <w:tcBorders/>
            <w:shd w:fill="FFFFFF" w:val="clear"/>
            <w:vAlign w:val="center"/>
          </w:tcPr>
          <w:p>
            <w:pPr>
              <w:pStyle w:val="TableContents"/>
              <w:bidi w:val="0"/>
              <w:spacing w:before="0" w:after="283"/>
              <w:ind w:left="0" w:right="0" w:hanging="0"/>
              <w:jc w:val="left"/>
            </w:pPr>
            <w:r>
              <w:t> </w:t>
            </w:r>
          </w:p>
        </w:tc>
        <w:tc>
          <w:tcPr>
            <w:tcW w:w="1011" w:type="dxa"/>
            <w:tcBorders/>
            <w:shd w:fill="FFFFFF" w:val="clear"/>
            <w:vAlign w:val="center"/>
          </w:tcPr>
          <w:p>
            <w:pPr>
              <w:pStyle w:val="TableContents"/>
              <w:bidi w:val="0"/>
              <w:spacing w:before="0" w:after="283"/>
              <w:ind w:left="0" w:right="0" w:hanging="0"/>
              <w:jc w:val="right"/>
              <w:rPr>
                <w:sz w:val="20"/>
              </w:rPr>
            </w:pPr>
            <w:r>
              <w:rPr>
                <w:sz w:val="20"/>
              </w:rPr>
              <w:t>5</w:t>
            </w:r>
          </w:p>
        </w:tc>
        <w:tc>
          <w:tcPr>
            <w:tcW w:w="83" w:type="dxa"/>
            <w:tcBorders/>
            <w:shd w:fill="FFFFFF" w:val="clear"/>
            <w:vAlign w:val="center"/>
          </w:tcPr>
          <w:p>
            <w:pPr>
              <w:pStyle w:val="TableContents"/>
              <w:bidi w:val="0"/>
              <w:spacing w:before="0" w:after="283"/>
              <w:jc w:val="left"/>
            </w:pPr>
            <w:r>
              <w:t> </w:t>
            </w:r>
          </w:p>
        </w:tc>
      </w:tr>
      <w:tr>
        <w:tc>
          <w:tcPr>
            <w:tcW w:w="7319" w:type="dxa"/>
            <w:tcBorders/>
            <w:shd w:fill="CCEE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Inventory reserve adjustment</w:t>
            </w:r>
          </w:p>
        </w:tc>
        <w:tc>
          <w:tcPr>
            <w:tcW w:w="60" w:type="dxa"/>
            <w:tcBorders/>
            <w:shd w:fill="CCEEFF" w:val="clear"/>
            <w:vAlign w:val="center"/>
          </w:tcPr>
          <w:p>
            <w:pPr>
              <w:pStyle w:val="TableContents"/>
              <w:bidi w:val="0"/>
              <w:spacing w:before="0" w:after="283"/>
              <w:jc w:val="left"/>
            </w:pPr>
            <w:r>
              <w:t> </w:t>
            </w:r>
          </w:p>
        </w:tc>
        <w:tc>
          <w:tcPr>
            <w:tcW w:w="167" w:type="dxa"/>
            <w:tcBorders/>
            <w:shd w:fill="CCEEFF" w:val="clear"/>
            <w:vAlign w:val="center"/>
          </w:tcPr>
          <w:p>
            <w:pPr>
              <w:pStyle w:val="TableContents"/>
              <w:bidi w:val="0"/>
              <w:spacing w:before="0" w:after="283"/>
              <w:ind w:left="0" w:right="0" w:hanging="0"/>
              <w:jc w:val="left"/>
            </w:pPr>
            <w:r>
              <w:t> </w:t>
            </w:r>
          </w:p>
        </w:tc>
        <w:tc>
          <w:tcPr>
            <w:tcW w:w="1212" w:type="dxa"/>
            <w:tcBorders/>
            <w:shd w:fill="CCEEFF" w:val="clear"/>
            <w:vAlign w:val="center"/>
          </w:tcPr>
          <w:p>
            <w:pPr>
              <w:pStyle w:val="TableContents"/>
              <w:bidi w:val="0"/>
              <w:spacing w:before="0" w:after="283"/>
              <w:ind w:left="0" w:right="0" w:hanging="0"/>
              <w:jc w:val="right"/>
              <w:rPr>
                <w:sz w:val="20"/>
              </w:rPr>
            </w:pPr>
            <w:r>
              <w:rPr>
                <w:sz w:val="20"/>
              </w:rPr>
              <w:t>(2,678</w:t>
            </w:r>
          </w:p>
        </w:tc>
        <w:tc>
          <w:tcPr>
            <w:tcW w:w="106" w:type="dxa"/>
            <w:tcBorders/>
            <w:shd w:fill="CCEEFF" w:val="clear"/>
            <w:vAlign w:val="center"/>
          </w:tcPr>
          <w:p>
            <w:pPr>
              <w:pStyle w:val="TableContents"/>
              <w:bidi w:val="0"/>
              <w:spacing w:before="0" w:after="283"/>
              <w:jc w:val="left"/>
              <w:rPr>
                <w:sz w:val="20"/>
              </w:rPr>
            </w:pPr>
            <w:r>
              <w:rPr>
                <w:sz w:val="20"/>
              </w:rPr>
              <w:t>)</w:t>
            </w:r>
          </w:p>
        </w:tc>
        <w:tc>
          <w:tcPr>
            <w:tcW w:w="80" w:type="dxa"/>
            <w:tcBorders/>
            <w:shd w:fill="CCEEFF" w:val="clear"/>
            <w:vAlign w:val="center"/>
          </w:tcPr>
          <w:p>
            <w:pPr>
              <w:pStyle w:val="TableContents"/>
              <w:bidi w:val="0"/>
              <w:spacing w:before="0" w:after="283"/>
              <w:jc w:val="left"/>
            </w:pPr>
            <w:r>
              <w:t> </w:t>
            </w:r>
          </w:p>
        </w:tc>
        <w:tc>
          <w:tcPr>
            <w:tcW w:w="167" w:type="dxa"/>
            <w:tcBorders/>
            <w:shd w:fill="CCEEFF" w:val="clear"/>
            <w:vAlign w:val="center"/>
          </w:tcPr>
          <w:p>
            <w:pPr>
              <w:pStyle w:val="TableContents"/>
              <w:bidi w:val="0"/>
              <w:spacing w:before="0" w:after="283"/>
              <w:ind w:left="0" w:right="0" w:hanging="0"/>
              <w:jc w:val="left"/>
            </w:pPr>
            <w:r>
              <w:t> </w:t>
            </w:r>
          </w:p>
        </w:tc>
        <w:tc>
          <w:tcPr>
            <w:tcW w:w="1011" w:type="dxa"/>
            <w:tcBorders/>
            <w:shd w:fill="CCEEFF" w:val="clear"/>
            <w:vAlign w:val="center"/>
          </w:tcPr>
          <w:p>
            <w:pPr>
              <w:pStyle w:val="TableContents"/>
              <w:bidi w:val="0"/>
              <w:spacing w:before="0" w:after="283"/>
              <w:ind w:left="0" w:right="0" w:hanging="0"/>
              <w:jc w:val="right"/>
              <w:rPr>
                <w:sz w:val="20"/>
              </w:rPr>
            </w:pPr>
            <w:r>
              <w:rPr>
                <w:sz w:val="20"/>
              </w:rPr>
              <w:t>5,383</w:t>
            </w:r>
          </w:p>
        </w:tc>
        <w:tc>
          <w:tcPr>
            <w:tcW w:w="83" w:type="dxa"/>
            <w:tcBorders/>
            <w:shd w:fill="CCEEFF" w:val="clear"/>
            <w:vAlign w:val="center"/>
          </w:tcPr>
          <w:p>
            <w:pPr>
              <w:pStyle w:val="TableContents"/>
              <w:bidi w:val="0"/>
              <w:spacing w:before="0" w:after="283"/>
              <w:jc w:val="left"/>
            </w:pPr>
            <w:r>
              <w:t> </w:t>
            </w:r>
          </w:p>
        </w:tc>
      </w:tr>
      <w:tr>
        <w:tc>
          <w:tcPr>
            <w:tcW w:w="7319" w:type="dxa"/>
            <w:tcBorders/>
            <w:shd w:fill="FFFF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Depreciation and amortization</w:t>
            </w:r>
          </w:p>
        </w:tc>
        <w:tc>
          <w:tcPr>
            <w:tcW w:w="60" w:type="dxa"/>
            <w:tcBorders/>
            <w:shd w:fill="FFFFFF" w:val="clear"/>
            <w:vAlign w:val="center"/>
          </w:tcPr>
          <w:p>
            <w:pPr>
              <w:pStyle w:val="TableContents"/>
              <w:bidi w:val="0"/>
              <w:spacing w:before="0" w:after="283"/>
              <w:jc w:val="left"/>
            </w:pPr>
            <w:r>
              <w:t> </w:t>
            </w:r>
          </w:p>
        </w:tc>
        <w:tc>
          <w:tcPr>
            <w:tcW w:w="167" w:type="dxa"/>
            <w:tcBorders/>
            <w:shd w:fill="FFFFFF" w:val="clear"/>
            <w:vAlign w:val="center"/>
          </w:tcPr>
          <w:p>
            <w:pPr>
              <w:pStyle w:val="TableContents"/>
              <w:bidi w:val="0"/>
              <w:spacing w:before="0" w:after="283"/>
              <w:ind w:left="0" w:right="0" w:hanging="0"/>
              <w:jc w:val="left"/>
            </w:pPr>
            <w:r>
              <w:t> </w:t>
            </w:r>
          </w:p>
        </w:tc>
        <w:tc>
          <w:tcPr>
            <w:tcW w:w="1212" w:type="dxa"/>
            <w:tcBorders/>
            <w:shd w:fill="FFFFFF" w:val="clear"/>
            <w:vAlign w:val="center"/>
          </w:tcPr>
          <w:p>
            <w:pPr>
              <w:pStyle w:val="TableContents"/>
              <w:bidi w:val="0"/>
              <w:spacing w:before="0" w:after="283"/>
              <w:ind w:left="0" w:right="0" w:hanging="0"/>
              <w:jc w:val="right"/>
              <w:rPr>
                <w:sz w:val="20"/>
              </w:rPr>
            </w:pPr>
            <w:r>
              <w:rPr>
                <w:sz w:val="20"/>
              </w:rPr>
              <w:t>34,450</w:t>
            </w:r>
          </w:p>
        </w:tc>
        <w:tc>
          <w:tcPr>
            <w:tcW w:w="106"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c>
          <w:tcPr>
            <w:tcW w:w="167" w:type="dxa"/>
            <w:tcBorders/>
            <w:shd w:fill="FFFFFF" w:val="clear"/>
            <w:vAlign w:val="center"/>
          </w:tcPr>
          <w:p>
            <w:pPr>
              <w:pStyle w:val="TableContents"/>
              <w:bidi w:val="0"/>
              <w:spacing w:before="0" w:after="283"/>
              <w:ind w:left="0" w:right="0" w:hanging="0"/>
              <w:jc w:val="left"/>
            </w:pPr>
            <w:r>
              <w:t> </w:t>
            </w:r>
          </w:p>
        </w:tc>
        <w:tc>
          <w:tcPr>
            <w:tcW w:w="1011" w:type="dxa"/>
            <w:tcBorders/>
            <w:shd w:fill="FFFFFF" w:val="clear"/>
            <w:vAlign w:val="center"/>
          </w:tcPr>
          <w:p>
            <w:pPr>
              <w:pStyle w:val="TableContents"/>
              <w:bidi w:val="0"/>
              <w:spacing w:before="0" w:after="283"/>
              <w:ind w:left="0" w:right="0" w:hanging="0"/>
              <w:jc w:val="right"/>
              <w:rPr>
                <w:sz w:val="20"/>
              </w:rPr>
            </w:pPr>
            <w:r>
              <w:rPr>
                <w:sz w:val="20"/>
              </w:rPr>
              <w:t>19,491</w:t>
            </w:r>
          </w:p>
        </w:tc>
        <w:tc>
          <w:tcPr>
            <w:tcW w:w="83" w:type="dxa"/>
            <w:tcBorders/>
            <w:shd w:fill="FFFFFF" w:val="clear"/>
            <w:vAlign w:val="center"/>
          </w:tcPr>
          <w:p>
            <w:pPr>
              <w:pStyle w:val="TableContents"/>
              <w:bidi w:val="0"/>
              <w:spacing w:before="0" w:after="283"/>
              <w:jc w:val="left"/>
            </w:pPr>
            <w:r>
              <w:t> </w:t>
            </w:r>
          </w:p>
        </w:tc>
      </w:tr>
      <w:tr>
        <w:tc>
          <w:tcPr>
            <w:tcW w:w="7319" w:type="dxa"/>
            <w:tcBorders/>
            <w:shd w:fill="CCEE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Amortization of debt issuance costs and premium</w:t>
            </w:r>
          </w:p>
        </w:tc>
        <w:tc>
          <w:tcPr>
            <w:tcW w:w="60" w:type="dxa"/>
            <w:tcBorders/>
            <w:shd w:fill="CCEEFF" w:val="clear"/>
            <w:vAlign w:val="center"/>
          </w:tcPr>
          <w:p>
            <w:pPr>
              <w:pStyle w:val="TableContents"/>
              <w:bidi w:val="0"/>
              <w:spacing w:before="0" w:after="283"/>
              <w:jc w:val="left"/>
            </w:pPr>
            <w:r>
              <w:t> </w:t>
            </w:r>
          </w:p>
        </w:tc>
        <w:tc>
          <w:tcPr>
            <w:tcW w:w="167" w:type="dxa"/>
            <w:tcBorders/>
            <w:shd w:fill="CCEEFF" w:val="clear"/>
            <w:vAlign w:val="center"/>
          </w:tcPr>
          <w:p>
            <w:pPr>
              <w:pStyle w:val="TableContents"/>
              <w:bidi w:val="0"/>
              <w:spacing w:before="0" w:after="283"/>
              <w:ind w:left="0" w:right="0" w:hanging="0"/>
              <w:jc w:val="left"/>
            </w:pPr>
            <w:r>
              <w:t> </w:t>
            </w:r>
          </w:p>
        </w:tc>
        <w:tc>
          <w:tcPr>
            <w:tcW w:w="1212" w:type="dxa"/>
            <w:tcBorders/>
            <w:shd w:fill="CCEEFF" w:val="clear"/>
            <w:vAlign w:val="center"/>
          </w:tcPr>
          <w:p>
            <w:pPr>
              <w:pStyle w:val="TableContents"/>
              <w:bidi w:val="0"/>
              <w:spacing w:before="0" w:after="283"/>
              <w:ind w:left="0" w:right="0" w:hanging="0"/>
              <w:jc w:val="right"/>
              <w:rPr>
                <w:sz w:val="20"/>
              </w:rPr>
            </w:pPr>
            <w:r>
              <w:rPr>
                <w:sz w:val="20"/>
              </w:rPr>
              <w:t>(788</w:t>
            </w:r>
          </w:p>
        </w:tc>
        <w:tc>
          <w:tcPr>
            <w:tcW w:w="106" w:type="dxa"/>
            <w:tcBorders/>
            <w:shd w:fill="CCEEFF" w:val="clear"/>
            <w:vAlign w:val="center"/>
          </w:tcPr>
          <w:p>
            <w:pPr>
              <w:pStyle w:val="TableContents"/>
              <w:bidi w:val="0"/>
              <w:spacing w:before="0" w:after="283"/>
              <w:jc w:val="left"/>
              <w:rPr>
                <w:sz w:val="20"/>
              </w:rPr>
            </w:pPr>
            <w:r>
              <w:rPr>
                <w:sz w:val="20"/>
              </w:rPr>
              <w:t>)</w:t>
            </w:r>
          </w:p>
        </w:tc>
        <w:tc>
          <w:tcPr>
            <w:tcW w:w="80" w:type="dxa"/>
            <w:tcBorders/>
            <w:shd w:fill="CCEEFF" w:val="clear"/>
            <w:vAlign w:val="center"/>
          </w:tcPr>
          <w:p>
            <w:pPr>
              <w:pStyle w:val="TableContents"/>
              <w:bidi w:val="0"/>
              <w:spacing w:before="0" w:after="283"/>
              <w:jc w:val="left"/>
            </w:pPr>
            <w:r>
              <w:t> </w:t>
            </w:r>
          </w:p>
        </w:tc>
        <w:tc>
          <w:tcPr>
            <w:tcW w:w="167" w:type="dxa"/>
            <w:tcBorders/>
            <w:shd w:fill="CCEEFF" w:val="clear"/>
            <w:vAlign w:val="center"/>
          </w:tcPr>
          <w:p>
            <w:pPr>
              <w:pStyle w:val="TableContents"/>
              <w:bidi w:val="0"/>
              <w:spacing w:before="0" w:after="283"/>
              <w:ind w:left="0" w:right="0" w:hanging="0"/>
              <w:jc w:val="left"/>
            </w:pPr>
            <w:r>
              <w:t> </w:t>
            </w:r>
          </w:p>
        </w:tc>
        <w:tc>
          <w:tcPr>
            <w:tcW w:w="1011" w:type="dxa"/>
            <w:tcBorders/>
            <w:shd w:fill="CCEEFF" w:val="clear"/>
            <w:vAlign w:val="center"/>
          </w:tcPr>
          <w:p>
            <w:pPr>
              <w:pStyle w:val="TableContents"/>
              <w:bidi w:val="0"/>
              <w:spacing w:before="0" w:after="283"/>
              <w:ind w:left="0" w:right="0" w:hanging="0"/>
              <w:jc w:val="right"/>
              <w:rPr>
                <w:sz w:val="20"/>
              </w:rPr>
            </w:pPr>
            <w:r>
              <w:rPr>
                <w:sz w:val="20"/>
              </w:rPr>
              <w:t>(771</w:t>
            </w:r>
          </w:p>
        </w:tc>
        <w:tc>
          <w:tcPr>
            <w:tcW w:w="83" w:type="dxa"/>
            <w:tcBorders/>
            <w:shd w:fill="CCEEFF" w:val="clear"/>
            <w:vAlign w:val="center"/>
          </w:tcPr>
          <w:p>
            <w:pPr>
              <w:pStyle w:val="TableContents"/>
              <w:bidi w:val="0"/>
              <w:spacing w:before="0" w:after="283"/>
              <w:ind w:left="0" w:right="0" w:hanging="0"/>
              <w:jc w:val="left"/>
              <w:rPr>
                <w:sz w:val="20"/>
              </w:rPr>
            </w:pPr>
            <w:r>
              <w:rPr>
                <w:sz w:val="20"/>
              </w:rPr>
              <w:t>)</w:t>
            </w:r>
          </w:p>
        </w:tc>
      </w:tr>
      <w:tr>
        <w:tc>
          <w:tcPr>
            <w:tcW w:w="7319"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asset</w:t>
            </w:r>
          </w:p>
        </w:tc>
        <w:tc>
          <w:tcPr>
            <w:tcW w:w="60" w:type="dxa"/>
            <w:tcBorders/>
            <w:shd w:fill="FFFFFF" w:val="clear"/>
            <w:vAlign w:val="center"/>
          </w:tcPr>
          <w:p>
            <w:pPr>
              <w:pStyle w:val="TableContents"/>
              <w:bidi w:val="0"/>
              <w:spacing w:before="0" w:after="0"/>
              <w:ind w:left="0" w:right="0" w:hanging="0"/>
              <w:jc w:val="left"/>
            </w:pPr>
            <w:r>
              <w:t> </w:t>
            </w:r>
          </w:p>
        </w:tc>
        <w:tc>
          <w:tcPr>
            <w:tcW w:w="167" w:type="dxa"/>
            <w:tcBorders/>
            <w:shd w:fill="FFFFFF" w:val="clear"/>
            <w:vAlign w:val="center"/>
          </w:tcPr>
          <w:p>
            <w:pPr>
              <w:pStyle w:val="TableContents"/>
              <w:bidi w:val="0"/>
              <w:spacing w:before="0" w:after="0"/>
              <w:ind w:left="0" w:right="0" w:hanging="0"/>
              <w:jc w:val="left"/>
            </w:pPr>
            <w:r>
              <w:t> </w:t>
            </w:r>
          </w:p>
        </w:tc>
        <w:tc>
          <w:tcPr>
            <w:tcW w:w="1212" w:type="dxa"/>
            <w:tcBorders/>
            <w:shd w:fill="FFFFFF" w:val="clear"/>
            <w:vAlign w:val="center"/>
          </w:tcPr>
          <w:p>
            <w:pPr>
              <w:pStyle w:val="TableContents"/>
              <w:bidi w:val="0"/>
              <w:spacing w:before="0" w:after="0"/>
              <w:ind w:left="0" w:right="0" w:hanging="0"/>
              <w:jc w:val="right"/>
              <w:rPr>
                <w:sz w:val="20"/>
              </w:rPr>
            </w:pPr>
            <w:r>
              <w:rPr>
                <w:sz w:val="20"/>
              </w:rPr>
              <w:t>5,864</w:t>
            </w:r>
          </w:p>
        </w:tc>
        <w:tc>
          <w:tcPr>
            <w:tcW w:w="106" w:type="dxa"/>
            <w:tcBorders/>
            <w:shd w:fill="FFFFFF" w:val="clear"/>
            <w:vAlign w:val="center"/>
          </w:tcPr>
          <w:p>
            <w:pPr>
              <w:pStyle w:val="TableContents"/>
              <w:bidi w:val="0"/>
              <w:spacing w:before="0" w:after="0"/>
              <w:ind w:left="0" w:right="0" w:hanging="0"/>
              <w:jc w:val="left"/>
            </w:pPr>
            <w:r>
              <w:t> </w:t>
            </w:r>
          </w:p>
        </w:tc>
        <w:tc>
          <w:tcPr>
            <w:tcW w:w="80" w:type="dxa"/>
            <w:tcBorders/>
            <w:shd w:fill="FFFFFF" w:val="clear"/>
            <w:vAlign w:val="center"/>
          </w:tcPr>
          <w:p>
            <w:pPr>
              <w:pStyle w:val="TableContents"/>
              <w:bidi w:val="0"/>
              <w:spacing w:before="0" w:after="0"/>
              <w:ind w:left="0" w:right="0" w:hanging="0"/>
              <w:jc w:val="left"/>
            </w:pPr>
            <w:r>
              <w:t> </w:t>
            </w:r>
          </w:p>
        </w:tc>
        <w:tc>
          <w:tcPr>
            <w:tcW w:w="167" w:type="dxa"/>
            <w:tcBorders/>
            <w:shd w:fill="FFFFFF" w:val="clear"/>
            <w:vAlign w:val="center"/>
          </w:tcPr>
          <w:p>
            <w:pPr>
              <w:pStyle w:val="TableContents"/>
              <w:bidi w:val="0"/>
              <w:spacing w:before="0" w:after="0"/>
              <w:ind w:left="0" w:right="0" w:hanging="0"/>
              <w:jc w:val="left"/>
            </w:pPr>
            <w:r>
              <w:t> </w:t>
            </w:r>
          </w:p>
        </w:tc>
        <w:tc>
          <w:tcPr>
            <w:tcW w:w="1011" w:type="dxa"/>
            <w:tcBorders/>
            <w:shd w:fill="FFFFFF" w:val="clear"/>
            <w:vAlign w:val="center"/>
          </w:tcPr>
          <w:p>
            <w:pPr>
              <w:pStyle w:val="TableContents"/>
              <w:bidi w:val="0"/>
              <w:spacing w:before="0" w:after="0"/>
              <w:ind w:left="0" w:right="0" w:hanging="0"/>
              <w:jc w:val="right"/>
            </w:pPr>
            <w:r>
              <w:t>—</w:t>
            </w:r>
          </w:p>
        </w:tc>
        <w:tc>
          <w:tcPr>
            <w:tcW w:w="83" w:type="dxa"/>
            <w:tcBorders/>
            <w:shd w:fill="FFFFFF" w:val="clear"/>
            <w:vAlign w:val="center"/>
          </w:tcPr>
          <w:p>
            <w:pPr>
              <w:pStyle w:val="TableContents"/>
              <w:bidi w:val="0"/>
              <w:spacing w:before="0" w:after="0"/>
              <w:jc w:val="left"/>
            </w:pPr>
            <w:r>
              <w:t> </w:t>
            </w:r>
          </w:p>
        </w:tc>
      </w:tr>
      <w:tr>
        <w:tc>
          <w:tcPr>
            <w:tcW w:w="7319" w:type="dxa"/>
            <w:tcBorders/>
            <w:shd w:fill="CCEE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Loss on disposal of assets</w:t>
            </w:r>
          </w:p>
        </w:tc>
        <w:tc>
          <w:tcPr>
            <w:tcW w:w="60" w:type="dxa"/>
            <w:tcBorders/>
            <w:shd w:fill="CCEEFF" w:val="clear"/>
            <w:vAlign w:val="center"/>
          </w:tcPr>
          <w:p>
            <w:pPr>
              <w:pStyle w:val="TableContents"/>
              <w:bidi w:val="0"/>
              <w:spacing w:before="0" w:after="283"/>
              <w:jc w:val="left"/>
            </w:pPr>
            <w:r>
              <w:t> </w:t>
            </w:r>
          </w:p>
        </w:tc>
        <w:tc>
          <w:tcPr>
            <w:tcW w:w="167" w:type="dxa"/>
            <w:tcBorders/>
            <w:shd w:fill="CCEEFF" w:val="clear"/>
            <w:vAlign w:val="center"/>
          </w:tcPr>
          <w:p>
            <w:pPr>
              <w:pStyle w:val="TableContents"/>
              <w:bidi w:val="0"/>
              <w:spacing w:before="0" w:after="283"/>
              <w:ind w:left="0" w:right="0" w:hanging="0"/>
              <w:jc w:val="left"/>
            </w:pPr>
            <w:r>
              <w:t> </w:t>
            </w:r>
          </w:p>
        </w:tc>
        <w:tc>
          <w:tcPr>
            <w:tcW w:w="1212" w:type="dxa"/>
            <w:tcBorders/>
            <w:shd w:fill="CCEEFF" w:val="clear"/>
            <w:vAlign w:val="center"/>
          </w:tcPr>
          <w:p>
            <w:pPr>
              <w:pStyle w:val="TableContents"/>
              <w:bidi w:val="0"/>
              <w:spacing w:before="0" w:after="283"/>
              <w:ind w:left="0" w:right="0" w:hanging="0"/>
              <w:jc w:val="right"/>
              <w:rPr>
                <w:sz w:val="20"/>
              </w:rPr>
            </w:pPr>
            <w:r>
              <w:rPr>
                <w:sz w:val="20"/>
              </w:rPr>
              <w:t>711</w:t>
            </w:r>
          </w:p>
        </w:tc>
        <w:tc>
          <w:tcPr>
            <w:tcW w:w="106"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c>
          <w:tcPr>
            <w:tcW w:w="167" w:type="dxa"/>
            <w:tcBorders/>
            <w:shd w:fill="CCEEFF" w:val="clear"/>
            <w:vAlign w:val="center"/>
          </w:tcPr>
          <w:p>
            <w:pPr>
              <w:pStyle w:val="TableContents"/>
              <w:bidi w:val="0"/>
              <w:spacing w:before="0" w:after="283"/>
              <w:ind w:left="0" w:right="0" w:hanging="0"/>
              <w:jc w:val="left"/>
            </w:pPr>
            <w:r>
              <w:t> </w:t>
            </w:r>
          </w:p>
        </w:tc>
        <w:tc>
          <w:tcPr>
            <w:tcW w:w="1011" w:type="dxa"/>
            <w:tcBorders/>
            <w:shd w:fill="CCEEFF" w:val="clear"/>
            <w:vAlign w:val="center"/>
          </w:tcPr>
          <w:p>
            <w:pPr>
              <w:pStyle w:val="TableContents"/>
              <w:bidi w:val="0"/>
              <w:spacing w:before="0" w:after="283"/>
              <w:ind w:left="0" w:right="0" w:hanging="0"/>
              <w:jc w:val="right"/>
              <w:rPr>
                <w:sz w:val="20"/>
              </w:rPr>
            </w:pPr>
            <w:r>
              <w:rPr>
                <w:sz w:val="20"/>
              </w:rPr>
              <w:t>31</w:t>
            </w:r>
          </w:p>
        </w:tc>
        <w:tc>
          <w:tcPr>
            <w:tcW w:w="83" w:type="dxa"/>
            <w:tcBorders/>
            <w:shd w:fill="CCEEFF" w:val="clear"/>
            <w:vAlign w:val="center"/>
          </w:tcPr>
          <w:p>
            <w:pPr>
              <w:pStyle w:val="TableContents"/>
              <w:bidi w:val="0"/>
              <w:spacing w:before="0" w:after="283"/>
              <w:jc w:val="left"/>
            </w:pPr>
            <w:r>
              <w:t> </w:t>
            </w:r>
          </w:p>
        </w:tc>
      </w:tr>
      <w:tr>
        <w:tc>
          <w:tcPr>
            <w:tcW w:w="7319" w:type="dxa"/>
            <w:tcBorders/>
            <w:shd w:fill="FFFF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Share-based compensation</w:t>
            </w:r>
          </w:p>
        </w:tc>
        <w:tc>
          <w:tcPr>
            <w:tcW w:w="60" w:type="dxa"/>
            <w:tcBorders/>
            <w:shd w:fill="FFFFFF" w:val="clear"/>
            <w:vAlign w:val="center"/>
          </w:tcPr>
          <w:p>
            <w:pPr>
              <w:pStyle w:val="TableContents"/>
              <w:bidi w:val="0"/>
              <w:spacing w:before="0" w:after="283"/>
              <w:jc w:val="left"/>
            </w:pPr>
            <w:r>
              <w:t> </w:t>
            </w:r>
          </w:p>
        </w:tc>
        <w:tc>
          <w:tcPr>
            <w:tcW w:w="167" w:type="dxa"/>
            <w:tcBorders/>
            <w:shd w:fill="FFFFFF" w:val="clear"/>
            <w:vAlign w:val="center"/>
          </w:tcPr>
          <w:p>
            <w:pPr>
              <w:pStyle w:val="TableContents"/>
              <w:bidi w:val="0"/>
              <w:spacing w:before="0" w:after="283"/>
              <w:ind w:left="0" w:right="0" w:hanging="0"/>
              <w:jc w:val="left"/>
            </w:pPr>
            <w:r>
              <w:t> </w:t>
            </w:r>
          </w:p>
        </w:tc>
        <w:tc>
          <w:tcPr>
            <w:tcW w:w="1212" w:type="dxa"/>
            <w:tcBorders/>
            <w:shd w:fill="FFFFFF" w:val="clear"/>
            <w:vAlign w:val="center"/>
          </w:tcPr>
          <w:p>
            <w:pPr>
              <w:pStyle w:val="TableContents"/>
              <w:bidi w:val="0"/>
              <w:spacing w:before="0" w:after="283"/>
              <w:ind w:left="0" w:right="0" w:hanging="0"/>
              <w:jc w:val="right"/>
              <w:rPr>
                <w:sz w:val="20"/>
              </w:rPr>
            </w:pPr>
            <w:r>
              <w:rPr>
                <w:sz w:val="20"/>
              </w:rPr>
              <w:t>14,939</w:t>
            </w:r>
          </w:p>
        </w:tc>
        <w:tc>
          <w:tcPr>
            <w:tcW w:w="106"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c>
          <w:tcPr>
            <w:tcW w:w="167" w:type="dxa"/>
            <w:tcBorders/>
            <w:shd w:fill="FFFFFF" w:val="clear"/>
            <w:vAlign w:val="center"/>
          </w:tcPr>
          <w:p>
            <w:pPr>
              <w:pStyle w:val="TableContents"/>
              <w:bidi w:val="0"/>
              <w:spacing w:before="0" w:after="283"/>
              <w:ind w:left="0" w:right="0" w:hanging="0"/>
              <w:jc w:val="left"/>
            </w:pPr>
            <w:r>
              <w:t> </w:t>
            </w:r>
          </w:p>
        </w:tc>
        <w:tc>
          <w:tcPr>
            <w:tcW w:w="1011" w:type="dxa"/>
            <w:tcBorders/>
            <w:shd w:fill="FFFFFF" w:val="clear"/>
            <w:vAlign w:val="center"/>
          </w:tcPr>
          <w:p>
            <w:pPr>
              <w:pStyle w:val="TableContents"/>
              <w:bidi w:val="0"/>
              <w:spacing w:before="0" w:after="283"/>
              <w:ind w:left="0" w:right="0" w:hanging="0"/>
              <w:jc w:val="right"/>
              <w:rPr>
                <w:sz w:val="20"/>
              </w:rPr>
            </w:pPr>
            <w:r>
              <w:rPr>
                <w:sz w:val="20"/>
              </w:rPr>
              <w:t>8,842</w:t>
            </w:r>
          </w:p>
        </w:tc>
        <w:tc>
          <w:tcPr>
            <w:tcW w:w="83" w:type="dxa"/>
            <w:tcBorders/>
            <w:shd w:fill="FFFFFF" w:val="clear"/>
            <w:vAlign w:val="center"/>
          </w:tcPr>
          <w:p>
            <w:pPr>
              <w:pStyle w:val="TableContents"/>
              <w:bidi w:val="0"/>
              <w:spacing w:before="0" w:after="283"/>
              <w:jc w:val="left"/>
            </w:pPr>
            <w:r>
              <w:t> </w:t>
            </w:r>
          </w:p>
        </w:tc>
      </w:tr>
      <w:tr>
        <w:tc>
          <w:tcPr>
            <w:tcW w:w="7319" w:type="dxa"/>
            <w:tcBorders/>
            <w:shd w:fill="CCEE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Warrants contra revenue</w:t>
            </w:r>
          </w:p>
        </w:tc>
        <w:tc>
          <w:tcPr>
            <w:tcW w:w="60" w:type="dxa"/>
            <w:tcBorders/>
            <w:shd w:fill="CCEEFF" w:val="clear"/>
            <w:vAlign w:val="center"/>
          </w:tcPr>
          <w:p>
            <w:pPr>
              <w:pStyle w:val="TableContents"/>
              <w:bidi w:val="0"/>
              <w:spacing w:before="0" w:after="283"/>
              <w:jc w:val="left"/>
            </w:pPr>
            <w:r>
              <w:t> </w:t>
            </w:r>
          </w:p>
        </w:tc>
        <w:tc>
          <w:tcPr>
            <w:tcW w:w="167" w:type="dxa"/>
            <w:tcBorders/>
            <w:shd w:fill="CCEEFF" w:val="clear"/>
            <w:vAlign w:val="center"/>
          </w:tcPr>
          <w:p>
            <w:pPr>
              <w:pStyle w:val="TableContents"/>
              <w:bidi w:val="0"/>
              <w:spacing w:before="0" w:after="283"/>
              <w:ind w:left="0" w:right="0" w:hanging="0"/>
              <w:jc w:val="left"/>
            </w:pPr>
            <w:r>
              <w:t> </w:t>
            </w:r>
          </w:p>
        </w:tc>
        <w:tc>
          <w:tcPr>
            <w:tcW w:w="1212" w:type="dxa"/>
            <w:tcBorders/>
            <w:shd w:fill="CCEEFF" w:val="clear"/>
            <w:vAlign w:val="center"/>
          </w:tcPr>
          <w:p>
            <w:pPr>
              <w:pStyle w:val="TableContents"/>
              <w:bidi w:val="0"/>
              <w:spacing w:before="0" w:after="283"/>
              <w:ind w:left="0" w:right="0" w:hanging="0"/>
              <w:jc w:val="right"/>
              <w:rPr>
                <w:sz w:val="20"/>
              </w:rPr>
            </w:pPr>
            <w:r>
              <w:rPr>
                <w:sz w:val="20"/>
              </w:rPr>
              <w:t>4,060</w:t>
            </w:r>
          </w:p>
        </w:tc>
        <w:tc>
          <w:tcPr>
            <w:tcW w:w="106"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c>
          <w:tcPr>
            <w:tcW w:w="167" w:type="dxa"/>
            <w:tcBorders/>
            <w:shd w:fill="CCEEFF" w:val="clear"/>
            <w:vAlign w:val="center"/>
          </w:tcPr>
          <w:p>
            <w:pPr>
              <w:pStyle w:val="TableContents"/>
              <w:bidi w:val="0"/>
              <w:spacing w:before="0" w:after="283"/>
              <w:ind w:left="0" w:right="0" w:hanging="0"/>
              <w:jc w:val="left"/>
            </w:pPr>
            <w:r>
              <w:t> </w:t>
            </w:r>
          </w:p>
        </w:tc>
        <w:tc>
          <w:tcPr>
            <w:tcW w:w="1011" w:type="dxa"/>
            <w:tcBorders/>
            <w:shd w:fill="CCEEFF" w:val="clear"/>
            <w:vAlign w:val="center"/>
          </w:tcPr>
          <w:p>
            <w:pPr>
              <w:pStyle w:val="TableContents"/>
              <w:bidi w:val="0"/>
              <w:spacing w:before="0" w:after="283"/>
              <w:ind w:left="0" w:right="0" w:hanging="0"/>
              <w:jc w:val="right"/>
              <w:rPr>
                <w:sz w:val="20"/>
              </w:rPr>
            </w:pPr>
            <w:r>
              <w:rPr>
                <w:sz w:val="20"/>
              </w:rPr>
              <w:t>91</w:t>
            </w:r>
          </w:p>
        </w:tc>
        <w:tc>
          <w:tcPr>
            <w:tcW w:w="83" w:type="dxa"/>
            <w:tcBorders/>
            <w:shd w:fill="CCEEFF" w:val="clear"/>
            <w:vAlign w:val="center"/>
          </w:tcPr>
          <w:p>
            <w:pPr>
              <w:pStyle w:val="TableContents"/>
              <w:bidi w:val="0"/>
              <w:spacing w:before="0" w:after="283"/>
              <w:jc w:val="left"/>
            </w:pPr>
            <w:r>
              <w:t> </w:t>
            </w:r>
          </w:p>
        </w:tc>
      </w:tr>
      <w:tr>
        <w:tc>
          <w:tcPr>
            <w:tcW w:w="7319" w:type="dxa"/>
            <w:tcBorders/>
            <w:shd w:fill="FFFF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Unrealized foreign exchange loss (gain)</w:t>
            </w:r>
          </w:p>
        </w:tc>
        <w:tc>
          <w:tcPr>
            <w:tcW w:w="60" w:type="dxa"/>
            <w:tcBorders/>
            <w:shd w:fill="FFFFFF" w:val="clear"/>
            <w:vAlign w:val="center"/>
          </w:tcPr>
          <w:p>
            <w:pPr>
              <w:pStyle w:val="TableContents"/>
              <w:bidi w:val="0"/>
              <w:spacing w:before="0" w:after="283"/>
              <w:jc w:val="left"/>
            </w:pPr>
            <w:r>
              <w:t> </w:t>
            </w:r>
          </w:p>
        </w:tc>
        <w:tc>
          <w:tcPr>
            <w:tcW w:w="167" w:type="dxa"/>
            <w:tcBorders/>
            <w:shd w:fill="FFFFFF" w:val="clear"/>
            <w:vAlign w:val="center"/>
          </w:tcPr>
          <w:p>
            <w:pPr>
              <w:pStyle w:val="TableContents"/>
              <w:bidi w:val="0"/>
              <w:spacing w:before="0" w:after="283"/>
              <w:ind w:left="0" w:right="0" w:hanging="0"/>
              <w:jc w:val="left"/>
            </w:pPr>
            <w:r>
              <w:t> </w:t>
            </w:r>
          </w:p>
        </w:tc>
        <w:tc>
          <w:tcPr>
            <w:tcW w:w="1212" w:type="dxa"/>
            <w:tcBorders/>
            <w:shd w:fill="FFFFFF" w:val="clear"/>
            <w:vAlign w:val="center"/>
          </w:tcPr>
          <w:p>
            <w:pPr>
              <w:pStyle w:val="TableContents"/>
              <w:bidi w:val="0"/>
              <w:spacing w:before="0" w:after="283"/>
              <w:ind w:left="0" w:right="0" w:hanging="0"/>
              <w:jc w:val="right"/>
              <w:rPr>
                <w:sz w:val="20"/>
              </w:rPr>
            </w:pPr>
            <w:r>
              <w:rPr>
                <w:sz w:val="20"/>
              </w:rPr>
              <w:t>(364</w:t>
            </w:r>
          </w:p>
        </w:tc>
        <w:tc>
          <w:tcPr>
            <w:tcW w:w="106" w:type="dxa"/>
            <w:tcBorders/>
            <w:shd w:fill="FFFFFF" w:val="clear"/>
            <w:vAlign w:val="center"/>
          </w:tcPr>
          <w:p>
            <w:pPr>
              <w:pStyle w:val="TableContents"/>
              <w:bidi w:val="0"/>
              <w:spacing w:before="0" w:after="283"/>
              <w:jc w:val="left"/>
              <w:rPr>
                <w:sz w:val="20"/>
              </w:rPr>
            </w:pPr>
            <w:r>
              <w:rPr>
                <w:sz w:val="20"/>
              </w:rPr>
              <w:t>)</w:t>
            </w:r>
          </w:p>
        </w:tc>
        <w:tc>
          <w:tcPr>
            <w:tcW w:w="80" w:type="dxa"/>
            <w:tcBorders/>
            <w:shd w:fill="FFFFFF" w:val="clear"/>
            <w:vAlign w:val="center"/>
          </w:tcPr>
          <w:p>
            <w:pPr>
              <w:pStyle w:val="TableContents"/>
              <w:bidi w:val="0"/>
              <w:spacing w:before="0" w:after="283"/>
              <w:jc w:val="left"/>
            </w:pPr>
            <w:r>
              <w:t> </w:t>
            </w:r>
          </w:p>
        </w:tc>
        <w:tc>
          <w:tcPr>
            <w:tcW w:w="167" w:type="dxa"/>
            <w:tcBorders/>
            <w:shd w:fill="FFFFFF" w:val="clear"/>
            <w:vAlign w:val="center"/>
          </w:tcPr>
          <w:p>
            <w:pPr>
              <w:pStyle w:val="TableContents"/>
              <w:bidi w:val="0"/>
              <w:spacing w:before="0" w:after="283"/>
              <w:ind w:left="0" w:right="0" w:hanging="0"/>
              <w:jc w:val="left"/>
            </w:pPr>
            <w:r>
              <w:t> </w:t>
            </w:r>
          </w:p>
        </w:tc>
        <w:tc>
          <w:tcPr>
            <w:tcW w:w="1011" w:type="dxa"/>
            <w:tcBorders/>
            <w:shd w:fill="FFFFFF" w:val="clear"/>
            <w:vAlign w:val="center"/>
          </w:tcPr>
          <w:p>
            <w:pPr>
              <w:pStyle w:val="TableContents"/>
              <w:bidi w:val="0"/>
              <w:spacing w:before="0" w:after="283"/>
              <w:ind w:left="0" w:right="0" w:hanging="0"/>
              <w:jc w:val="right"/>
              <w:rPr>
                <w:sz w:val="20"/>
              </w:rPr>
            </w:pPr>
            <w:r>
              <w:rPr>
                <w:sz w:val="20"/>
              </w:rPr>
              <w:t>485</w:t>
            </w:r>
          </w:p>
        </w:tc>
        <w:tc>
          <w:tcPr>
            <w:tcW w:w="83" w:type="dxa"/>
            <w:tcBorders/>
            <w:shd w:fill="FFFFFF" w:val="clear"/>
            <w:vAlign w:val="center"/>
          </w:tcPr>
          <w:p>
            <w:pPr>
              <w:pStyle w:val="TableContents"/>
              <w:bidi w:val="0"/>
              <w:spacing w:before="0" w:after="283"/>
              <w:jc w:val="left"/>
            </w:pPr>
            <w:r>
              <w:t> </w:t>
            </w:r>
          </w:p>
        </w:tc>
      </w:tr>
      <w:tr>
        <w:tc>
          <w:tcPr>
            <w:tcW w:w="7319"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Changes in operating assets and liabilities:</w:t>
            </w:r>
          </w:p>
        </w:tc>
        <w:tc>
          <w:tcPr>
            <w:tcW w:w="60" w:type="dxa"/>
            <w:tcBorders/>
            <w:shd w:fill="CCEEFF" w:val="clear"/>
            <w:vAlign w:val="center"/>
          </w:tcPr>
          <w:p>
            <w:pPr>
              <w:pStyle w:val="TableContents"/>
              <w:bidi w:val="0"/>
              <w:spacing w:before="0" w:after="283"/>
              <w:jc w:val="left"/>
            </w:pPr>
            <w:r>
              <w:t> </w:t>
            </w:r>
          </w:p>
        </w:tc>
        <w:tc>
          <w:tcPr>
            <w:tcW w:w="167" w:type="dxa"/>
            <w:tcBorders/>
            <w:shd w:fill="CCEEFF" w:val="clear"/>
            <w:vAlign w:val="center"/>
          </w:tcPr>
          <w:p>
            <w:pPr>
              <w:pStyle w:val="TableContents"/>
              <w:bidi w:val="0"/>
              <w:spacing w:before="0" w:after="283"/>
              <w:jc w:val="left"/>
            </w:pPr>
            <w:r>
              <w:t> </w:t>
            </w:r>
          </w:p>
        </w:tc>
        <w:tc>
          <w:tcPr>
            <w:tcW w:w="1212" w:type="dxa"/>
            <w:tcBorders/>
            <w:shd w:fill="CCEEFF" w:val="clear"/>
            <w:vAlign w:val="center"/>
          </w:tcPr>
          <w:p>
            <w:pPr>
              <w:pStyle w:val="TableContents"/>
              <w:bidi w:val="0"/>
              <w:spacing w:before="0" w:after="283"/>
              <w:jc w:val="left"/>
            </w:pPr>
            <w:r>
              <w:t> </w:t>
            </w:r>
          </w:p>
        </w:tc>
        <w:tc>
          <w:tcPr>
            <w:tcW w:w="106"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c>
          <w:tcPr>
            <w:tcW w:w="167" w:type="dxa"/>
            <w:tcBorders/>
            <w:shd w:fill="CCEEFF" w:val="clear"/>
            <w:vAlign w:val="center"/>
          </w:tcPr>
          <w:p>
            <w:pPr>
              <w:pStyle w:val="TableContents"/>
              <w:bidi w:val="0"/>
              <w:spacing w:before="0" w:after="283"/>
              <w:jc w:val="left"/>
            </w:pPr>
            <w:r>
              <w:t> </w:t>
            </w:r>
          </w:p>
        </w:tc>
        <w:tc>
          <w:tcPr>
            <w:tcW w:w="1011" w:type="dxa"/>
            <w:tcBorders/>
            <w:shd w:fill="CCEEFF" w:val="clear"/>
            <w:vAlign w:val="center"/>
          </w:tcPr>
          <w:p>
            <w:pPr>
              <w:pStyle w:val="TableContents"/>
              <w:bidi w:val="0"/>
              <w:spacing w:before="0" w:after="283"/>
              <w:jc w:val="left"/>
            </w:pPr>
            <w:r>
              <w:t> </w:t>
            </w:r>
          </w:p>
        </w:tc>
        <w:tc>
          <w:tcPr>
            <w:tcW w:w="83" w:type="dxa"/>
            <w:tcBorders/>
            <w:shd w:fill="CCEEFF" w:val="clear"/>
            <w:vAlign w:val="center"/>
          </w:tcPr>
          <w:p>
            <w:pPr>
              <w:pStyle w:val="TableContents"/>
              <w:bidi w:val="0"/>
              <w:spacing w:before="0" w:after="283"/>
              <w:jc w:val="left"/>
            </w:pPr>
            <w:r>
              <w:t> </w:t>
            </w:r>
          </w:p>
        </w:tc>
      </w:tr>
      <w:tr>
        <w:tc>
          <w:tcPr>
            <w:tcW w:w="7319" w:type="dxa"/>
            <w:tcBorders/>
            <w:shd w:fill="FFFF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Accounts receivable, trade</w:t>
            </w:r>
          </w:p>
        </w:tc>
        <w:tc>
          <w:tcPr>
            <w:tcW w:w="60" w:type="dxa"/>
            <w:tcBorders/>
            <w:shd w:fill="FFFFFF" w:val="clear"/>
            <w:vAlign w:val="center"/>
          </w:tcPr>
          <w:p>
            <w:pPr>
              <w:pStyle w:val="TableContents"/>
              <w:bidi w:val="0"/>
              <w:spacing w:before="0" w:after="283"/>
              <w:jc w:val="left"/>
            </w:pPr>
            <w:r>
              <w:t> </w:t>
            </w:r>
          </w:p>
        </w:tc>
        <w:tc>
          <w:tcPr>
            <w:tcW w:w="167" w:type="dxa"/>
            <w:tcBorders/>
            <w:shd w:fill="FFFFFF" w:val="clear"/>
            <w:vAlign w:val="center"/>
          </w:tcPr>
          <w:p>
            <w:pPr>
              <w:pStyle w:val="TableContents"/>
              <w:bidi w:val="0"/>
              <w:spacing w:before="0" w:after="283"/>
              <w:ind w:left="0" w:right="0" w:hanging="0"/>
              <w:jc w:val="left"/>
            </w:pPr>
            <w:r>
              <w:t> </w:t>
            </w:r>
          </w:p>
        </w:tc>
        <w:tc>
          <w:tcPr>
            <w:tcW w:w="1212" w:type="dxa"/>
            <w:tcBorders/>
            <w:shd w:fill="FFFFFF" w:val="clear"/>
            <w:vAlign w:val="center"/>
          </w:tcPr>
          <w:p>
            <w:pPr>
              <w:pStyle w:val="TableContents"/>
              <w:bidi w:val="0"/>
              <w:spacing w:before="0" w:after="283"/>
              <w:ind w:left="0" w:right="0" w:hanging="0"/>
              <w:jc w:val="right"/>
              <w:rPr>
                <w:sz w:val="20"/>
              </w:rPr>
            </w:pPr>
            <w:r>
              <w:rPr>
                <w:sz w:val="20"/>
              </w:rPr>
              <w:t>(169,803</w:t>
            </w:r>
          </w:p>
        </w:tc>
        <w:tc>
          <w:tcPr>
            <w:tcW w:w="106" w:type="dxa"/>
            <w:tcBorders/>
            <w:shd w:fill="FFFFFF" w:val="clear"/>
            <w:vAlign w:val="center"/>
          </w:tcPr>
          <w:p>
            <w:pPr>
              <w:pStyle w:val="TableContents"/>
              <w:bidi w:val="0"/>
              <w:spacing w:before="0" w:after="283"/>
              <w:jc w:val="left"/>
              <w:rPr>
                <w:sz w:val="20"/>
              </w:rPr>
            </w:pPr>
            <w:r>
              <w:rPr>
                <w:sz w:val="20"/>
              </w:rPr>
              <w:t>)</w:t>
            </w:r>
          </w:p>
        </w:tc>
        <w:tc>
          <w:tcPr>
            <w:tcW w:w="80" w:type="dxa"/>
            <w:tcBorders/>
            <w:shd w:fill="FFFFFF" w:val="clear"/>
            <w:vAlign w:val="center"/>
          </w:tcPr>
          <w:p>
            <w:pPr>
              <w:pStyle w:val="TableContents"/>
              <w:bidi w:val="0"/>
              <w:spacing w:before="0" w:after="283"/>
              <w:jc w:val="left"/>
            </w:pPr>
            <w:r>
              <w:t> </w:t>
            </w:r>
          </w:p>
        </w:tc>
        <w:tc>
          <w:tcPr>
            <w:tcW w:w="167" w:type="dxa"/>
            <w:tcBorders/>
            <w:shd w:fill="FFFFFF" w:val="clear"/>
            <w:vAlign w:val="center"/>
          </w:tcPr>
          <w:p>
            <w:pPr>
              <w:pStyle w:val="TableContents"/>
              <w:bidi w:val="0"/>
              <w:spacing w:before="0" w:after="283"/>
              <w:ind w:left="0" w:right="0" w:hanging="0"/>
              <w:jc w:val="left"/>
            </w:pPr>
            <w:r>
              <w:t> </w:t>
            </w:r>
          </w:p>
        </w:tc>
        <w:tc>
          <w:tcPr>
            <w:tcW w:w="1011" w:type="dxa"/>
            <w:tcBorders/>
            <w:shd w:fill="FFFFFF" w:val="clear"/>
            <w:vAlign w:val="center"/>
          </w:tcPr>
          <w:p>
            <w:pPr>
              <w:pStyle w:val="TableContents"/>
              <w:bidi w:val="0"/>
              <w:spacing w:before="0" w:after="283"/>
              <w:ind w:left="0" w:right="0" w:hanging="0"/>
              <w:jc w:val="right"/>
              <w:rPr>
                <w:sz w:val="20"/>
              </w:rPr>
            </w:pPr>
            <w:r>
              <w:rPr>
                <w:sz w:val="20"/>
              </w:rPr>
              <w:t>(107,232</w:t>
            </w:r>
          </w:p>
        </w:tc>
        <w:tc>
          <w:tcPr>
            <w:tcW w:w="83" w:type="dxa"/>
            <w:tcBorders/>
            <w:shd w:fill="FFFFFF" w:val="clear"/>
            <w:vAlign w:val="center"/>
          </w:tcPr>
          <w:p>
            <w:pPr>
              <w:pStyle w:val="TableContents"/>
              <w:bidi w:val="0"/>
              <w:spacing w:before="0" w:after="283"/>
              <w:jc w:val="left"/>
              <w:rPr>
                <w:sz w:val="20"/>
              </w:rPr>
            </w:pPr>
            <w:r>
              <w:rPr>
                <w:sz w:val="20"/>
              </w:rPr>
              <w:t>)</w:t>
            </w:r>
          </w:p>
        </w:tc>
      </w:tr>
      <w:tr>
        <w:tc>
          <w:tcPr>
            <w:tcW w:w="7319" w:type="dxa"/>
            <w:tcBorders/>
            <w:shd w:fill="CCEE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Inventories, net</w:t>
            </w:r>
          </w:p>
        </w:tc>
        <w:tc>
          <w:tcPr>
            <w:tcW w:w="60" w:type="dxa"/>
            <w:tcBorders/>
            <w:shd w:fill="CCEEFF" w:val="clear"/>
            <w:vAlign w:val="center"/>
          </w:tcPr>
          <w:p>
            <w:pPr>
              <w:pStyle w:val="TableContents"/>
              <w:bidi w:val="0"/>
              <w:spacing w:before="0" w:after="283"/>
              <w:jc w:val="left"/>
            </w:pPr>
            <w:r>
              <w:t> </w:t>
            </w:r>
          </w:p>
        </w:tc>
        <w:tc>
          <w:tcPr>
            <w:tcW w:w="167" w:type="dxa"/>
            <w:tcBorders/>
            <w:shd w:fill="CCEEFF" w:val="clear"/>
            <w:vAlign w:val="center"/>
          </w:tcPr>
          <w:p>
            <w:pPr>
              <w:pStyle w:val="TableContents"/>
              <w:bidi w:val="0"/>
              <w:spacing w:before="0" w:after="283"/>
              <w:ind w:left="0" w:right="0" w:hanging="0"/>
              <w:jc w:val="left"/>
            </w:pPr>
            <w:r>
              <w:t> </w:t>
            </w:r>
          </w:p>
        </w:tc>
        <w:tc>
          <w:tcPr>
            <w:tcW w:w="1212" w:type="dxa"/>
            <w:tcBorders/>
            <w:shd w:fill="CCEEFF" w:val="clear"/>
            <w:vAlign w:val="center"/>
          </w:tcPr>
          <w:p>
            <w:pPr>
              <w:pStyle w:val="TableContents"/>
              <w:bidi w:val="0"/>
              <w:spacing w:before="0" w:after="283"/>
              <w:ind w:left="0" w:right="0" w:hanging="0"/>
              <w:jc w:val="right"/>
              <w:rPr>
                <w:sz w:val="20"/>
              </w:rPr>
            </w:pPr>
            <w:r>
              <w:rPr>
                <w:sz w:val="20"/>
              </w:rPr>
              <w:t>(186,621</w:t>
            </w:r>
          </w:p>
        </w:tc>
        <w:tc>
          <w:tcPr>
            <w:tcW w:w="106" w:type="dxa"/>
            <w:tcBorders/>
            <w:shd w:fill="CCEEFF" w:val="clear"/>
            <w:vAlign w:val="center"/>
          </w:tcPr>
          <w:p>
            <w:pPr>
              <w:pStyle w:val="TableContents"/>
              <w:bidi w:val="0"/>
              <w:spacing w:before="0" w:after="283"/>
              <w:jc w:val="left"/>
              <w:rPr>
                <w:sz w:val="20"/>
              </w:rPr>
            </w:pPr>
            <w:r>
              <w:rPr>
                <w:sz w:val="20"/>
              </w:rPr>
              <w:t>)</w:t>
            </w:r>
          </w:p>
        </w:tc>
        <w:tc>
          <w:tcPr>
            <w:tcW w:w="80" w:type="dxa"/>
            <w:tcBorders/>
            <w:shd w:fill="CCEEFF" w:val="clear"/>
            <w:vAlign w:val="center"/>
          </w:tcPr>
          <w:p>
            <w:pPr>
              <w:pStyle w:val="TableContents"/>
              <w:bidi w:val="0"/>
              <w:spacing w:before="0" w:after="283"/>
              <w:jc w:val="left"/>
            </w:pPr>
            <w:r>
              <w:t> </w:t>
            </w:r>
          </w:p>
        </w:tc>
        <w:tc>
          <w:tcPr>
            <w:tcW w:w="167" w:type="dxa"/>
            <w:tcBorders/>
            <w:shd w:fill="CCEEFF" w:val="clear"/>
            <w:vAlign w:val="center"/>
          </w:tcPr>
          <w:p>
            <w:pPr>
              <w:pStyle w:val="TableContents"/>
              <w:bidi w:val="0"/>
              <w:spacing w:before="0" w:after="283"/>
              <w:ind w:left="0" w:right="0" w:hanging="0"/>
              <w:jc w:val="left"/>
            </w:pPr>
            <w:r>
              <w:t> </w:t>
            </w:r>
          </w:p>
        </w:tc>
        <w:tc>
          <w:tcPr>
            <w:tcW w:w="1011" w:type="dxa"/>
            <w:tcBorders/>
            <w:shd w:fill="CCEEFF" w:val="clear"/>
            <w:vAlign w:val="center"/>
          </w:tcPr>
          <w:p>
            <w:pPr>
              <w:pStyle w:val="TableContents"/>
              <w:bidi w:val="0"/>
              <w:spacing w:before="0" w:after="283"/>
              <w:ind w:left="0" w:right="0" w:hanging="0"/>
              <w:jc w:val="right"/>
              <w:rPr>
                <w:sz w:val="20"/>
              </w:rPr>
            </w:pPr>
            <w:r>
              <w:rPr>
                <w:sz w:val="20"/>
              </w:rPr>
              <w:t>(84,612</w:t>
            </w:r>
          </w:p>
        </w:tc>
        <w:tc>
          <w:tcPr>
            <w:tcW w:w="83" w:type="dxa"/>
            <w:tcBorders/>
            <w:shd w:fill="CCEEFF" w:val="clear"/>
            <w:vAlign w:val="center"/>
          </w:tcPr>
          <w:p>
            <w:pPr>
              <w:pStyle w:val="TableContents"/>
              <w:bidi w:val="0"/>
              <w:spacing w:before="0" w:after="283"/>
              <w:jc w:val="left"/>
              <w:rPr>
                <w:sz w:val="20"/>
              </w:rPr>
            </w:pPr>
            <w:r>
              <w:rPr>
                <w:sz w:val="20"/>
              </w:rPr>
              <w:t>)</w:t>
            </w:r>
          </w:p>
        </w:tc>
      </w:tr>
      <w:tr>
        <w:tc>
          <w:tcPr>
            <w:tcW w:w="7319" w:type="dxa"/>
            <w:tcBorders/>
            <w:shd w:fill="FFFF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Other current assets</w:t>
            </w:r>
          </w:p>
        </w:tc>
        <w:tc>
          <w:tcPr>
            <w:tcW w:w="60" w:type="dxa"/>
            <w:tcBorders/>
            <w:shd w:fill="FFFFFF" w:val="clear"/>
            <w:vAlign w:val="center"/>
          </w:tcPr>
          <w:p>
            <w:pPr>
              <w:pStyle w:val="TableContents"/>
              <w:bidi w:val="0"/>
              <w:spacing w:before="0" w:after="283"/>
              <w:jc w:val="left"/>
            </w:pPr>
            <w:r>
              <w:t> </w:t>
            </w:r>
          </w:p>
        </w:tc>
        <w:tc>
          <w:tcPr>
            <w:tcW w:w="167" w:type="dxa"/>
            <w:tcBorders/>
            <w:shd w:fill="FFFFFF" w:val="clear"/>
            <w:vAlign w:val="center"/>
          </w:tcPr>
          <w:p>
            <w:pPr>
              <w:pStyle w:val="TableContents"/>
              <w:bidi w:val="0"/>
              <w:spacing w:before="0" w:after="283"/>
              <w:ind w:left="0" w:right="0" w:hanging="0"/>
              <w:jc w:val="left"/>
            </w:pPr>
            <w:r>
              <w:t> </w:t>
            </w:r>
          </w:p>
        </w:tc>
        <w:tc>
          <w:tcPr>
            <w:tcW w:w="1212" w:type="dxa"/>
            <w:tcBorders/>
            <w:shd w:fill="FFFFFF" w:val="clear"/>
            <w:vAlign w:val="center"/>
          </w:tcPr>
          <w:p>
            <w:pPr>
              <w:pStyle w:val="TableContents"/>
              <w:bidi w:val="0"/>
              <w:spacing w:before="0" w:after="283"/>
              <w:ind w:left="0" w:right="0" w:hanging="0"/>
              <w:jc w:val="right"/>
              <w:rPr>
                <w:sz w:val="20"/>
              </w:rPr>
            </w:pPr>
            <w:r>
              <w:rPr>
                <w:sz w:val="20"/>
              </w:rPr>
              <w:t>(102,960</w:t>
            </w:r>
          </w:p>
        </w:tc>
        <w:tc>
          <w:tcPr>
            <w:tcW w:w="106" w:type="dxa"/>
            <w:tcBorders/>
            <w:shd w:fill="FFFFFF" w:val="clear"/>
            <w:vAlign w:val="center"/>
          </w:tcPr>
          <w:p>
            <w:pPr>
              <w:pStyle w:val="TableContents"/>
              <w:bidi w:val="0"/>
              <w:spacing w:before="0" w:after="283"/>
              <w:jc w:val="left"/>
              <w:rPr>
                <w:sz w:val="20"/>
              </w:rPr>
            </w:pPr>
            <w:r>
              <w:rPr>
                <w:sz w:val="20"/>
              </w:rPr>
              <w:t>)</w:t>
            </w:r>
          </w:p>
        </w:tc>
        <w:tc>
          <w:tcPr>
            <w:tcW w:w="80" w:type="dxa"/>
            <w:tcBorders/>
            <w:shd w:fill="FFFFFF" w:val="clear"/>
            <w:vAlign w:val="center"/>
          </w:tcPr>
          <w:p>
            <w:pPr>
              <w:pStyle w:val="TableContents"/>
              <w:bidi w:val="0"/>
              <w:spacing w:before="0" w:after="283"/>
              <w:jc w:val="left"/>
            </w:pPr>
            <w:r>
              <w:t> </w:t>
            </w:r>
          </w:p>
        </w:tc>
        <w:tc>
          <w:tcPr>
            <w:tcW w:w="167" w:type="dxa"/>
            <w:tcBorders/>
            <w:shd w:fill="FFFFFF" w:val="clear"/>
            <w:vAlign w:val="center"/>
          </w:tcPr>
          <w:p>
            <w:pPr>
              <w:pStyle w:val="TableContents"/>
              <w:bidi w:val="0"/>
              <w:spacing w:before="0" w:after="283"/>
              <w:ind w:left="0" w:right="0" w:hanging="0"/>
              <w:jc w:val="left"/>
            </w:pPr>
            <w:r>
              <w:t> </w:t>
            </w:r>
          </w:p>
        </w:tc>
        <w:tc>
          <w:tcPr>
            <w:tcW w:w="1011" w:type="dxa"/>
            <w:tcBorders/>
            <w:shd w:fill="FFFFFF" w:val="clear"/>
            <w:vAlign w:val="center"/>
          </w:tcPr>
          <w:p>
            <w:pPr>
              <w:pStyle w:val="TableContents"/>
              <w:bidi w:val="0"/>
              <w:spacing w:before="0" w:after="283"/>
              <w:ind w:left="0" w:right="0" w:hanging="0"/>
              <w:jc w:val="right"/>
              <w:rPr>
                <w:sz w:val="20"/>
              </w:rPr>
            </w:pPr>
            <w:r>
              <w:rPr>
                <w:sz w:val="20"/>
              </w:rPr>
              <w:t>(11,342</w:t>
            </w:r>
          </w:p>
        </w:tc>
        <w:tc>
          <w:tcPr>
            <w:tcW w:w="83" w:type="dxa"/>
            <w:tcBorders/>
            <w:shd w:fill="FFFFFF" w:val="clear"/>
            <w:vAlign w:val="center"/>
          </w:tcPr>
          <w:p>
            <w:pPr>
              <w:pStyle w:val="TableContents"/>
              <w:bidi w:val="0"/>
              <w:spacing w:before="0" w:after="283"/>
              <w:jc w:val="left"/>
              <w:rPr>
                <w:sz w:val="20"/>
              </w:rPr>
            </w:pPr>
            <w:r>
              <w:rPr>
                <w:sz w:val="20"/>
              </w:rPr>
              <w:t>)</w:t>
            </w:r>
          </w:p>
        </w:tc>
      </w:tr>
      <w:tr>
        <w:tc>
          <w:tcPr>
            <w:tcW w:w="7319" w:type="dxa"/>
            <w:tcBorders/>
            <w:shd w:fill="CCEE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Operating right of use asset</w:t>
            </w:r>
          </w:p>
        </w:tc>
        <w:tc>
          <w:tcPr>
            <w:tcW w:w="60" w:type="dxa"/>
            <w:tcBorders/>
            <w:shd w:fill="CCEEFF" w:val="clear"/>
            <w:vAlign w:val="center"/>
          </w:tcPr>
          <w:p>
            <w:pPr>
              <w:pStyle w:val="TableContents"/>
              <w:bidi w:val="0"/>
              <w:spacing w:before="0" w:after="283"/>
              <w:jc w:val="left"/>
            </w:pPr>
            <w:r>
              <w:t> </w:t>
            </w:r>
          </w:p>
        </w:tc>
        <w:tc>
          <w:tcPr>
            <w:tcW w:w="167" w:type="dxa"/>
            <w:tcBorders/>
            <w:shd w:fill="CCEEFF" w:val="clear"/>
            <w:vAlign w:val="center"/>
          </w:tcPr>
          <w:p>
            <w:pPr>
              <w:pStyle w:val="TableContents"/>
              <w:bidi w:val="0"/>
              <w:spacing w:before="0" w:after="283"/>
              <w:ind w:left="0" w:right="0" w:hanging="0"/>
              <w:jc w:val="left"/>
            </w:pPr>
            <w:r>
              <w:t> </w:t>
            </w:r>
          </w:p>
        </w:tc>
        <w:tc>
          <w:tcPr>
            <w:tcW w:w="1212" w:type="dxa"/>
            <w:tcBorders/>
            <w:shd w:fill="CCEEFF" w:val="clear"/>
            <w:vAlign w:val="center"/>
          </w:tcPr>
          <w:p>
            <w:pPr>
              <w:pStyle w:val="TableContents"/>
              <w:bidi w:val="0"/>
              <w:spacing w:before="0" w:after="283"/>
              <w:ind w:left="0" w:right="0" w:hanging="0"/>
              <w:jc w:val="right"/>
              <w:rPr>
                <w:sz w:val="20"/>
              </w:rPr>
            </w:pPr>
            <w:r>
              <w:rPr>
                <w:sz w:val="20"/>
              </w:rPr>
              <w:t>(21,301</w:t>
            </w:r>
          </w:p>
        </w:tc>
        <w:tc>
          <w:tcPr>
            <w:tcW w:w="106" w:type="dxa"/>
            <w:tcBorders/>
            <w:shd w:fill="CCEEFF" w:val="clear"/>
            <w:vAlign w:val="center"/>
          </w:tcPr>
          <w:p>
            <w:pPr>
              <w:pStyle w:val="TableContents"/>
              <w:bidi w:val="0"/>
              <w:spacing w:before="0" w:after="283"/>
              <w:jc w:val="left"/>
              <w:rPr>
                <w:sz w:val="20"/>
              </w:rPr>
            </w:pPr>
            <w:r>
              <w:rPr>
                <w:sz w:val="20"/>
              </w:rPr>
              <w:t>)</w:t>
            </w:r>
          </w:p>
        </w:tc>
        <w:tc>
          <w:tcPr>
            <w:tcW w:w="80" w:type="dxa"/>
            <w:tcBorders/>
            <w:shd w:fill="CCEEFF" w:val="clear"/>
            <w:vAlign w:val="center"/>
          </w:tcPr>
          <w:p>
            <w:pPr>
              <w:pStyle w:val="TableContents"/>
              <w:bidi w:val="0"/>
              <w:spacing w:before="0" w:after="283"/>
              <w:jc w:val="left"/>
            </w:pPr>
            <w:r>
              <w:t> </w:t>
            </w:r>
          </w:p>
        </w:tc>
        <w:tc>
          <w:tcPr>
            <w:tcW w:w="167" w:type="dxa"/>
            <w:tcBorders/>
            <w:shd w:fill="CCEEFF" w:val="clear"/>
            <w:vAlign w:val="center"/>
          </w:tcPr>
          <w:p>
            <w:pPr>
              <w:pStyle w:val="TableContents"/>
              <w:bidi w:val="0"/>
              <w:spacing w:before="0" w:after="283"/>
              <w:ind w:left="0" w:right="0" w:hanging="0"/>
              <w:jc w:val="left"/>
            </w:pPr>
            <w:r>
              <w:t> </w:t>
            </w:r>
          </w:p>
        </w:tc>
        <w:tc>
          <w:tcPr>
            <w:tcW w:w="1011" w:type="dxa"/>
            <w:tcBorders/>
            <w:shd w:fill="CCEEFF" w:val="clear"/>
            <w:vAlign w:val="center"/>
          </w:tcPr>
          <w:p>
            <w:pPr>
              <w:pStyle w:val="TableContents"/>
              <w:bidi w:val="0"/>
              <w:spacing w:before="0" w:after="283"/>
              <w:ind w:left="0" w:right="0" w:hanging="0"/>
              <w:jc w:val="right"/>
              <w:rPr>
                <w:sz w:val="20"/>
              </w:rPr>
            </w:pPr>
            <w:r>
              <w:rPr>
                <w:sz w:val="20"/>
              </w:rPr>
              <w:t>(31,851</w:t>
            </w:r>
          </w:p>
        </w:tc>
        <w:tc>
          <w:tcPr>
            <w:tcW w:w="83" w:type="dxa"/>
            <w:tcBorders/>
            <w:shd w:fill="CCEEFF" w:val="clear"/>
            <w:vAlign w:val="center"/>
          </w:tcPr>
          <w:p>
            <w:pPr>
              <w:pStyle w:val="TableContents"/>
              <w:bidi w:val="0"/>
              <w:spacing w:before="0" w:after="283"/>
              <w:jc w:val="left"/>
              <w:rPr>
                <w:sz w:val="20"/>
              </w:rPr>
            </w:pPr>
            <w:r>
              <w:rPr>
                <w:sz w:val="20"/>
              </w:rPr>
              <w:t>)</w:t>
            </w:r>
          </w:p>
        </w:tc>
      </w:tr>
      <w:tr>
        <w:tc>
          <w:tcPr>
            <w:tcW w:w="7319" w:type="dxa"/>
            <w:tcBorders/>
            <w:shd w:fill="FFFF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Accounts payable</w:t>
            </w:r>
          </w:p>
        </w:tc>
        <w:tc>
          <w:tcPr>
            <w:tcW w:w="60" w:type="dxa"/>
            <w:tcBorders/>
            <w:shd w:fill="FFFFFF" w:val="clear"/>
            <w:vAlign w:val="center"/>
          </w:tcPr>
          <w:p>
            <w:pPr>
              <w:pStyle w:val="TableContents"/>
              <w:bidi w:val="0"/>
              <w:spacing w:before="0" w:after="283"/>
              <w:jc w:val="left"/>
            </w:pPr>
            <w:r>
              <w:t> </w:t>
            </w:r>
          </w:p>
        </w:tc>
        <w:tc>
          <w:tcPr>
            <w:tcW w:w="167" w:type="dxa"/>
            <w:tcBorders/>
            <w:shd w:fill="FFFFFF" w:val="clear"/>
            <w:vAlign w:val="center"/>
          </w:tcPr>
          <w:p>
            <w:pPr>
              <w:pStyle w:val="TableContents"/>
              <w:bidi w:val="0"/>
              <w:spacing w:before="0" w:after="283"/>
              <w:ind w:left="0" w:right="0" w:hanging="0"/>
              <w:jc w:val="left"/>
            </w:pPr>
            <w:r>
              <w:t> </w:t>
            </w:r>
          </w:p>
        </w:tc>
        <w:tc>
          <w:tcPr>
            <w:tcW w:w="1212" w:type="dxa"/>
            <w:tcBorders/>
            <w:shd w:fill="FFFFFF" w:val="clear"/>
            <w:vAlign w:val="center"/>
          </w:tcPr>
          <w:p>
            <w:pPr>
              <w:pStyle w:val="TableContents"/>
              <w:bidi w:val="0"/>
              <w:spacing w:before="0" w:after="283"/>
              <w:ind w:left="0" w:right="0" w:hanging="0"/>
              <w:jc w:val="right"/>
              <w:rPr>
                <w:sz w:val="20"/>
              </w:rPr>
            </w:pPr>
            <w:r>
              <w:rPr>
                <w:sz w:val="20"/>
              </w:rPr>
              <w:t>347,473</w:t>
            </w:r>
          </w:p>
        </w:tc>
        <w:tc>
          <w:tcPr>
            <w:tcW w:w="106"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c>
          <w:tcPr>
            <w:tcW w:w="167" w:type="dxa"/>
            <w:tcBorders/>
            <w:shd w:fill="FFFFFF" w:val="clear"/>
            <w:vAlign w:val="center"/>
          </w:tcPr>
          <w:p>
            <w:pPr>
              <w:pStyle w:val="TableContents"/>
              <w:bidi w:val="0"/>
              <w:spacing w:before="0" w:after="283"/>
              <w:ind w:left="0" w:right="0" w:hanging="0"/>
              <w:jc w:val="left"/>
            </w:pPr>
            <w:r>
              <w:t> </w:t>
            </w:r>
          </w:p>
        </w:tc>
        <w:tc>
          <w:tcPr>
            <w:tcW w:w="1011" w:type="dxa"/>
            <w:tcBorders/>
            <w:shd w:fill="FFFFFF" w:val="clear"/>
            <w:vAlign w:val="center"/>
          </w:tcPr>
          <w:p>
            <w:pPr>
              <w:pStyle w:val="TableContents"/>
              <w:bidi w:val="0"/>
              <w:spacing w:before="0" w:after="283"/>
              <w:ind w:left="0" w:right="0" w:hanging="0"/>
              <w:jc w:val="right"/>
              <w:rPr>
                <w:sz w:val="20"/>
              </w:rPr>
            </w:pPr>
            <w:r>
              <w:rPr>
                <w:sz w:val="20"/>
              </w:rPr>
              <w:t>45,176</w:t>
            </w:r>
          </w:p>
        </w:tc>
        <w:tc>
          <w:tcPr>
            <w:tcW w:w="83" w:type="dxa"/>
            <w:tcBorders/>
            <w:shd w:fill="FFFFFF" w:val="clear"/>
            <w:vAlign w:val="center"/>
          </w:tcPr>
          <w:p>
            <w:pPr>
              <w:pStyle w:val="TableContents"/>
              <w:bidi w:val="0"/>
              <w:spacing w:before="0" w:after="283"/>
              <w:jc w:val="left"/>
            </w:pPr>
            <w:r>
              <w:t> </w:t>
            </w:r>
          </w:p>
        </w:tc>
      </w:tr>
      <w:tr>
        <w:tc>
          <w:tcPr>
            <w:tcW w:w="7319" w:type="dxa"/>
            <w:tcBorders/>
            <w:shd w:fill="CCEE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Accrued liabilities</w:t>
            </w:r>
          </w:p>
        </w:tc>
        <w:tc>
          <w:tcPr>
            <w:tcW w:w="60" w:type="dxa"/>
            <w:tcBorders/>
            <w:shd w:fill="CCEEFF" w:val="clear"/>
            <w:vAlign w:val="center"/>
          </w:tcPr>
          <w:p>
            <w:pPr>
              <w:pStyle w:val="TableContents"/>
              <w:bidi w:val="0"/>
              <w:spacing w:before="0" w:after="283"/>
              <w:jc w:val="left"/>
            </w:pPr>
            <w:r>
              <w:t> </w:t>
            </w:r>
          </w:p>
        </w:tc>
        <w:tc>
          <w:tcPr>
            <w:tcW w:w="167" w:type="dxa"/>
            <w:tcBorders/>
            <w:shd w:fill="CCEEFF" w:val="clear"/>
            <w:vAlign w:val="center"/>
          </w:tcPr>
          <w:p>
            <w:pPr>
              <w:pStyle w:val="TableContents"/>
              <w:bidi w:val="0"/>
              <w:spacing w:before="0" w:after="283"/>
              <w:ind w:left="0" w:right="0" w:hanging="0"/>
              <w:jc w:val="left"/>
            </w:pPr>
            <w:r>
              <w:t> </w:t>
            </w:r>
          </w:p>
        </w:tc>
        <w:tc>
          <w:tcPr>
            <w:tcW w:w="1212" w:type="dxa"/>
            <w:tcBorders/>
            <w:shd w:fill="CCEEFF" w:val="clear"/>
            <w:vAlign w:val="center"/>
          </w:tcPr>
          <w:p>
            <w:pPr>
              <w:pStyle w:val="TableContents"/>
              <w:bidi w:val="0"/>
              <w:spacing w:before="0" w:after="283"/>
              <w:ind w:left="0" w:right="0" w:hanging="0"/>
              <w:jc w:val="right"/>
              <w:rPr>
                <w:sz w:val="20"/>
              </w:rPr>
            </w:pPr>
            <w:r>
              <w:rPr>
                <w:sz w:val="20"/>
              </w:rPr>
              <w:t>7,216</w:t>
            </w:r>
          </w:p>
        </w:tc>
        <w:tc>
          <w:tcPr>
            <w:tcW w:w="106"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c>
          <w:tcPr>
            <w:tcW w:w="167" w:type="dxa"/>
            <w:tcBorders/>
            <w:shd w:fill="CCEEFF" w:val="clear"/>
            <w:vAlign w:val="center"/>
          </w:tcPr>
          <w:p>
            <w:pPr>
              <w:pStyle w:val="TableContents"/>
              <w:bidi w:val="0"/>
              <w:spacing w:before="0" w:after="283"/>
              <w:ind w:left="0" w:right="0" w:hanging="0"/>
              <w:jc w:val="left"/>
            </w:pPr>
            <w:r>
              <w:t> </w:t>
            </w:r>
          </w:p>
        </w:tc>
        <w:tc>
          <w:tcPr>
            <w:tcW w:w="1011" w:type="dxa"/>
            <w:tcBorders/>
            <w:shd w:fill="CCEEFF" w:val="clear"/>
            <w:vAlign w:val="center"/>
          </w:tcPr>
          <w:p>
            <w:pPr>
              <w:pStyle w:val="TableContents"/>
              <w:bidi w:val="0"/>
              <w:spacing w:before="0" w:after="283"/>
              <w:ind w:left="0" w:right="0" w:hanging="0"/>
              <w:jc w:val="right"/>
              <w:rPr>
                <w:sz w:val="20"/>
              </w:rPr>
            </w:pPr>
            <w:r>
              <w:rPr>
                <w:sz w:val="20"/>
              </w:rPr>
              <w:t>15,667</w:t>
            </w:r>
          </w:p>
        </w:tc>
        <w:tc>
          <w:tcPr>
            <w:tcW w:w="83" w:type="dxa"/>
            <w:tcBorders/>
            <w:shd w:fill="CCEEFF" w:val="clear"/>
            <w:vAlign w:val="center"/>
          </w:tcPr>
          <w:p>
            <w:pPr>
              <w:pStyle w:val="TableContents"/>
              <w:bidi w:val="0"/>
              <w:spacing w:before="0" w:after="283"/>
              <w:jc w:val="left"/>
            </w:pPr>
            <w:r>
              <w:t> </w:t>
            </w:r>
          </w:p>
        </w:tc>
      </w:tr>
      <w:tr>
        <w:tc>
          <w:tcPr>
            <w:tcW w:w="7319" w:type="dxa"/>
            <w:tcBorders/>
            <w:shd w:fill="FFFF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Lease liability</w:t>
            </w:r>
          </w:p>
        </w:tc>
        <w:tc>
          <w:tcPr>
            <w:tcW w:w="60" w:type="dxa"/>
            <w:tcBorders/>
            <w:shd w:fill="FFFFFF" w:val="clear"/>
            <w:vAlign w:val="center"/>
          </w:tcPr>
          <w:p>
            <w:pPr>
              <w:pStyle w:val="TableContents"/>
              <w:bidi w:val="0"/>
              <w:spacing w:before="0" w:after="283"/>
              <w:jc w:val="left"/>
            </w:pPr>
            <w: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21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23,862</w:t>
            </w:r>
          </w:p>
        </w:tc>
        <w:tc>
          <w:tcPr>
            <w:tcW w:w="106"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01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31,992</w:t>
            </w:r>
          </w:p>
        </w:tc>
        <w:tc>
          <w:tcPr>
            <w:tcW w:w="83" w:type="dxa"/>
            <w:tcBorders/>
            <w:shd w:fill="FFFFFF" w:val="clear"/>
            <w:vAlign w:val="center"/>
          </w:tcPr>
          <w:p>
            <w:pPr>
              <w:pStyle w:val="TableContents"/>
              <w:bidi w:val="0"/>
              <w:spacing w:before="0" w:after="283"/>
              <w:jc w:val="left"/>
            </w:pPr>
            <w:r>
              <w:t> </w:t>
            </w:r>
          </w:p>
        </w:tc>
      </w:tr>
      <w:tr>
        <w:tc>
          <w:tcPr>
            <w:tcW w:w="7319"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Net cash used in operating activities</w:t>
            </w:r>
          </w:p>
        </w:tc>
        <w:tc>
          <w:tcPr>
            <w:tcW w:w="60" w:type="dxa"/>
            <w:tcBorders/>
            <w:shd w:fill="CCEEFF" w:val="clear"/>
            <w:vAlign w:val="center"/>
          </w:tcPr>
          <w:p>
            <w:pPr>
              <w:pStyle w:val="TableContents"/>
              <w:bidi w:val="0"/>
              <w:spacing w:before="0" w:after="283"/>
              <w:jc w:val="left"/>
            </w:pPr>
            <w: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21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(76,653</w:t>
            </w:r>
          </w:p>
        </w:tc>
        <w:tc>
          <w:tcPr>
            <w:tcW w:w="106" w:type="dxa"/>
            <w:tcBorders/>
            <w:shd w:fill="CCEEFF" w:val="clear"/>
            <w:vAlign w:val="center"/>
          </w:tcPr>
          <w:p>
            <w:pPr>
              <w:pStyle w:val="TableContents"/>
              <w:bidi w:val="0"/>
              <w:spacing w:before="0" w:after="283"/>
              <w:jc w:val="left"/>
              <w:rPr>
                <w:sz w:val="20"/>
              </w:rPr>
            </w:pPr>
            <w:r>
              <w:rPr>
                <w:sz w:val="20"/>
              </w:rPr>
              <w:t>)</w:t>
            </w:r>
          </w:p>
        </w:tc>
        <w:tc>
          <w:tcPr>
            <w:tcW w:w="80" w:type="dxa"/>
            <w:tcBorders/>
            <w:shd w:fill="CCEEFF" w:val="clear"/>
            <w:vAlign w:val="center"/>
          </w:tcPr>
          <w:p>
            <w:pPr>
              <w:pStyle w:val="TableContents"/>
              <w:bidi w:val="0"/>
              <w:spacing w:before="0" w:after="283"/>
              <w:jc w:val="left"/>
            </w:pPr>
            <w: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01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(144,851</w:t>
            </w:r>
          </w:p>
        </w:tc>
        <w:tc>
          <w:tcPr>
            <w:tcW w:w="83" w:type="dxa"/>
            <w:tcBorders/>
            <w:shd w:fill="CCEEFF" w:val="clear"/>
            <w:vAlign w:val="center"/>
          </w:tcPr>
          <w:p>
            <w:pPr>
              <w:pStyle w:val="TableContents"/>
              <w:bidi w:val="0"/>
              <w:spacing w:before="0" w:after="283"/>
              <w:jc w:val="left"/>
              <w:rPr>
                <w:sz w:val="20"/>
              </w:rPr>
            </w:pPr>
            <w:r>
              <w:rPr>
                <w:sz w:val="20"/>
              </w:rPr>
              <w:t>)</w:t>
            </w:r>
          </w:p>
        </w:tc>
      </w:tr>
      <w:tr>
        <w:tc>
          <w:tcPr>
            <w:tcW w:w="7319" w:type="dxa"/>
            <w:tcBorders/>
            <w:shd w:fill="FFFF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Investing activities:</w:t>
            </w:r>
          </w:p>
        </w:tc>
        <w:tc>
          <w:tcPr>
            <w:tcW w:w="60" w:type="dxa"/>
            <w:tcBorders/>
            <w:shd w:fill="FFFFFF" w:val="clear"/>
            <w:vAlign w:val="center"/>
          </w:tcPr>
          <w:p>
            <w:pPr>
              <w:pStyle w:val="TableContents"/>
              <w:bidi w:val="0"/>
              <w:spacing w:before="0" w:after="283"/>
              <w:jc w:val="left"/>
            </w:pPr>
            <w:r>
              <w:t> </w:t>
            </w:r>
          </w:p>
        </w:tc>
        <w:tc>
          <w:tcPr>
            <w:tcW w:w="167" w:type="dxa"/>
            <w:tcBorders/>
            <w:shd w:fill="FFFFFF" w:val="clear"/>
            <w:vAlign w:val="center"/>
          </w:tcPr>
          <w:p>
            <w:pPr>
              <w:pStyle w:val="TableContents"/>
              <w:bidi w:val="0"/>
              <w:spacing w:before="0" w:after="283"/>
              <w:jc w:val="left"/>
            </w:pPr>
            <w:r>
              <w:t> </w:t>
            </w:r>
          </w:p>
        </w:tc>
        <w:tc>
          <w:tcPr>
            <w:tcW w:w="1212" w:type="dxa"/>
            <w:tcBorders/>
            <w:shd w:fill="FFFFFF" w:val="clear"/>
            <w:vAlign w:val="center"/>
          </w:tcPr>
          <w:p>
            <w:pPr>
              <w:pStyle w:val="TableContents"/>
              <w:bidi w:val="0"/>
              <w:spacing w:before="0" w:after="283"/>
              <w:jc w:val="left"/>
            </w:pPr>
            <w:r>
              <w:t> </w:t>
            </w:r>
          </w:p>
        </w:tc>
        <w:tc>
          <w:tcPr>
            <w:tcW w:w="106"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c>
          <w:tcPr>
            <w:tcW w:w="167" w:type="dxa"/>
            <w:tcBorders/>
            <w:shd w:fill="FFFFFF" w:val="clear"/>
            <w:vAlign w:val="center"/>
          </w:tcPr>
          <w:p>
            <w:pPr>
              <w:pStyle w:val="TableContents"/>
              <w:bidi w:val="0"/>
              <w:spacing w:before="0" w:after="283"/>
              <w:jc w:val="left"/>
            </w:pPr>
            <w:r>
              <w:t> </w:t>
            </w:r>
          </w:p>
        </w:tc>
        <w:tc>
          <w:tcPr>
            <w:tcW w:w="1011" w:type="dxa"/>
            <w:tcBorders/>
            <w:shd w:fill="FFFFFF" w:val="clear"/>
            <w:vAlign w:val="center"/>
          </w:tcPr>
          <w:p>
            <w:pPr>
              <w:pStyle w:val="TableContents"/>
              <w:bidi w:val="0"/>
              <w:spacing w:before="0" w:after="283"/>
              <w:jc w:val="left"/>
            </w:pPr>
            <w:r>
              <w:t> </w:t>
            </w:r>
          </w:p>
        </w:tc>
        <w:tc>
          <w:tcPr>
            <w:tcW w:w="83" w:type="dxa"/>
            <w:tcBorders/>
            <w:shd w:fill="FFFFFF" w:val="clear"/>
            <w:vAlign w:val="center"/>
          </w:tcPr>
          <w:p>
            <w:pPr>
              <w:pStyle w:val="TableContents"/>
              <w:bidi w:val="0"/>
              <w:spacing w:before="0" w:after="283"/>
              <w:jc w:val="left"/>
            </w:pPr>
            <w:r>
              <w:t> </w:t>
            </w:r>
          </w:p>
        </w:tc>
      </w:tr>
      <w:tr>
        <w:tc>
          <w:tcPr>
            <w:tcW w:w="7319" w:type="dxa"/>
            <w:tcBorders/>
            <w:shd w:fill="CCEE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Purchase of property, plant and equipment</w:t>
            </w:r>
          </w:p>
        </w:tc>
        <w:tc>
          <w:tcPr>
            <w:tcW w:w="60" w:type="dxa"/>
            <w:tcBorders/>
            <w:shd w:fill="CCEEFF" w:val="clear"/>
            <w:vAlign w:val="center"/>
          </w:tcPr>
          <w:p>
            <w:pPr>
              <w:pStyle w:val="TableContents"/>
              <w:bidi w:val="0"/>
              <w:spacing w:before="0" w:after="283"/>
              <w:jc w:val="left"/>
            </w:pPr>
            <w:r>
              <w:t> </w:t>
            </w:r>
          </w:p>
        </w:tc>
        <w:tc>
          <w:tcPr>
            <w:tcW w:w="167" w:type="dxa"/>
            <w:tcBorders/>
            <w:shd w:fill="CCEEFF" w:val="clear"/>
            <w:vAlign w:val="center"/>
          </w:tcPr>
          <w:p>
            <w:pPr>
              <w:pStyle w:val="TableContents"/>
              <w:bidi w:val="0"/>
              <w:spacing w:before="0" w:after="283"/>
              <w:ind w:left="0" w:right="0" w:hanging="0"/>
              <w:jc w:val="left"/>
            </w:pPr>
            <w:r>
              <w:t> </w:t>
            </w:r>
          </w:p>
        </w:tc>
        <w:tc>
          <w:tcPr>
            <w:tcW w:w="1212" w:type="dxa"/>
            <w:tcBorders/>
            <w:shd w:fill="CCEEFF" w:val="clear"/>
            <w:vAlign w:val="center"/>
          </w:tcPr>
          <w:p>
            <w:pPr>
              <w:pStyle w:val="TableContents"/>
              <w:bidi w:val="0"/>
              <w:spacing w:before="0" w:after="283"/>
              <w:ind w:left="0" w:right="0" w:hanging="0"/>
              <w:jc w:val="right"/>
              <w:rPr>
                <w:sz w:val="20"/>
              </w:rPr>
            </w:pPr>
            <w:r>
              <w:rPr>
                <w:sz w:val="20"/>
              </w:rPr>
              <w:t>(702,149</w:t>
            </w:r>
          </w:p>
        </w:tc>
        <w:tc>
          <w:tcPr>
            <w:tcW w:w="106" w:type="dxa"/>
            <w:tcBorders/>
            <w:shd w:fill="CCEEFF" w:val="clear"/>
            <w:vAlign w:val="center"/>
          </w:tcPr>
          <w:p>
            <w:pPr>
              <w:pStyle w:val="TableContents"/>
              <w:bidi w:val="0"/>
              <w:spacing w:before="0" w:after="283"/>
              <w:jc w:val="left"/>
              <w:rPr>
                <w:sz w:val="20"/>
              </w:rPr>
            </w:pPr>
            <w:r>
              <w:rPr>
                <w:sz w:val="20"/>
              </w:rPr>
              <w:t>)</w:t>
            </w:r>
          </w:p>
        </w:tc>
        <w:tc>
          <w:tcPr>
            <w:tcW w:w="80" w:type="dxa"/>
            <w:tcBorders/>
            <w:shd w:fill="CCEEFF" w:val="clear"/>
            <w:vAlign w:val="center"/>
          </w:tcPr>
          <w:p>
            <w:pPr>
              <w:pStyle w:val="TableContents"/>
              <w:bidi w:val="0"/>
              <w:spacing w:before="0" w:after="283"/>
              <w:jc w:val="left"/>
            </w:pPr>
            <w:r>
              <w:t> </w:t>
            </w:r>
          </w:p>
        </w:tc>
        <w:tc>
          <w:tcPr>
            <w:tcW w:w="167" w:type="dxa"/>
            <w:tcBorders/>
            <w:shd w:fill="CCEEFF" w:val="clear"/>
            <w:vAlign w:val="center"/>
          </w:tcPr>
          <w:p>
            <w:pPr>
              <w:pStyle w:val="TableContents"/>
              <w:bidi w:val="0"/>
              <w:spacing w:before="0" w:after="283"/>
              <w:ind w:left="0" w:right="0" w:hanging="0"/>
              <w:jc w:val="left"/>
            </w:pPr>
            <w:r>
              <w:t> </w:t>
            </w:r>
          </w:p>
        </w:tc>
        <w:tc>
          <w:tcPr>
            <w:tcW w:w="1011" w:type="dxa"/>
            <w:tcBorders/>
            <w:shd w:fill="CCEEFF" w:val="clear"/>
            <w:vAlign w:val="center"/>
          </w:tcPr>
          <w:p>
            <w:pPr>
              <w:pStyle w:val="TableContents"/>
              <w:bidi w:val="0"/>
              <w:spacing w:before="0" w:after="283"/>
              <w:ind w:left="0" w:right="0" w:hanging="0"/>
              <w:jc w:val="right"/>
              <w:rPr>
                <w:sz w:val="20"/>
              </w:rPr>
            </w:pPr>
            <w:r>
              <w:rPr>
                <w:sz w:val="20"/>
              </w:rPr>
              <w:t>(104,113</w:t>
            </w:r>
          </w:p>
        </w:tc>
        <w:tc>
          <w:tcPr>
            <w:tcW w:w="83" w:type="dxa"/>
            <w:tcBorders/>
            <w:shd w:fill="CCEEFF" w:val="clear"/>
            <w:vAlign w:val="center"/>
          </w:tcPr>
          <w:p>
            <w:pPr>
              <w:pStyle w:val="TableContents"/>
              <w:bidi w:val="0"/>
              <w:spacing w:before="0" w:after="283"/>
              <w:jc w:val="left"/>
              <w:rPr>
                <w:sz w:val="20"/>
              </w:rPr>
            </w:pPr>
            <w:r>
              <w:rPr>
                <w:sz w:val="20"/>
              </w:rPr>
              <w:t>)</w:t>
            </w:r>
          </w:p>
        </w:tc>
      </w:tr>
      <w:tr>
        <w:tc>
          <w:tcPr>
            <w:tcW w:w="7319" w:type="dxa"/>
            <w:tcBorders/>
            <w:shd w:fill="FFFF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Proceeds from disposal of equipment</w:t>
            </w:r>
          </w:p>
        </w:tc>
        <w:tc>
          <w:tcPr>
            <w:tcW w:w="60" w:type="dxa"/>
            <w:tcBorders/>
            <w:shd w:fill="FFFFFF" w:val="clear"/>
            <w:vAlign w:val="center"/>
          </w:tcPr>
          <w:p>
            <w:pPr>
              <w:pStyle w:val="TableContents"/>
              <w:bidi w:val="0"/>
              <w:spacing w:before="0" w:after="283"/>
              <w:jc w:val="left"/>
            </w:pPr>
            <w:r>
              <w:t> </w:t>
            </w:r>
          </w:p>
        </w:tc>
        <w:tc>
          <w:tcPr>
            <w:tcW w:w="167" w:type="dxa"/>
            <w:tcBorders/>
            <w:shd w:fill="FFFFFF" w:val="clear"/>
            <w:vAlign w:val="center"/>
          </w:tcPr>
          <w:p>
            <w:pPr>
              <w:pStyle w:val="TableContents"/>
              <w:bidi w:val="0"/>
              <w:spacing w:before="0" w:after="283"/>
              <w:ind w:left="0" w:right="0" w:hanging="0"/>
              <w:jc w:val="left"/>
            </w:pPr>
            <w:r>
              <w:t> </w:t>
            </w:r>
          </w:p>
        </w:tc>
        <w:tc>
          <w:tcPr>
            <w:tcW w:w="1212" w:type="dxa"/>
            <w:tcBorders/>
            <w:shd w:fill="FFFFFF" w:val="clear"/>
            <w:vAlign w:val="center"/>
          </w:tcPr>
          <w:p>
            <w:pPr>
              <w:pStyle w:val="TableContents"/>
              <w:bidi w:val="0"/>
              <w:spacing w:before="0" w:after="283"/>
              <w:ind w:left="0" w:right="0" w:hanging="0"/>
              <w:jc w:val="right"/>
              <w:rPr>
                <w:sz w:val="20"/>
              </w:rPr>
            </w:pPr>
            <w:r>
              <w:rPr>
                <w:sz w:val="20"/>
              </w:rPr>
              <w:t>3</w:t>
            </w:r>
          </w:p>
        </w:tc>
        <w:tc>
          <w:tcPr>
            <w:tcW w:w="106"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c>
          <w:tcPr>
            <w:tcW w:w="167" w:type="dxa"/>
            <w:tcBorders/>
            <w:shd w:fill="FFFFFF" w:val="clear"/>
            <w:vAlign w:val="center"/>
          </w:tcPr>
          <w:p>
            <w:pPr>
              <w:pStyle w:val="TableContents"/>
              <w:bidi w:val="0"/>
              <w:spacing w:before="0" w:after="283"/>
              <w:ind w:left="0" w:right="0" w:hanging="0"/>
              <w:jc w:val="left"/>
            </w:pPr>
            <w:r>
              <w:t> </w:t>
            </w:r>
          </w:p>
        </w:tc>
        <w:tc>
          <w:tcPr>
            <w:tcW w:w="1011" w:type="dxa"/>
            <w:tcBorders/>
            <w:shd w:fill="FFFFFF" w:val="clear"/>
            <w:vAlign w:val="center"/>
          </w:tcPr>
          <w:p>
            <w:pPr>
              <w:pStyle w:val="TableContents"/>
              <w:bidi w:val="0"/>
              <w:spacing w:before="0" w:after="283"/>
              <w:ind w:left="0" w:right="0" w:hanging="0"/>
              <w:jc w:val="right"/>
            </w:pPr>
            <w:r>
              <w:t>—</w:t>
            </w:r>
          </w:p>
        </w:tc>
        <w:tc>
          <w:tcPr>
            <w:tcW w:w="83" w:type="dxa"/>
            <w:tcBorders/>
            <w:shd w:fill="FFFFFF" w:val="clear"/>
            <w:vAlign w:val="center"/>
          </w:tcPr>
          <w:p>
            <w:pPr>
              <w:pStyle w:val="TableContents"/>
              <w:bidi w:val="0"/>
              <w:spacing w:before="0" w:after="283"/>
              <w:jc w:val="left"/>
            </w:pPr>
            <w:r>
              <w:t> </w:t>
            </w:r>
          </w:p>
        </w:tc>
      </w:tr>
      <w:tr>
        <w:tc>
          <w:tcPr>
            <w:tcW w:w="7319" w:type="dxa"/>
            <w:tcBorders/>
            <w:shd w:fill="CCEE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Prepayment for equipment and others</w:t>
            </w:r>
          </w:p>
        </w:tc>
        <w:tc>
          <w:tcPr>
            <w:tcW w:w="60" w:type="dxa"/>
            <w:tcBorders/>
            <w:shd w:fill="CCEEFF" w:val="clear"/>
            <w:vAlign w:val="center"/>
          </w:tcPr>
          <w:p>
            <w:pPr>
              <w:pStyle w:val="TableContents"/>
              <w:bidi w:val="0"/>
              <w:spacing w:before="0" w:after="283"/>
              <w:jc w:val="left"/>
            </w:pPr>
            <w:r>
              <w:t> </w:t>
            </w:r>
          </w:p>
        </w:tc>
        <w:tc>
          <w:tcPr>
            <w:tcW w:w="167" w:type="dxa"/>
            <w:tcBorders/>
            <w:shd w:fill="CCEEFF" w:val="clear"/>
            <w:vAlign w:val="center"/>
          </w:tcPr>
          <w:p>
            <w:pPr>
              <w:pStyle w:val="TableContents"/>
              <w:bidi w:val="0"/>
              <w:spacing w:before="0" w:after="283"/>
              <w:jc w:val="left"/>
            </w:pPr>
            <w:r>
              <w:t> </w:t>
            </w:r>
          </w:p>
        </w:tc>
        <w:tc>
          <w:tcPr>
            <w:tcW w:w="1212" w:type="dxa"/>
            <w:tcBorders/>
            <w:shd w:fill="CCEEFF" w:val="clear"/>
            <w:vAlign w:val="center"/>
          </w:tcPr>
          <w:p>
            <w:pPr>
              <w:pStyle w:val="TableContents"/>
              <w:bidi w:val="0"/>
              <w:spacing w:before="0" w:after="283"/>
              <w:jc w:val="right"/>
              <w:rPr>
                <w:sz w:val="20"/>
              </w:rPr>
            </w:pPr>
            <w:r>
              <w:rPr>
                <w:sz w:val="20"/>
              </w:rPr>
              <w:t>(406,943</w:t>
            </w:r>
          </w:p>
        </w:tc>
        <w:tc>
          <w:tcPr>
            <w:tcW w:w="106" w:type="dxa"/>
            <w:tcBorders/>
            <w:shd w:fill="CCEEFF" w:val="clear"/>
            <w:vAlign w:val="center"/>
          </w:tcPr>
          <w:p>
            <w:pPr>
              <w:pStyle w:val="TableContents"/>
              <w:bidi w:val="0"/>
              <w:spacing w:before="0" w:after="283"/>
              <w:jc w:val="left"/>
              <w:rPr>
                <w:sz w:val="20"/>
              </w:rPr>
            </w:pPr>
            <w:r>
              <w:rPr>
                <w:sz w:val="20"/>
              </w:rPr>
              <w:t>)</w:t>
            </w:r>
          </w:p>
        </w:tc>
        <w:tc>
          <w:tcPr>
            <w:tcW w:w="80" w:type="dxa"/>
            <w:tcBorders/>
            <w:shd w:fill="CCEEFF" w:val="clear"/>
            <w:vAlign w:val="center"/>
          </w:tcPr>
          <w:p>
            <w:pPr>
              <w:pStyle w:val="TableContents"/>
              <w:bidi w:val="0"/>
              <w:spacing w:before="0" w:after="283"/>
              <w:jc w:val="left"/>
            </w:pPr>
            <w:r>
              <w:t> </w:t>
            </w:r>
          </w:p>
        </w:tc>
        <w:tc>
          <w:tcPr>
            <w:tcW w:w="167" w:type="dxa"/>
            <w:tcBorders/>
            <w:shd w:fill="CCEEFF" w:val="clear"/>
            <w:vAlign w:val="center"/>
          </w:tcPr>
          <w:p>
            <w:pPr>
              <w:pStyle w:val="TableContents"/>
              <w:bidi w:val="0"/>
              <w:spacing w:before="0" w:after="283"/>
              <w:jc w:val="left"/>
            </w:pPr>
            <w:r>
              <w:t> </w:t>
            </w:r>
          </w:p>
        </w:tc>
        <w:tc>
          <w:tcPr>
            <w:tcW w:w="1011" w:type="dxa"/>
            <w:tcBorders/>
            <w:shd w:fill="CCEEFF" w:val="clear"/>
            <w:vAlign w:val="center"/>
          </w:tcPr>
          <w:p>
            <w:pPr>
              <w:pStyle w:val="TableContents"/>
              <w:bidi w:val="0"/>
              <w:spacing w:before="0" w:after="283"/>
              <w:jc w:val="right"/>
              <w:rPr>
                <w:sz w:val="20"/>
              </w:rPr>
            </w:pPr>
            <w:r>
              <w:rPr>
                <w:sz w:val="20"/>
              </w:rPr>
              <w:t>(21,289</w:t>
            </w:r>
          </w:p>
        </w:tc>
        <w:tc>
          <w:tcPr>
            <w:tcW w:w="83" w:type="dxa"/>
            <w:tcBorders/>
            <w:shd w:fill="CCEEFF" w:val="clear"/>
            <w:vAlign w:val="center"/>
          </w:tcPr>
          <w:p>
            <w:pPr>
              <w:pStyle w:val="TableContents"/>
              <w:bidi w:val="0"/>
              <w:spacing w:before="0" w:after="283"/>
              <w:jc w:val="left"/>
              <w:rPr>
                <w:sz w:val="20"/>
              </w:rPr>
            </w:pPr>
            <w:r>
              <w:rPr>
                <w:sz w:val="20"/>
              </w:rPr>
              <w:t>)</w:t>
            </w:r>
          </w:p>
        </w:tc>
      </w:tr>
      <w:tr>
        <w:tc>
          <w:tcPr>
            <w:tcW w:w="7319" w:type="dxa"/>
            <w:tcBorders/>
            <w:shd w:fill="FFFF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Purchase of intangible assets</w:t>
            </w:r>
          </w:p>
        </w:tc>
        <w:tc>
          <w:tcPr>
            <w:tcW w:w="60" w:type="dxa"/>
            <w:tcBorders/>
            <w:shd w:fill="FFFFFF" w:val="clear"/>
            <w:vAlign w:val="center"/>
          </w:tcPr>
          <w:p>
            <w:pPr>
              <w:pStyle w:val="TableContents"/>
              <w:bidi w:val="0"/>
              <w:spacing w:before="0" w:after="283"/>
              <w:jc w:val="left"/>
            </w:pPr>
            <w: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21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(444</w:t>
            </w:r>
          </w:p>
        </w:tc>
        <w:tc>
          <w:tcPr>
            <w:tcW w:w="106" w:type="dxa"/>
            <w:tcBorders/>
            <w:shd w:fill="FFFFFF" w:val="clear"/>
            <w:vAlign w:val="center"/>
          </w:tcPr>
          <w:p>
            <w:pPr>
              <w:pStyle w:val="TableContents"/>
              <w:bidi w:val="0"/>
              <w:spacing w:before="0" w:after="283"/>
              <w:jc w:val="left"/>
              <w:rPr>
                <w:sz w:val="20"/>
              </w:rPr>
            </w:pPr>
            <w:r>
              <w:rPr>
                <w:sz w:val="20"/>
              </w:rPr>
              <w:t>)</w:t>
            </w:r>
          </w:p>
        </w:tc>
        <w:tc>
          <w:tcPr>
            <w:tcW w:w="80" w:type="dxa"/>
            <w:tcBorders/>
            <w:shd w:fill="FFFFFF" w:val="clear"/>
            <w:vAlign w:val="center"/>
          </w:tcPr>
          <w:p>
            <w:pPr>
              <w:pStyle w:val="TableContents"/>
              <w:bidi w:val="0"/>
              <w:spacing w:before="0" w:after="283"/>
              <w:jc w:val="left"/>
            </w:pPr>
            <w: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01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(270</w:t>
            </w:r>
          </w:p>
        </w:tc>
        <w:tc>
          <w:tcPr>
            <w:tcW w:w="83" w:type="dxa"/>
            <w:tcBorders/>
            <w:shd w:fill="FFFFFF" w:val="clear"/>
            <w:vAlign w:val="center"/>
          </w:tcPr>
          <w:p>
            <w:pPr>
              <w:pStyle w:val="TableContents"/>
              <w:bidi w:val="0"/>
              <w:spacing w:before="0" w:after="283"/>
              <w:jc w:val="left"/>
              <w:rPr>
                <w:sz w:val="20"/>
              </w:rPr>
            </w:pPr>
            <w:r>
              <w:rPr>
                <w:sz w:val="20"/>
              </w:rPr>
              <w:t>)</w:t>
            </w:r>
          </w:p>
        </w:tc>
      </w:tr>
      <w:tr>
        <w:tc>
          <w:tcPr>
            <w:tcW w:w="7319"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Net cash used in investing activities</w:t>
            </w:r>
          </w:p>
        </w:tc>
        <w:tc>
          <w:tcPr>
            <w:tcW w:w="60" w:type="dxa"/>
            <w:tcBorders/>
            <w:shd w:fill="CCEEFF" w:val="clear"/>
            <w:vAlign w:val="center"/>
          </w:tcPr>
          <w:p>
            <w:pPr>
              <w:pStyle w:val="TableContents"/>
              <w:bidi w:val="0"/>
              <w:spacing w:before="0" w:after="283"/>
              <w:jc w:val="left"/>
            </w:pPr>
            <w: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21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(1,109,533</w:t>
            </w:r>
          </w:p>
        </w:tc>
        <w:tc>
          <w:tcPr>
            <w:tcW w:w="106" w:type="dxa"/>
            <w:tcBorders/>
            <w:shd w:fill="CCEEFF" w:val="clear"/>
            <w:vAlign w:val="center"/>
          </w:tcPr>
          <w:p>
            <w:pPr>
              <w:pStyle w:val="TableContents"/>
              <w:bidi w:val="0"/>
              <w:spacing w:before="0" w:after="283"/>
              <w:jc w:val="left"/>
              <w:rPr>
                <w:sz w:val="20"/>
              </w:rPr>
            </w:pPr>
            <w:r>
              <w:rPr>
                <w:sz w:val="20"/>
              </w:rPr>
              <w:t>)</w:t>
            </w:r>
          </w:p>
        </w:tc>
        <w:tc>
          <w:tcPr>
            <w:tcW w:w="80" w:type="dxa"/>
            <w:tcBorders/>
            <w:shd w:fill="CCEEFF" w:val="clear"/>
            <w:vAlign w:val="center"/>
          </w:tcPr>
          <w:p>
            <w:pPr>
              <w:pStyle w:val="TableContents"/>
              <w:bidi w:val="0"/>
              <w:spacing w:before="0" w:after="283"/>
              <w:jc w:val="left"/>
            </w:pPr>
            <w: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01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(125,672</w:t>
            </w:r>
          </w:p>
        </w:tc>
        <w:tc>
          <w:tcPr>
            <w:tcW w:w="83" w:type="dxa"/>
            <w:tcBorders/>
            <w:shd w:fill="CCEEFF" w:val="clear"/>
            <w:vAlign w:val="center"/>
          </w:tcPr>
          <w:p>
            <w:pPr>
              <w:pStyle w:val="TableContents"/>
              <w:bidi w:val="0"/>
              <w:spacing w:before="0" w:after="283"/>
              <w:jc w:val="left"/>
              <w:rPr>
                <w:sz w:val="20"/>
              </w:rPr>
            </w:pPr>
            <w:r>
              <w:rPr>
                <w:sz w:val="20"/>
              </w:rPr>
              <w:t>)</w:t>
            </w:r>
          </w:p>
        </w:tc>
      </w:tr>
      <w:tr>
        <w:tc>
          <w:tcPr>
            <w:tcW w:w="7319"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Financing activities:</w:t>
            </w:r>
          </w:p>
        </w:tc>
        <w:tc>
          <w:tcPr>
            <w:tcW w:w="60" w:type="dxa"/>
            <w:tcBorders/>
            <w:shd w:fill="FFFFFF" w:val="clear"/>
            <w:vAlign w:val="center"/>
          </w:tcPr>
          <w:p>
            <w:pPr>
              <w:pStyle w:val="TableContents"/>
              <w:bidi w:val="0"/>
              <w:spacing w:before="0" w:after="283"/>
              <w:jc w:val="left"/>
            </w:pPr>
            <w:r>
              <w:t> </w:t>
            </w:r>
          </w:p>
        </w:tc>
        <w:tc>
          <w:tcPr>
            <w:tcW w:w="167" w:type="dxa"/>
            <w:tcBorders/>
            <w:shd w:fill="FFFFFF" w:val="clear"/>
            <w:vAlign w:val="center"/>
          </w:tcPr>
          <w:p>
            <w:pPr>
              <w:pStyle w:val="TableContents"/>
              <w:bidi w:val="0"/>
              <w:spacing w:before="0" w:after="283"/>
              <w:jc w:val="left"/>
            </w:pPr>
            <w:r>
              <w:t> </w:t>
            </w:r>
          </w:p>
        </w:tc>
        <w:tc>
          <w:tcPr>
            <w:tcW w:w="1212" w:type="dxa"/>
            <w:tcBorders/>
            <w:shd w:fill="FFFFFF" w:val="clear"/>
            <w:vAlign w:val="center"/>
          </w:tcPr>
          <w:p>
            <w:pPr>
              <w:pStyle w:val="TableContents"/>
              <w:bidi w:val="0"/>
              <w:spacing w:before="0" w:after="283"/>
              <w:jc w:val="left"/>
            </w:pPr>
            <w:r>
              <w:t> </w:t>
            </w:r>
          </w:p>
        </w:tc>
        <w:tc>
          <w:tcPr>
            <w:tcW w:w="106"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c>
          <w:tcPr>
            <w:tcW w:w="167" w:type="dxa"/>
            <w:tcBorders/>
            <w:shd w:fill="FFFFFF" w:val="clear"/>
            <w:vAlign w:val="center"/>
          </w:tcPr>
          <w:p>
            <w:pPr>
              <w:pStyle w:val="TableContents"/>
              <w:bidi w:val="0"/>
              <w:spacing w:before="0" w:after="283"/>
              <w:jc w:val="left"/>
            </w:pPr>
            <w:r>
              <w:t> </w:t>
            </w:r>
          </w:p>
        </w:tc>
        <w:tc>
          <w:tcPr>
            <w:tcW w:w="1011" w:type="dxa"/>
            <w:tcBorders/>
            <w:shd w:fill="FFFFFF" w:val="clear"/>
            <w:vAlign w:val="center"/>
          </w:tcPr>
          <w:p>
            <w:pPr>
              <w:pStyle w:val="TableContents"/>
              <w:bidi w:val="0"/>
              <w:spacing w:before="0" w:after="283"/>
              <w:jc w:val="left"/>
            </w:pPr>
            <w:r>
              <w:t> </w:t>
            </w:r>
          </w:p>
        </w:tc>
        <w:tc>
          <w:tcPr>
            <w:tcW w:w="83" w:type="dxa"/>
            <w:tcBorders/>
            <w:shd w:fill="FFFFFF" w:val="clear"/>
            <w:vAlign w:val="center"/>
          </w:tcPr>
          <w:p>
            <w:pPr>
              <w:pStyle w:val="TableContents"/>
              <w:bidi w:val="0"/>
              <w:spacing w:before="0" w:after="283"/>
              <w:jc w:val="left"/>
            </w:pPr>
            <w:r>
              <w:t> </w:t>
            </w:r>
          </w:p>
        </w:tc>
      </w:tr>
      <w:tr>
        <w:tc>
          <w:tcPr>
            <w:tcW w:w="7319" w:type="dxa"/>
            <w:tcBorders/>
            <w:shd w:fill="CCEE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Proceeds from issuance of notes payable and long-term debt</w:t>
            </w:r>
          </w:p>
        </w:tc>
        <w:tc>
          <w:tcPr>
            <w:tcW w:w="60" w:type="dxa"/>
            <w:tcBorders/>
            <w:shd w:fill="CCEEFF" w:val="clear"/>
            <w:vAlign w:val="center"/>
          </w:tcPr>
          <w:p>
            <w:pPr>
              <w:pStyle w:val="TableContents"/>
              <w:bidi w:val="0"/>
              <w:spacing w:before="0" w:after="283"/>
              <w:jc w:val="left"/>
            </w:pPr>
            <w:r>
              <w:t> </w:t>
            </w:r>
          </w:p>
        </w:tc>
        <w:tc>
          <w:tcPr>
            <w:tcW w:w="167" w:type="dxa"/>
            <w:tcBorders/>
            <w:shd w:fill="CCEEFF" w:val="clear"/>
            <w:vAlign w:val="center"/>
          </w:tcPr>
          <w:p>
            <w:pPr>
              <w:pStyle w:val="TableContents"/>
              <w:bidi w:val="0"/>
              <w:spacing w:before="0" w:after="283"/>
              <w:jc w:val="left"/>
            </w:pPr>
            <w:r>
              <w:t> </w:t>
            </w:r>
          </w:p>
        </w:tc>
        <w:tc>
          <w:tcPr>
            <w:tcW w:w="1212" w:type="dxa"/>
            <w:tcBorders/>
            <w:shd w:fill="CCEEFF" w:val="clear"/>
            <w:vAlign w:val="center"/>
          </w:tcPr>
          <w:p>
            <w:pPr>
              <w:pStyle w:val="TableContents"/>
              <w:bidi w:val="0"/>
              <w:spacing w:before="0" w:after="283"/>
              <w:jc w:val="right"/>
              <w:rPr>
                <w:sz w:val="20"/>
              </w:rPr>
            </w:pPr>
            <w:r>
              <w:rPr>
                <w:sz w:val="20"/>
              </w:rPr>
              <w:t>40,380</w:t>
            </w:r>
          </w:p>
        </w:tc>
        <w:tc>
          <w:tcPr>
            <w:tcW w:w="106"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c>
          <w:tcPr>
            <w:tcW w:w="167" w:type="dxa"/>
            <w:tcBorders/>
            <w:shd w:fill="CCEEFF" w:val="clear"/>
            <w:vAlign w:val="center"/>
          </w:tcPr>
          <w:p>
            <w:pPr>
              <w:pStyle w:val="TableContents"/>
              <w:bidi w:val="0"/>
              <w:spacing w:before="0" w:after="283"/>
              <w:jc w:val="left"/>
            </w:pPr>
            <w:r>
              <w:t> </w:t>
            </w:r>
          </w:p>
        </w:tc>
        <w:tc>
          <w:tcPr>
            <w:tcW w:w="1011" w:type="dxa"/>
            <w:tcBorders/>
            <w:shd w:fill="CCEEFF" w:val="clear"/>
            <w:vAlign w:val="center"/>
          </w:tcPr>
          <w:p>
            <w:pPr>
              <w:pStyle w:val="TableContents"/>
              <w:bidi w:val="0"/>
              <w:spacing w:before="0" w:after="283"/>
              <w:jc w:val="right"/>
            </w:pPr>
            <w:r>
              <w:t>—</w:t>
            </w:r>
          </w:p>
        </w:tc>
        <w:tc>
          <w:tcPr>
            <w:tcW w:w="83" w:type="dxa"/>
            <w:tcBorders/>
            <w:shd w:fill="CCEEFF" w:val="clear"/>
            <w:vAlign w:val="center"/>
          </w:tcPr>
          <w:p>
            <w:pPr>
              <w:pStyle w:val="TableContents"/>
              <w:bidi w:val="0"/>
              <w:spacing w:before="0" w:after="283"/>
              <w:jc w:val="left"/>
            </w:pPr>
            <w:r>
              <w:t> </w:t>
            </w:r>
          </w:p>
        </w:tc>
      </w:tr>
      <w:tr>
        <w:tc>
          <w:tcPr>
            <w:tcW w:w="7319" w:type="dxa"/>
            <w:tcBorders/>
            <w:shd w:fill="FFFF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Principal payment on long term debt</w:t>
            </w:r>
          </w:p>
        </w:tc>
        <w:tc>
          <w:tcPr>
            <w:tcW w:w="60" w:type="dxa"/>
            <w:tcBorders/>
            <w:shd w:fill="FFFFFF" w:val="clear"/>
            <w:vAlign w:val="center"/>
          </w:tcPr>
          <w:p>
            <w:pPr>
              <w:pStyle w:val="TableContents"/>
              <w:bidi w:val="0"/>
              <w:spacing w:before="0" w:after="283"/>
              <w:ind w:left="0" w:right="0" w:hanging="0"/>
              <w:jc w:val="left"/>
            </w:pPr>
            <w:r>
              <w:t> </w:t>
            </w:r>
          </w:p>
        </w:tc>
        <w:tc>
          <w:tcPr>
            <w:tcW w:w="167" w:type="dxa"/>
            <w:tcBorders/>
            <w:shd w:fill="FFFFFF" w:val="clear"/>
            <w:vAlign w:val="center"/>
          </w:tcPr>
          <w:p>
            <w:pPr>
              <w:pStyle w:val="TableContents"/>
              <w:bidi w:val="0"/>
              <w:spacing w:before="0" w:after="0"/>
              <w:ind w:left="0" w:right="0" w:hanging="0"/>
              <w:jc w:val="left"/>
            </w:pPr>
            <w:r>
              <w:t> </w:t>
            </w:r>
          </w:p>
        </w:tc>
        <w:tc>
          <w:tcPr>
            <w:tcW w:w="1212" w:type="dxa"/>
            <w:tcBorders/>
            <w:shd w:fill="FFFFFF" w:val="clear"/>
            <w:vAlign w:val="center"/>
          </w:tcPr>
          <w:p>
            <w:pPr>
              <w:pStyle w:val="TableContents"/>
              <w:bidi w:val="0"/>
              <w:spacing w:before="0" w:after="0"/>
              <w:jc w:val="right"/>
              <w:rPr>
                <w:sz w:val="20"/>
              </w:rPr>
            </w:pPr>
            <w:r>
              <w:rPr>
                <w:sz w:val="20"/>
              </w:rPr>
              <w:t>(326</w:t>
            </w:r>
          </w:p>
        </w:tc>
        <w:tc>
          <w:tcPr>
            <w:tcW w:w="106" w:type="dxa"/>
            <w:tcBorders/>
            <w:shd w:fill="FFFFFF" w:val="clear"/>
            <w:vAlign w:val="center"/>
          </w:tcPr>
          <w:p>
            <w:pPr>
              <w:pStyle w:val="TableContents"/>
              <w:bidi w:val="0"/>
              <w:spacing w:before="0" w:after="283"/>
              <w:jc w:val="left"/>
              <w:rPr>
                <w:sz w:val="20"/>
              </w:rPr>
            </w:pPr>
            <w:r>
              <w:rPr>
                <w:sz w:val="20"/>
              </w:rPr>
              <w:t>)</w:t>
            </w:r>
          </w:p>
        </w:tc>
        <w:tc>
          <w:tcPr>
            <w:tcW w:w="80" w:type="dxa"/>
            <w:tcBorders/>
            <w:shd w:fill="FFFFFF" w:val="clear"/>
            <w:vAlign w:val="center"/>
          </w:tcPr>
          <w:p>
            <w:pPr>
              <w:pStyle w:val="TableContents"/>
              <w:bidi w:val="0"/>
              <w:spacing w:before="0" w:after="283"/>
              <w:ind w:left="0" w:right="0" w:hanging="0"/>
              <w:jc w:val="left"/>
            </w:pPr>
            <w:r>
              <w:t> </w:t>
            </w:r>
          </w:p>
        </w:tc>
        <w:tc>
          <w:tcPr>
            <w:tcW w:w="167" w:type="dxa"/>
            <w:tcBorders/>
            <w:shd w:fill="FFFFFF" w:val="clear"/>
            <w:vAlign w:val="center"/>
          </w:tcPr>
          <w:p>
            <w:pPr>
              <w:pStyle w:val="TableContents"/>
              <w:bidi w:val="0"/>
              <w:spacing w:before="0" w:after="0"/>
              <w:ind w:left="0" w:right="0" w:hanging="0"/>
              <w:jc w:val="left"/>
            </w:pPr>
            <w:r>
              <w:t> </w:t>
            </w:r>
          </w:p>
        </w:tc>
        <w:tc>
          <w:tcPr>
            <w:tcW w:w="1011" w:type="dxa"/>
            <w:tcBorders/>
            <w:shd w:fill="FFFFFF" w:val="clear"/>
            <w:vAlign w:val="center"/>
          </w:tcPr>
          <w:p>
            <w:pPr>
              <w:pStyle w:val="TableContents"/>
              <w:bidi w:val="0"/>
              <w:spacing w:before="0" w:after="0"/>
              <w:jc w:val="right"/>
            </w:pPr>
            <w:r>
              <w:t>—</w:t>
            </w:r>
          </w:p>
        </w:tc>
        <w:tc>
          <w:tcPr>
            <w:tcW w:w="83" w:type="dxa"/>
            <w:tcBorders/>
            <w:shd w:fill="FFFFFF" w:val="clear"/>
            <w:vAlign w:val="center"/>
          </w:tcPr>
          <w:p>
            <w:pPr>
              <w:pStyle w:val="TableContents"/>
              <w:bidi w:val="0"/>
              <w:spacing w:before="0" w:after="283"/>
              <w:jc w:val="left"/>
            </w:pPr>
            <w:r>
              <w:t> </w:t>
            </w:r>
          </w:p>
        </w:tc>
      </w:tr>
      <w:tr>
        <w:tc>
          <w:tcPr>
            <w:tcW w:w="7319" w:type="dxa"/>
            <w:tcBorders/>
            <w:shd w:fill="CCEE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Proceeds from line of credit borrowings</w:t>
            </w:r>
          </w:p>
        </w:tc>
        <w:tc>
          <w:tcPr>
            <w:tcW w:w="60" w:type="dxa"/>
            <w:tcBorders/>
            <w:shd w:fill="CCEEFF" w:val="clear"/>
            <w:vAlign w:val="center"/>
          </w:tcPr>
          <w:p>
            <w:pPr>
              <w:pStyle w:val="TableContents"/>
              <w:bidi w:val="0"/>
              <w:spacing w:before="0" w:after="283"/>
              <w:jc w:val="left"/>
            </w:pPr>
            <w:r>
              <w:t> </w:t>
            </w:r>
          </w:p>
        </w:tc>
        <w:tc>
          <w:tcPr>
            <w:tcW w:w="167" w:type="dxa"/>
            <w:tcBorders/>
            <w:shd w:fill="CCEEFF" w:val="clear"/>
            <w:vAlign w:val="center"/>
          </w:tcPr>
          <w:p>
            <w:pPr>
              <w:pStyle w:val="TableContents"/>
              <w:bidi w:val="0"/>
              <w:spacing w:before="0" w:after="283"/>
              <w:ind w:left="0" w:right="0" w:hanging="0"/>
              <w:jc w:val="left"/>
            </w:pPr>
            <w:r>
              <w:t> </w:t>
            </w:r>
          </w:p>
        </w:tc>
        <w:tc>
          <w:tcPr>
            <w:tcW w:w="1212" w:type="dxa"/>
            <w:tcBorders/>
            <w:shd w:fill="CCEEFF" w:val="clear"/>
            <w:vAlign w:val="center"/>
          </w:tcPr>
          <w:p>
            <w:pPr>
              <w:pStyle w:val="TableContents"/>
              <w:bidi w:val="0"/>
              <w:spacing w:before="0" w:after="283"/>
              <w:ind w:left="0" w:right="0" w:hanging="0"/>
              <w:jc w:val="right"/>
              <w:rPr>
                <w:sz w:val="20"/>
              </w:rPr>
            </w:pPr>
            <w:r>
              <w:rPr>
                <w:sz w:val="20"/>
              </w:rPr>
              <w:t>66,569</w:t>
            </w:r>
          </w:p>
        </w:tc>
        <w:tc>
          <w:tcPr>
            <w:tcW w:w="106"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c>
          <w:tcPr>
            <w:tcW w:w="167" w:type="dxa"/>
            <w:tcBorders/>
            <w:shd w:fill="CCEEFF" w:val="clear"/>
            <w:vAlign w:val="center"/>
          </w:tcPr>
          <w:p>
            <w:pPr>
              <w:pStyle w:val="TableContents"/>
              <w:bidi w:val="0"/>
              <w:spacing w:before="0" w:after="283"/>
              <w:ind w:left="0" w:right="0" w:hanging="0"/>
              <w:jc w:val="left"/>
            </w:pPr>
            <w:r>
              <w:t> </w:t>
            </w:r>
          </w:p>
        </w:tc>
        <w:tc>
          <w:tcPr>
            <w:tcW w:w="1011" w:type="dxa"/>
            <w:tcBorders/>
            <w:shd w:fill="CCEEFF" w:val="clear"/>
            <w:vAlign w:val="center"/>
          </w:tcPr>
          <w:p>
            <w:pPr>
              <w:pStyle w:val="TableContents"/>
              <w:bidi w:val="0"/>
              <w:spacing w:before="0" w:after="283"/>
              <w:ind w:left="0" w:right="0" w:hanging="0"/>
              <w:jc w:val="right"/>
              <w:rPr>
                <w:sz w:val="20"/>
              </w:rPr>
            </w:pPr>
            <w:r>
              <w:rPr>
                <w:sz w:val="20"/>
              </w:rPr>
              <w:t>51,325</w:t>
            </w:r>
          </w:p>
        </w:tc>
        <w:tc>
          <w:tcPr>
            <w:tcW w:w="83" w:type="dxa"/>
            <w:tcBorders/>
            <w:shd w:fill="CCEEFF" w:val="clear"/>
            <w:vAlign w:val="center"/>
          </w:tcPr>
          <w:p>
            <w:pPr>
              <w:pStyle w:val="TableContents"/>
              <w:bidi w:val="0"/>
              <w:spacing w:before="0" w:after="283"/>
              <w:jc w:val="left"/>
            </w:pPr>
            <w:r>
              <w:t> </w:t>
            </w:r>
          </w:p>
        </w:tc>
      </w:tr>
      <w:tr>
        <w:tc>
          <w:tcPr>
            <w:tcW w:w="7319" w:type="dxa"/>
            <w:tcBorders/>
            <w:shd w:fill="FFFF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Repayments of line of credit borrowings</w:t>
            </w:r>
          </w:p>
        </w:tc>
        <w:tc>
          <w:tcPr>
            <w:tcW w:w="60" w:type="dxa"/>
            <w:tcBorders/>
            <w:shd w:fill="FFFFFF" w:val="clear"/>
            <w:vAlign w:val="center"/>
          </w:tcPr>
          <w:p>
            <w:pPr>
              <w:pStyle w:val="TableContents"/>
              <w:bidi w:val="0"/>
              <w:spacing w:before="0" w:after="283"/>
              <w:jc w:val="left"/>
            </w:pPr>
            <w:r>
              <w:t> </w:t>
            </w:r>
          </w:p>
        </w:tc>
        <w:tc>
          <w:tcPr>
            <w:tcW w:w="167" w:type="dxa"/>
            <w:tcBorders/>
            <w:shd w:fill="FFFFFF" w:val="clear"/>
            <w:vAlign w:val="center"/>
          </w:tcPr>
          <w:p>
            <w:pPr>
              <w:pStyle w:val="TableContents"/>
              <w:bidi w:val="0"/>
              <w:spacing w:before="0" w:after="283"/>
              <w:ind w:left="0" w:right="0" w:hanging="0"/>
              <w:jc w:val="left"/>
            </w:pPr>
            <w:r>
              <w:t> </w:t>
            </w:r>
          </w:p>
        </w:tc>
        <w:tc>
          <w:tcPr>
            <w:tcW w:w="1212" w:type="dxa"/>
            <w:tcBorders/>
            <w:shd w:fill="FFFFFF" w:val="clear"/>
            <w:vAlign w:val="center"/>
          </w:tcPr>
          <w:p>
            <w:pPr>
              <w:pStyle w:val="TableContents"/>
              <w:bidi w:val="0"/>
              <w:spacing w:before="0" w:after="283"/>
              <w:ind w:left="0" w:right="0" w:hanging="0"/>
              <w:jc w:val="right"/>
              <w:rPr>
                <w:sz w:val="20"/>
              </w:rPr>
            </w:pPr>
            <w:r>
              <w:rPr>
                <w:sz w:val="20"/>
              </w:rPr>
              <w:t>(46,083</w:t>
            </w:r>
          </w:p>
        </w:tc>
        <w:tc>
          <w:tcPr>
            <w:tcW w:w="106" w:type="dxa"/>
            <w:tcBorders/>
            <w:shd w:fill="FFFFFF" w:val="clear"/>
            <w:vAlign w:val="center"/>
          </w:tcPr>
          <w:p>
            <w:pPr>
              <w:pStyle w:val="TableContents"/>
              <w:bidi w:val="0"/>
              <w:spacing w:before="0" w:after="283"/>
              <w:jc w:val="left"/>
              <w:rPr>
                <w:sz w:val="20"/>
              </w:rPr>
            </w:pPr>
            <w:r>
              <w:rPr>
                <w:sz w:val="20"/>
              </w:rPr>
              <w:t>)</w:t>
            </w:r>
          </w:p>
        </w:tc>
        <w:tc>
          <w:tcPr>
            <w:tcW w:w="80" w:type="dxa"/>
            <w:tcBorders/>
            <w:shd w:fill="FFFFFF" w:val="clear"/>
            <w:vAlign w:val="center"/>
          </w:tcPr>
          <w:p>
            <w:pPr>
              <w:pStyle w:val="TableContents"/>
              <w:bidi w:val="0"/>
              <w:spacing w:before="0" w:after="283"/>
              <w:jc w:val="left"/>
            </w:pPr>
            <w:r>
              <w:t> </w:t>
            </w:r>
          </w:p>
        </w:tc>
        <w:tc>
          <w:tcPr>
            <w:tcW w:w="167" w:type="dxa"/>
            <w:tcBorders/>
            <w:shd w:fill="FFFFFF" w:val="clear"/>
            <w:vAlign w:val="center"/>
          </w:tcPr>
          <w:p>
            <w:pPr>
              <w:pStyle w:val="TableContents"/>
              <w:bidi w:val="0"/>
              <w:spacing w:before="0" w:after="283"/>
              <w:ind w:left="0" w:right="0" w:hanging="0"/>
              <w:jc w:val="left"/>
            </w:pPr>
            <w:r>
              <w:t> </w:t>
            </w:r>
          </w:p>
        </w:tc>
        <w:tc>
          <w:tcPr>
            <w:tcW w:w="1011" w:type="dxa"/>
            <w:tcBorders/>
            <w:shd w:fill="FFFFFF" w:val="clear"/>
            <w:vAlign w:val="center"/>
          </w:tcPr>
          <w:p>
            <w:pPr>
              <w:pStyle w:val="TableContents"/>
              <w:bidi w:val="0"/>
              <w:spacing w:before="0" w:after="283"/>
              <w:ind w:left="0" w:right="0" w:hanging="0"/>
              <w:jc w:val="right"/>
              <w:rPr>
                <w:sz w:val="20"/>
              </w:rPr>
            </w:pPr>
            <w:r>
              <w:rPr>
                <w:sz w:val="20"/>
              </w:rPr>
              <w:t>(50,778</w:t>
            </w:r>
          </w:p>
        </w:tc>
        <w:tc>
          <w:tcPr>
            <w:tcW w:w="83" w:type="dxa"/>
            <w:tcBorders/>
            <w:shd w:fill="FFFFFF" w:val="clear"/>
            <w:vAlign w:val="center"/>
          </w:tcPr>
          <w:p>
            <w:pPr>
              <w:pStyle w:val="TableContents"/>
              <w:bidi w:val="0"/>
              <w:spacing w:before="0" w:after="283"/>
              <w:jc w:val="left"/>
              <w:rPr>
                <w:sz w:val="20"/>
              </w:rPr>
            </w:pPr>
            <w:r>
              <w:rPr>
                <w:sz w:val="20"/>
              </w:rPr>
              <w:t>)</w:t>
            </w:r>
          </w:p>
        </w:tc>
      </w:tr>
      <w:tr>
        <w:tc>
          <w:tcPr>
            <w:tcW w:w="7319" w:type="dxa"/>
            <w:tcBorders/>
            <w:shd w:fill="CCEE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Proceeds from bank acceptance payable</w:t>
            </w:r>
          </w:p>
        </w:tc>
        <w:tc>
          <w:tcPr>
            <w:tcW w:w="60" w:type="dxa"/>
            <w:tcBorders/>
            <w:shd w:fill="CCEEFF" w:val="clear"/>
            <w:vAlign w:val="center"/>
          </w:tcPr>
          <w:p>
            <w:pPr>
              <w:pStyle w:val="TableContents"/>
              <w:bidi w:val="0"/>
              <w:spacing w:before="0" w:after="283"/>
              <w:jc w:val="left"/>
            </w:pPr>
            <w:r>
              <w:t> </w:t>
            </w:r>
          </w:p>
        </w:tc>
        <w:tc>
          <w:tcPr>
            <w:tcW w:w="167" w:type="dxa"/>
            <w:tcBorders/>
            <w:shd w:fill="CCEEFF" w:val="clear"/>
            <w:vAlign w:val="center"/>
          </w:tcPr>
          <w:p>
            <w:pPr>
              <w:pStyle w:val="TableContents"/>
              <w:bidi w:val="0"/>
              <w:spacing w:before="0" w:after="283"/>
              <w:ind w:left="0" w:right="0" w:hanging="0"/>
              <w:jc w:val="left"/>
            </w:pPr>
            <w:r>
              <w:t> </w:t>
            </w:r>
          </w:p>
        </w:tc>
        <w:tc>
          <w:tcPr>
            <w:tcW w:w="1212" w:type="dxa"/>
            <w:tcBorders/>
            <w:shd w:fill="CCEEFF" w:val="clear"/>
            <w:vAlign w:val="center"/>
          </w:tcPr>
          <w:p>
            <w:pPr>
              <w:pStyle w:val="TableContents"/>
              <w:bidi w:val="0"/>
              <w:spacing w:before="0" w:after="283"/>
              <w:ind w:left="0" w:right="0" w:hanging="0"/>
              <w:jc w:val="right"/>
              <w:rPr>
                <w:sz w:val="20"/>
              </w:rPr>
            </w:pPr>
            <w:r>
              <w:rPr>
                <w:sz w:val="20"/>
              </w:rPr>
              <w:t>119,618</w:t>
            </w:r>
          </w:p>
        </w:tc>
        <w:tc>
          <w:tcPr>
            <w:tcW w:w="106"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c>
          <w:tcPr>
            <w:tcW w:w="167" w:type="dxa"/>
            <w:tcBorders/>
            <w:shd w:fill="CCEEFF" w:val="clear"/>
            <w:vAlign w:val="center"/>
          </w:tcPr>
          <w:p>
            <w:pPr>
              <w:pStyle w:val="TableContents"/>
              <w:bidi w:val="0"/>
              <w:spacing w:before="0" w:after="283"/>
              <w:ind w:left="0" w:right="0" w:hanging="0"/>
              <w:jc w:val="left"/>
            </w:pPr>
            <w:r>
              <w:t> </w:t>
            </w:r>
          </w:p>
        </w:tc>
        <w:tc>
          <w:tcPr>
            <w:tcW w:w="1011" w:type="dxa"/>
            <w:tcBorders/>
            <w:shd w:fill="CCEEFF" w:val="clear"/>
            <w:vAlign w:val="center"/>
          </w:tcPr>
          <w:p>
            <w:pPr>
              <w:pStyle w:val="TableContents"/>
              <w:bidi w:val="0"/>
              <w:spacing w:before="0" w:after="283"/>
              <w:ind w:left="0" w:right="0" w:hanging="0"/>
              <w:jc w:val="right"/>
              <w:rPr>
                <w:sz w:val="20"/>
              </w:rPr>
            </w:pPr>
            <w:r>
              <w:rPr>
                <w:sz w:val="20"/>
              </w:rPr>
              <w:t>88,628</w:t>
            </w:r>
          </w:p>
        </w:tc>
        <w:tc>
          <w:tcPr>
            <w:tcW w:w="83" w:type="dxa"/>
            <w:tcBorders/>
            <w:shd w:fill="CCEEFF" w:val="clear"/>
            <w:vAlign w:val="center"/>
          </w:tcPr>
          <w:p>
            <w:pPr>
              <w:pStyle w:val="TableContents"/>
              <w:bidi w:val="0"/>
              <w:spacing w:before="0" w:after="283"/>
              <w:jc w:val="left"/>
            </w:pPr>
            <w:r>
              <w:t> </w:t>
            </w:r>
          </w:p>
        </w:tc>
      </w:tr>
      <w:tr>
        <w:tc>
          <w:tcPr>
            <w:tcW w:w="7319" w:type="dxa"/>
            <w:tcBorders/>
            <w:shd w:fill="FFFF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Repayments of bank acceptance payable</w:t>
            </w:r>
          </w:p>
        </w:tc>
        <w:tc>
          <w:tcPr>
            <w:tcW w:w="60" w:type="dxa"/>
            <w:tcBorders/>
            <w:shd w:fill="FFFFFF" w:val="clear"/>
            <w:vAlign w:val="center"/>
          </w:tcPr>
          <w:p>
            <w:pPr>
              <w:pStyle w:val="TableContents"/>
              <w:bidi w:val="0"/>
              <w:spacing w:before="0" w:after="283"/>
              <w:jc w:val="left"/>
            </w:pPr>
            <w:r>
              <w:t> </w:t>
            </w:r>
          </w:p>
        </w:tc>
        <w:tc>
          <w:tcPr>
            <w:tcW w:w="167" w:type="dxa"/>
            <w:tcBorders/>
            <w:shd w:fill="FFFFFF" w:val="clear"/>
            <w:vAlign w:val="center"/>
          </w:tcPr>
          <w:p>
            <w:pPr>
              <w:pStyle w:val="TableContents"/>
              <w:bidi w:val="0"/>
              <w:spacing w:before="0" w:after="283"/>
              <w:ind w:left="0" w:right="0" w:hanging="0"/>
              <w:jc w:val="left"/>
            </w:pPr>
            <w:r>
              <w:t> </w:t>
            </w:r>
          </w:p>
        </w:tc>
        <w:tc>
          <w:tcPr>
            <w:tcW w:w="1212" w:type="dxa"/>
            <w:tcBorders/>
            <w:shd w:fill="FFFFFF" w:val="clear"/>
            <w:vAlign w:val="center"/>
          </w:tcPr>
          <w:p>
            <w:pPr>
              <w:pStyle w:val="TableContents"/>
              <w:bidi w:val="0"/>
              <w:spacing w:before="0" w:after="283"/>
              <w:ind w:left="0" w:right="0" w:hanging="0"/>
              <w:jc w:val="right"/>
              <w:rPr>
                <w:sz w:val="20"/>
              </w:rPr>
            </w:pPr>
            <w:r>
              <w:rPr>
                <w:sz w:val="20"/>
              </w:rPr>
              <w:t>(103,136</w:t>
            </w:r>
          </w:p>
        </w:tc>
        <w:tc>
          <w:tcPr>
            <w:tcW w:w="106" w:type="dxa"/>
            <w:tcBorders/>
            <w:shd w:fill="FFFFFF" w:val="clear"/>
            <w:vAlign w:val="center"/>
          </w:tcPr>
          <w:p>
            <w:pPr>
              <w:pStyle w:val="TableContents"/>
              <w:bidi w:val="0"/>
              <w:spacing w:before="0" w:after="283"/>
              <w:jc w:val="left"/>
              <w:rPr>
                <w:sz w:val="20"/>
              </w:rPr>
            </w:pPr>
            <w:r>
              <w:rPr>
                <w:sz w:val="20"/>
              </w:rPr>
              <w:t>)</w:t>
            </w:r>
          </w:p>
        </w:tc>
        <w:tc>
          <w:tcPr>
            <w:tcW w:w="80" w:type="dxa"/>
            <w:tcBorders/>
            <w:shd w:fill="FFFFFF" w:val="clear"/>
            <w:vAlign w:val="center"/>
          </w:tcPr>
          <w:p>
            <w:pPr>
              <w:pStyle w:val="TableContents"/>
              <w:bidi w:val="0"/>
              <w:spacing w:before="0" w:after="283"/>
              <w:jc w:val="left"/>
            </w:pPr>
            <w:r>
              <w:t> </w:t>
            </w:r>
          </w:p>
        </w:tc>
        <w:tc>
          <w:tcPr>
            <w:tcW w:w="167" w:type="dxa"/>
            <w:tcBorders/>
            <w:shd w:fill="FFFFFF" w:val="clear"/>
            <w:vAlign w:val="center"/>
          </w:tcPr>
          <w:p>
            <w:pPr>
              <w:pStyle w:val="TableContents"/>
              <w:bidi w:val="0"/>
              <w:spacing w:before="0" w:after="283"/>
              <w:ind w:left="0" w:right="0" w:hanging="0"/>
              <w:jc w:val="left"/>
            </w:pPr>
            <w:r>
              <w:t> </w:t>
            </w:r>
          </w:p>
        </w:tc>
        <w:tc>
          <w:tcPr>
            <w:tcW w:w="1011" w:type="dxa"/>
            <w:tcBorders/>
            <w:shd w:fill="FFFFFF" w:val="clear"/>
            <w:vAlign w:val="center"/>
          </w:tcPr>
          <w:p>
            <w:pPr>
              <w:pStyle w:val="TableContents"/>
              <w:bidi w:val="0"/>
              <w:spacing w:before="0" w:after="283"/>
              <w:ind w:left="0" w:right="0" w:hanging="0"/>
              <w:jc w:val="right"/>
              <w:rPr>
                <w:sz w:val="20"/>
              </w:rPr>
            </w:pPr>
            <w:r>
              <w:rPr>
                <w:sz w:val="20"/>
              </w:rPr>
              <w:t>(74,226</w:t>
            </w:r>
          </w:p>
        </w:tc>
        <w:tc>
          <w:tcPr>
            <w:tcW w:w="83" w:type="dxa"/>
            <w:tcBorders/>
            <w:shd w:fill="FFFFFF" w:val="clear"/>
            <w:vAlign w:val="center"/>
          </w:tcPr>
          <w:p>
            <w:pPr>
              <w:pStyle w:val="TableContents"/>
              <w:bidi w:val="0"/>
              <w:spacing w:before="0" w:after="283"/>
              <w:jc w:val="left"/>
              <w:rPr>
                <w:sz w:val="20"/>
              </w:rPr>
            </w:pPr>
            <w:r>
              <w:rPr>
                <w:sz w:val="20"/>
              </w:rPr>
              <w:t>)</w:t>
            </w:r>
          </w:p>
        </w:tc>
      </w:tr>
      <w:tr>
        <w:tc>
          <w:tcPr>
            <w:tcW w:w="7319" w:type="dxa"/>
            <w:tcBorders/>
            <w:shd w:fill="CCEE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Repayment of convertible notes payable</w:t>
            </w:r>
          </w:p>
        </w:tc>
        <w:tc>
          <w:tcPr>
            <w:tcW w:w="60" w:type="dxa"/>
            <w:tcBorders/>
            <w:shd w:fill="CCEEFF" w:val="clear"/>
            <w:vAlign w:val="center"/>
          </w:tcPr>
          <w:p>
            <w:pPr>
              <w:pStyle w:val="TableContents"/>
              <w:bidi w:val="0"/>
              <w:spacing w:before="0" w:after="283"/>
              <w:jc w:val="left"/>
            </w:pPr>
            <w:r>
              <w:t> </w:t>
            </w:r>
          </w:p>
        </w:tc>
        <w:tc>
          <w:tcPr>
            <w:tcW w:w="167" w:type="dxa"/>
            <w:tcBorders/>
            <w:shd w:fill="CCEEFF" w:val="clear"/>
            <w:vAlign w:val="center"/>
          </w:tcPr>
          <w:p>
            <w:pPr>
              <w:pStyle w:val="TableContents"/>
              <w:bidi w:val="0"/>
              <w:spacing w:before="0" w:after="283"/>
              <w:ind w:left="0" w:right="0" w:hanging="0"/>
              <w:jc w:val="left"/>
            </w:pPr>
            <w:r>
              <w:t> </w:t>
            </w:r>
          </w:p>
        </w:tc>
        <w:tc>
          <w:tcPr>
            <w:tcW w:w="1212" w:type="dxa"/>
            <w:tcBorders/>
            <w:shd w:fill="CCEEFF" w:val="clear"/>
            <w:vAlign w:val="center"/>
          </w:tcPr>
          <w:p>
            <w:pPr>
              <w:pStyle w:val="TableContents"/>
              <w:bidi w:val="0"/>
              <w:spacing w:before="0" w:after="283"/>
              <w:ind w:left="0" w:right="0" w:hanging="0"/>
              <w:jc w:val="right"/>
              <w:rPr>
                <w:sz w:val="20"/>
              </w:rPr>
            </w:pPr>
            <w:r>
              <w:rPr>
                <w:sz w:val="20"/>
              </w:rPr>
              <w:t>(80</w:t>
            </w:r>
          </w:p>
        </w:tc>
        <w:tc>
          <w:tcPr>
            <w:tcW w:w="106" w:type="dxa"/>
            <w:tcBorders/>
            <w:shd w:fill="CCEEFF" w:val="clear"/>
            <w:vAlign w:val="center"/>
          </w:tcPr>
          <w:p>
            <w:pPr>
              <w:pStyle w:val="TableContents"/>
              <w:bidi w:val="0"/>
              <w:spacing w:before="0" w:after="283"/>
              <w:jc w:val="left"/>
              <w:rPr>
                <w:sz w:val="20"/>
              </w:rPr>
            </w:pPr>
            <w:r>
              <w:rPr>
                <w:sz w:val="20"/>
              </w:rPr>
              <w:t>)</w:t>
            </w:r>
          </w:p>
        </w:tc>
        <w:tc>
          <w:tcPr>
            <w:tcW w:w="80" w:type="dxa"/>
            <w:tcBorders/>
            <w:shd w:fill="CCEEFF" w:val="clear"/>
            <w:vAlign w:val="center"/>
          </w:tcPr>
          <w:p>
            <w:pPr>
              <w:pStyle w:val="TableContents"/>
              <w:bidi w:val="0"/>
              <w:spacing w:before="0" w:after="283"/>
              <w:jc w:val="left"/>
            </w:pPr>
            <w:r>
              <w:t> </w:t>
            </w:r>
          </w:p>
        </w:tc>
        <w:tc>
          <w:tcPr>
            <w:tcW w:w="167" w:type="dxa"/>
            <w:tcBorders/>
            <w:shd w:fill="CCEEFF" w:val="clear"/>
            <w:vAlign w:val="center"/>
          </w:tcPr>
          <w:p>
            <w:pPr>
              <w:pStyle w:val="TableContents"/>
              <w:bidi w:val="0"/>
              <w:spacing w:before="0" w:after="283"/>
              <w:ind w:left="0" w:right="0" w:hanging="0"/>
              <w:jc w:val="left"/>
            </w:pPr>
            <w:r>
              <w:t> </w:t>
            </w:r>
          </w:p>
        </w:tc>
        <w:tc>
          <w:tcPr>
            <w:tcW w:w="1011" w:type="dxa"/>
            <w:tcBorders/>
            <w:shd w:fill="CCEEFF" w:val="clear"/>
            <w:vAlign w:val="center"/>
          </w:tcPr>
          <w:p>
            <w:pPr>
              <w:pStyle w:val="TableContents"/>
              <w:bidi w:val="0"/>
              <w:spacing w:before="0" w:after="283"/>
              <w:ind w:left="0" w:right="0" w:hanging="0"/>
              <w:jc w:val="right"/>
              <w:rPr>
                <w:sz w:val="20"/>
              </w:rPr>
            </w:pPr>
            <w:r>
              <w:rPr>
                <w:sz w:val="20"/>
              </w:rPr>
              <w:t>(81</w:t>
            </w:r>
          </w:p>
        </w:tc>
        <w:tc>
          <w:tcPr>
            <w:tcW w:w="83" w:type="dxa"/>
            <w:tcBorders/>
            <w:shd w:fill="CCEEFF" w:val="clear"/>
            <w:vAlign w:val="center"/>
          </w:tcPr>
          <w:p>
            <w:pPr>
              <w:pStyle w:val="TableContents"/>
              <w:bidi w:val="0"/>
              <w:spacing w:before="0" w:after="283"/>
              <w:jc w:val="left"/>
              <w:rPr>
                <w:sz w:val="20"/>
              </w:rPr>
            </w:pPr>
            <w:r>
              <w:rPr>
                <w:sz w:val="20"/>
              </w:rPr>
              <w:t>)</w:t>
            </w:r>
          </w:p>
        </w:tc>
      </w:tr>
      <w:tr>
        <w:tc>
          <w:tcPr>
            <w:tcW w:w="7319" w:type="dxa"/>
            <w:tcBorders/>
            <w:shd w:fill="FFFF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Payments of tax withholding on behalf of employees related to share-based compensation</w:t>
            </w:r>
          </w:p>
        </w:tc>
        <w:tc>
          <w:tcPr>
            <w:tcW w:w="60" w:type="dxa"/>
            <w:tcBorders/>
            <w:shd w:fill="FFFFFF" w:val="clear"/>
            <w:vAlign w:val="center"/>
          </w:tcPr>
          <w:p>
            <w:pPr>
              <w:pStyle w:val="TableContents"/>
              <w:bidi w:val="0"/>
              <w:spacing w:before="0" w:after="283"/>
              <w:jc w:val="left"/>
            </w:pPr>
            <w:r>
              <w:t> </w:t>
            </w:r>
          </w:p>
        </w:tc>
        <w:tc>
          <w:tcPr>
            <w:tcW w:w="167" w:type="dxa"/>
            <w:tcBorders/>
            <w:shd w:fill="FFFFFF" w:val="clear"/>
            <w:vAlign w:val="center"/>
          </w:tcPr>
          <w:p>
            <w:pPr>
              <w:pStyle w:val="TableContents"/>
              <w:bidi w:val="0"/>
              <w:spacing w:before="0" w:after="283"/>
              <w:ind w:left="0" w:right="0" w:hanging="0"/>
              <w:jc w:val="left"/>
            </w:pPr>
            <w:r>
              <w:t> </w:t>
            </w:r>
          </w:p>
        </w:tc>
        <w:tc>
          <w:tcPr>
            <w:tcW w:w="1212" w:type="dxa"/>
            <w:tcBorders/>
            <w:shd w:fill="FFFFFF" w:val="clear"/>
            <w:vAlign w:val="center"/>
          </w:tcPr>
          <w:p>
            <w:pPr>
              <w:pStyle w:val="TableContents"/>
              <w:bidi w:val="0"/>
              <w:spacing w:before="0" w:after="283"/>
              <w:ind w:left="0" w:right="0" w:hanging="0"/>
              <w:jc w:val="right"/>
              <w:rPr>
                <w:sz w:val="20"/>
              </w:rPr>
            </w:pPr>
            <w:r>
              <w:rPr>
                <w:sz w:val="20"/>
              </w:rPr>
              <w:t>(76,024</w:t>
            </w:r>
          </w:p>
        </w:tc>
        <w:tc>
          <w:tcPr>
            <w:tcW w:w="106" w:type="dxa"/>
            <w:tcBorders/>
            <w:shd w:fill="FFFFFF" w:val="clear"/>
            <w:vAlign w:val="center"/>
          </w:tcPr>
          <w:p>
            <w:pPr>
              <w:pStyle w:val="TableContents"/>
              <w:bidi w:val="0"/>
              <w:spacing w:before="0" w:after="283"/>
              <w:jc w:val="left"/>
              <w:rPr>
                <w:sz w:val="20"/>
              </w:rPr>
            </w:pPr>
            <w:r>
              <w:rPr>
                <w:sz w:val="20"/>
              </w:rPr>
              <w:t>)</w:t>
            </w:r>
          </w:p>
        </w:tc>
        <w:tc>
          <w:tcPr>
            <w:tcW w:w="80" w:type="dxa"/>
            <w:tcBorders/>
            <w:shd w:fill="FFFFFF" w:val="clear"/>
            <w:vAlign w:val="center"/>
          </w:tcPr>
          <w:p>
            <w:pPr>
              <w:pStyle w:val="TableContents"/>
              <w:bidi w:val="0"/>
              <w:spacing w:before="0" w:after="283"/>
              <w:jc w:val="left"/>
            </w:pPr>
            <w:r>
              <w:t> </w:t>
            </w:r>
          </w:p>
        </w:tc>
        <w:tc>
          <w:tcPr>
            <w:tcW w:w="167" w:type="dxa"/>
            <w:tcBorders/>
            <w:shd w:fill="FFFFFF" w:val="clear"/>
            <w:vAlign w:val="center"/>
          </w:tcPr>
          <w:p>
            <w:pPr>
              <w:pStyle w:val="TableContents"/>
              <w:bidi w:val="0"/>
              <w:spacing w:before="0" w:after="283"/>
              <w:ind w:left="0" w:right="0" w:hanging="0"/>
              <w:jc w:val="left"/>
            </w:pPr>
            <w:r>
              <w:t> </w:t>
            </w:r>
          </w:p>
        </w:tc>
        <w:tc>
          <w:tcPr>
            <w:tcW w:w="1011" w:type="dxa"/>
            <w:tcBorders/>
            <w:shd w:fill="FFFFFF" w:val="clear"/>
            <w:vAlign w:val="center"/>
          </w:tcPr>
          <w:p>
            <w:pPr>
              <w:pStyle w:val="TableContents"/>
              <w:bidi w:val="0"/>
              <w:spacing w:before="0" w:after="283"/>
              <w:ind w:left="0" w:right="0" w:hanging="0"/>
              <w:jc w:val="right"/>
              <w:rPr>
                <w:sz w:val="20"/>
              </w:rPr>
            </w:pPr>
            <w:r>
              <w:rPr>
                <w:sz w:val="20"/>
              </w:rPr>
              <w:t>(9,181</w:t>
            </w:r>
          </w:p>
        </w:tc>
        <w:tc>
          <w:tcPr>
            <w:tcW w:w="83" w:type="dxa"/>
            <w:tcBorders/>
            <w:shd w:fill="FFFFFF" w:val="clear"/>
            <w:vAlign w:val="center"/>
          </w:tcPr>
          <w:p>
            <w:pPr>
              <w:pStyle w:val="TableContents"/>
              <w:bidi w:val="0"/>
              <w:spacing w:before="0" w:after="283"/>
              <w:jc w:val="left"/>
              <w:rPr>
                <w:sz w:val="20"/>
              </w:rPr>
            </w:pPr>
            <w:r>
              <w:rPr>
                <w:sz w:val="20"/>
              </w:rPr>
              <w:t>)</w:t>
            </w:r>
          </w:p>
        </w:tc>
      </w:tr>
      <w:tr>
        <w:tc>
          <w:tcPr>
            <w:tcW w:w="7319" w:type="dxa"/>
            <w:tcBorders/>
            <w:shd w:fill="CCEE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Changes in ADPI</w:t>
            </w:r>
          </w:p>
        </w:tc>
        <w:tc>
          <w:tcPr>
            <w:tcW w:w="60" w:type="dxa"/>
            <w:tcBorders/>
            <w:shd w:fill="CCEEFF" w:val="clear"/>
            <w:vAlign w:val="center"/>
          </w:tcPr>
          <w:p>
            <w:pPr>
              <w:pStyle w:val="TableContents"/>
              <w:bidi w:val="0"/>
              <w:spacing w:before="0" w:after="283"/>
              <w:jc w:val="left"/>
            </w:pPr>
            <w:r>
              <w:t> </w:t>
            </w:r>
          </w:p>
        </w:tc>
        <w:tc>
          <w:tcPr>
            <w:tcW w:w="167" w:type="dxa"/>
            <w:tcBorders/>
            <w:shd w:fill="CCEEFF" w:val="clear"/>
            <w:vAlign w:val="center"/>
          </w:tcPr>
          <w:p>
            <w:pPr>
              <w:pStyle w:val="TableContents"/>
              <w:bidi w:val="0"/>
              <w:spacing w:before="0" w:after="283"/>
              <w:jc w:val="left"/>
            </w:pPr>
            <w:r>
              <w:t> </w:t>
            </w:r>
          </w:p>
        </w:tc>
        <w:tc>
          <w:tcPr>
            <w:tcW w:w="1212" w:type="dxa"/>
            <w:tcBorders/>
            <w:shd w:fill="CCEEFF" w:val="clear"/>
            <w:vAlign w:val="center"/>
          </w:tcPr>
          <w:p>
            <w:pPr>
              <w:pStyle w:val="TableContents"/>
              <w:bidi w:val="0"/>
              <w:spacing w:before="0" w:after="283"/>
              <w:jc w:val="right"/>
              <w:rPr>
                <w:sz w:val="20"/>
              </w:rPr>
            </w:pPr>
            <w:r>
              <w:rPr>
                <w:sz w:val="20"/>
              </w:rPr>
              <w:t>80</w:t>
            </w:r>
          </w:p>
        </w:tc>
        <w:tc>
          <w:tcPr>
            <w:tcW w:w="106"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c>
          <w:tcPr>
            <w:tcW w:w="167" w:type="dxa"/>
            <w:tcBorders/>
            <w:shd w:fill="CCEEFF" w:val="clear"/>
            <w:vAlign w:val="center"/>
          </w:tcPr>
          <w:p>
            <w:pPr>
              <w:pStyle w:val="TableContents"/>
              <w:bidi w:val="0"/>
              <w:spacing w:before="0" w:after="283"/>
              <w:jc w:val="left"/>
            </w:pPr>
            <w:r>
              <w:t> </w:t>
            </w:r>
          </w:p>
        </w:tc>
        <w:tc>
          <w:tcPr>
            <w:tcW w:w="1011" w:type="dxa"/>
            <w:tcBorders/>
            <w:shd w:fill="CCEEFF" w:val="clear"/>
            <w:vAlign w:val="center"/>
          </w:tcPr>
          <w:p>
            <w:pPr>
              <w:pStyle w:val="TableContents"/>
              <w:bidi w:val="0"/>
              <w:spacing w:before="0" w:after="283"/>
              <w:jc w:val="right"/>
              <w:rPr>
                <w:sz w:val="20"/>
              </w:rPr>
            </w:pPr>
            <w:r>
              <w:rPr>
                <w:sz w:val="20"/>
              </w:rPr>
              <w:t>0</w:t>
            </w:r>
          </w:p>
        </w:tc>
        <w:tc>
          <w:tcPr>
            <w:tcW w:w="83" w:type="dxa"/>
            <w:tcBorders/>
            <w:shd w:fill="CCEEFF" w:val="clear"/>
            <w:vAlign w:val="center"/>
          </w:tcPr>
          <w:p>
            <w:pPr>
              <w:pStyle w:val="TableContents"/>
              <w:bidi w:val="0"/>
              <w:spacing w:before="0" w:after="283"/>
              <w:jc w:val="left"/>
            </w:pPr>
            <w:r>
              <w:t> </w:t>
            </w:r>
          </w:p>
        </w:tc>
      </w:tr>
      <w:tr>
        <w:tc>
          <w:tcPr>
            <w:tcW w:w="7319" w:type="dxa"/>
            <w:tcBorders/>
            <w:shd w:fill="FFFF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Proceeds from common stock offering, net</w:t>
            </w:r>
          </w:p>
        </w:tc>
        <w:tc>
          <w:tcPr>
            <w:tcW w:w="60" w:type="dxa"/>
            <w:tcBorders/>
            <w:shd w:fill="FFFFFF" w:val="clear"/>
            <w:vAlign w:val="center"/>
          </w:tcPr>
          <w:p>
            <w:pPr>
              <w:pStyle w:val="TableContents"/>
              <w:bidi w:val="0"/>
              <w:spacing w:before="0" w:after="283"/>
              <w:jc w:val="left"/>
            </w:pPr>
            <w: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21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1,590,647</w:t>
            </w:r>
          </w:p>
        </w:tc>
        <w:tc>
          <w:tcPr>
            <w:tcW w:w="106"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01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342,561</w:t>
            </w:r>
          </w:p>
        </w:tc>
        <w:tc>
          <w:tcPr>
            <w:tcW w:w="83" w:type="dxa"/>
            <w:tcBorders/>
            <w:shd w:fill="FFFFFF" w:val="clear"/>
            <w:vAlign w:val="center"/>
          </w:tcPr>
          <w:p>
            <w:pPr>
              <w:pStyle w:val="TableContents"/>
              <w:bidi w:val="0"/>
              <w:spacing w:before="0" w:after="283"/>
              <w:jc w:val="left"/>
            </w:pPr>
            <w:r>
              <w:t> </w:t>
            </w:r>
          </w:p>
        </w:tc>
      </w:tr>
      <w:tr>
        <w:tc>
          <w:tcPr>
            <w:tcW w:w="7319"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Net cash provided by financing activities</w:t>
            </w:r>
          </w:p>
        </w:tc>
        <w:tc>
          <w:tcPr>
            <w:tcW w:w="60" w:type="dxa"/>
            <w:tcBorders/>
            <w:shd w:fill="CCEEFF" w:val="clear"/>
            <w:vAlign w:val="center"/>
          </w:tcPr>
          <w:p>
            <w:pPr>
              <w:pStyle w:val="TableContents"/>
              <w:bidi w:val="0"/>
              <w:spacing w:before="0" w:after="283"/>
              <w:jc w:val="left"/>
            </w:pPr>
            <w:r>
              <w:t> </w:t>
            </w:r>
          </w:p>
        </w:tc>
        <w:tc>
          <w:tcPr>
            <w:tcW w:w="167" w:type="dxa"/>
            <w:tcBorders/>
            <w:shd w:fill="CCEEFF" w:val="clear"/>
            <w:vAlign w:val="center"/>
          </w:tcPr>
          <w:p>
            <w:pPr>
              <w:pStyle w:val="TableContents"/>
              <w:bidi w:val="0"/>
              <w:spacing w:before="0" w:after="283"/>
              <w:ind w:left="0" w:right="0" w:hanging="0"/>
              <w:jc w:val="left"/>
            </w:pPr>
            <w:r>
              <w:t> </w:t>
            </w:r>
          </w:p>
        </w:tc>
        <w:tc>
          <w:tcPr>
            <w:tcW w:w="1212" w:type="dxa"/>
            <w:tcBorders/>
            <w:shd w:fill="CCEEFF" w:val="clear"/>
            <w:vAlign w:val="center"/>
          </w:tcPr>
          <w:p>
            <w:pPr>
              <w:pStyle w:val="TableContents"/>
              <w:bidi w:val="0"/>
              <w:spacing w:before="0" w:after="283"/>
              <w:ind w:left="0" w:right="0" w:hanging="0"/>
              <w:jc w:val="right"/>
              <w:rPr>
                <w:sz w:val="20"/>
              </w:rPr>
            </w:pPr>
            <w:r>
              <w:rPr>
                <w:sz w:val="20"/>
              </w:rPr>
              <w:t>1,591,645</w:t>
            </w:r>
          </w:p>
        </w:tc>
        <w:tc>
          <w:tcPr>
            <w:tcW w:w="106"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c>
          <w:tcPr>
            <w:tcW w:w="167" w:type="dxa"/>
            <w:tcBorders/>
            <w:shd w:fill="CCEEFF" w:val="clear"/>
            <w:vAlign w:val="center"/>
          </w:tcPr>
          <w:p>
            <w:pPr>
              <w:pStyle w:val="TableContents"/>
              <w:bidi w:val="0"/>
              <w:spacing w:before="0" w:after="283"/>
              <w:ind w:left="0" w:right="0" w:hanging="0"/>
              <w:jc w:val="left"/>
            </w:pPr>
            <w:r>
              <w:t> </w:t>
            </w:r>
          </w:p>
        </w:tc>
        <w:tc>
          <w:tcPr>
            <w:tcW w:w="1011" w:type="dxa"/>
            <w:tcBorders/>
            <w:shd w:fill="CCEEFF" w:val="clear"/>
            <w:vAlign w:val="center"/>
          </w:tcPr>
          <w:p>
            <w:pPr>
              <w:pStyle w:val="TableContents"/>
              <w:bidi w:val="0"/>
              <w:spacing w:before="0" w:after="283"/>
              <w:ind w:left="0" w:right="0" w:hanging="0"/>
              <w:jc w:val="right"/>
              <w:rPr>
                <w:sz w:val="20"/>
              </w:rPr>
            </w:pPr>
            <w:r>
              <w:rPr>
                <w:sz w:val="20"/>
              </w:rPr>
              <w:t>348,248</w:t>
            </w:r>
          </w:p>
        </w:tc>
        <w:tc>
          <w:tcPr>
            <w:tcW w:w="83" w:type="dxa"/>
            <w:tcBorders/>
            <w:shd w:fill="CCEEFF" w:val="clear"/>
            <w:vAlign w:val="center"/>
          </w:tcPr>
          <w:p>
            <w:pPr>
              <w:pStyle w:val="TableContents"/>
              <w:bidi w:val="0"/>
              <w:spacing w:before="0" w:after="283"/>
              <w:jc w:val="left"/>
            </w:pPr>
            <w:r>
              <w:t> </w:t>
            </w:r>
          </w:p>
        </w:tc>
      </w:tr>
      <w:tr>
        <w:tc>
          <w:tcPr>
            <w:tcW w:w="7319" w:type="dxa"/>
            <w:tcBorders/>
            <w:shd w:fill="FFFF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Effect of exchange rate changes on cash</w:t>
            </w:r>
          </w:p>
        </w:tc>
        <w:tc>
          <w:tcPr>
            <w:tcW w:w="60" w:type="dxa"/>
            <w:tcBorders/>
            <w:shd w:fill="FFFFFF" w:val="clear"/>
            <w:vAlign w:val="center"/>
          </w:tcPr>
          <w:p>
            <w:pPr>
              <w:pStyle w:val="TableContents"/>
              <w:bidi w:val="0"/>
              <w:spacing w:before="0" w:after="283"/>
              <w:jc w:val="left"/>
            </w:pPr>
            <w: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21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(37</w:t>
            </w:r>
          </w:p>
        </w:tc>
        <w:tc>
          <w:tcPr>
            <w:tcW w:w="106" w:type="dxa"/>
            <w:tcBorders/>
            <w:shd w:fill="FFFFFF" w:val="clear"/>
            <w:vAlign w:val="center"/>
          </w:tcPr>
          <w:p>
            <w:pPr>
              <w:pStyle w:val="TableContents"/>
              <w:bidi w:val="0"/>
              <w:spacing w:before="0" w:after="283"/>
              <w:jc w:val="left"/>
              <w:rPr>
                <w:sz w:val="20"/>
              </w:rPr>
            </w:pPr>
            <w:r>
              <w:rPr>
                <w:sz w:val="20"/>
              </w:rPr>
              <w:t>)</w:t>
            </w:r>
          </w:p>
        </w:tc>
        <w:tc>
          <w:tcPr>
            <w:tcW w:w="80" w:type="dxa"/>
            <w:tcBorders/>
            <w:shd w:fill="FFFFFF" w:val="clear"/>
            <w:vAlign w:val="center"/>
          </w:tcPr>
          <w:p>
            <w:pPr>
              <w:pStyle w:val="TableContents"/>
              <w:bidi w:val="0"/>
              <w:spacing w:before="0" w:after="283"/>
              <w:jc w:val="left"/>
            </w:pPr>
            <w: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01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(6,141</w:t>
            </w:r>
          </w:p>
        </w:tc>
        <w:tc>
          <w:tcPr>
            <w:tcW w:w="83" w:type="dxa"/>
            <w:tcBorders/>
            <w:shd w:fill="FFFFFF" w:val="clear"/>
            <w:vAlign w:val="center"/>
          </w:tcPr>
          <w:p>
            <w:pPr>
              <w:pStyle w:val="TableContents"/>
              <w:bidi w:val="0"/>
              <w:spacing w:before="0" w:after="283"/>
              <w:jc w:val="left"/>
              <w:rPr>
                <w:sz w:val="20"/>
              </w:rPr>
            </w:pPr>
            <w:r>
              <w:rPr>
                <w:sz w:val="20"/>
              </w:rPr>
              <w:t>)</w:t>
            </w:r>
          </w:p>
        </w:tc>
      </w:tr>
      <w:tr>
        <w:tc>
          <w:tcPr>
            <w:tcW w:w="7319"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Net increase in cash, cash equivalents and restricted cash</w:t>
            </w:r>
          </w:p>
        </w:tc>
        <w:tc>
          <w:tcPr>
            <w:tcW w:w="60" w:type="dxa"/>
            <w:tcBorders/>
            <w:shd w:fill="CCEEFF" w:val="clear"/>
            <w:vAlign w:val="center"/>
          </w:tcPr>
          <w:p>
            <w:pPr>
              <w:pStyle w:val="TableContents"/>
              <w:bidi w:val="0"/>
              <w:spacing w:before="0" w:after="283"/>
              <w:jc w:val="left"/>
            </w:pPr>
            <w:r>
              <w:t> </w:t>
            </w:r>
          </w:p>
        </w:tc>
        <w:tc>
          <w:tcPr>
            <w:tcW w:w="167" w:type="dxa"/>
            <w:tcBorders/>
            <w:shd w:fill="CCEEFF" w:val="clear"/>
            <w:vAlign w:val="center"/>
          </w:tcPr>
          <w:p>
            <w:pPr>
              <w:pStyle w:val="TableContents"/>
              <w:bidi w:val="0"/>
              <w:spacing w:before="0" w:after="283"/>
              <w:ind w:left="0" w:right="0" w:hanging="0"/>
              <w:jc w:val="left"/>
            </w:pPr>
            <w:r>
              <w:t> </w:t>
            </w:r>
          </w:p>
        </w:tc>
        <w:tc>
          <w:tcPr>
            <w:tcW w:w="1212" w:type="dxa"/>
            <w:tcBorders/>
            <w:shd w:fill="CCEEFF" w:val="clear"/>
            <w:vAlign w:val="center"/>
          </w:tcPr>
          <w:p>
            <w:pPr>
              <w:pStyle w:val="TableContents"/>
              <w:bidi w:val="0"/>
              <w:spacing w:before="0" w:after="283"/>
              <w:ind w:left="0" w:right="0" w:hanging="0"/>
              <w:jc w:val="right"/>
              <w:rPr>
                <w:sz w:val="20"/>
              </w:rPr>
            </w:pPr>
            <w:r>
              <w:rPr>
                <w:sz w:val="20"/>
              </w:rPr>
              <w:t>405,422</w:t>
            </w:r>
          </w:p>
        </w:tc>
        <w:tc>
          <w:tcPr>
            <w:tcW w:w="106"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c>
          <w:tcPr>
            <w:tcW w:w="167" w:type="dxa"/>
            <w:tcBorders/>
            <w:shd w:fill="CCEEFF" w:val="clear"/>
            <w:vAlign w:val="center"/>
          </w:tcPr>
          <w:p>
            <w:pPr>
              <w:pStyle w:val="TableContents"/>
              <w:bidi w:val="0"/>
              <w:spacing w:before="0" w:after="283"/>
              <w:ind w:left="0" w:right="0" w:hanging="0"/>
              <w:jc w:val="left"/>
            </w:pPr>
            <w:r>
              <w:t> </w:t>
            </w:r>
          </w:p>
        </w:tc>
        <w:tc>
          <w:tcPr>
            <w:tcW w:w="1011" w:type="dxa"/>
            <w:tcBorders/>
            <w:shd w:fill="CCEEFF" w:val="clear"/>
            <w:vAlign w:val="center"/>
          </w:tcPr>
          <w:p>
            <w:pPr>
              <w:pStyle w:val="TableContents"/>
              <w:bidi w:val="0"/>
              <w:spacing w:before="0" w:after="283"/>
              <w:ind w:left="0" w:right="0" w:hanging="0"/>
              <w:jc w:val="right"/>
              <w:rPr>
                <w:sz w:val="20"/>
              </w:rPr>
            </w:pPr>
            <w:r>
              <w:rPr>
                <w:sz w:val="20"/>
              </w:rPr>
              <w:t>71,584</w:t>
            </w:r>
          </w:p>
        </w:tc>
        <w:tc>
          <w:tcPr>
            <w:tcW w:w="83" w:type="dxa"/>
            <w:tcBorders/>
            <w:shd w:fill="CCEEFF" w:val="clear"/>
            <w:vAlign w:val="center"/>
          </w:tcPr>
          <w:p>
            <w:pPr>
              <w:pStyle w:val="TableContents"/>
              <w:bidi w:val="0"/>
              <w:spacing w:before="0" w:after="283"/>
              <w:jc w:val="left"/>
            </w:pPr>
            <w:r>
              <w:t> </w:t>
            </w:r>
          </w:p>
        </w:tc>
      </w:tr>
      <w:tr>
        <w:tc>
          <w:tcPr>
            <w:tcW w:w="7319" w:type="dxa"/>
            <w:tcBorders/>
            <w:shd w:fill="FFFF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Cash, cash equivalents and restricted cash at beginning of period</w:t>
            </w:r>
          </w:p>
        </w:tc>
        <w:tc>
          <w:tcPr>
            <w:tcW w:w="60" w:type="dxa"/>
            <w:tcBorders/>
            <w:shd w:fill="FFFFFF" w:val="clear"/>
            <w:vAlign w:val="center"/>
          </w:tcPr>
          <w:p>
            <w:pPr>
              <w:pStyle w:val="TableContents"/>
              <w:bidi w:val="0"/>
              <w:spacing w:before="0" w:after="283"/>
              <w:jc w:val="left"/>
            </w:pPr>
            <w: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21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216,035</w:t>
            </w:r>
          </w:p>
        </w:tc>
        <w:tc>
          <w:tcPr>
            <w:tcW w:w="106"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01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79,133</w:t>
            </w:r>
          </w:p>
        </w:tc>
        <w:tc>
          <w:tcPr>
            <w:tcW w:w="83" w:type="dxa"/>
            <w:tcBorders/>
            <w:shd w:fill="FFFFFF" w:val="clear"/>
            <w:vAlign w:val="center"/>
          </w:tcPr>
          <w:p>
            <w:pPr>
              <w:pStyle w:val="TableContents"/>
              <w:bidi w:val="0"/>
              <w:spacing w:before="0" w:after="283"/>
              <w:jc w:val="left"/>
            </w:pPr>
            <w:r>
              <w:t> </w:t>
            </w:r>
          </w:p>
        </w:tc>
      </w:tr>
      <w:tr>
        <w:tc>
          <w:tcPr>
            <w:tcW w:w="7319"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Cash, cash equivalents and restricted cash at end of period</w:t>
            </w:r>
          </w:p>
        </w:tc>
        <w:tc>
          <w:tcPr>
            <w:tcW w:w="60" w:type="dxa"/>
            <w:tcBorders/>
            <w:shd w:fill="CCEEFF" w:val="clear"/>
            <w:vAlign w:val="center"/>
          </w:tcPr>
          <w:p>
            <w:pPr>
              <w:pStyle w:val="TableContents"/>
              <w:bidi w:val="0"/>
              <w:spacing w:before="0" w:after="283"/>
              <w:ind w:left="0" w:right="0" w:hanging="0"/>
              <w:jc w:val="left"/>
            </w:pPr>
            <w:r>
              <w:t> </w:t>
            </w:r>
          </w:p>
        </w:tc>
        <w:tc>
          <w:tcPr>
            <w:tcW w:w="16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121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621,457</w:t>
            </w:r>
          </w:p>
        </w:tc>
        <w:tc>
          <w:tcPr>
            <w:tcW w:w="106"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ind w:left="0" w:right="0" w:hanging="0"/>
              <w:jc w:val="left"/>
            </w:pPr>
            <w:r>
              <w:t> </w:t>
            </w:r>
          </w:p>
        </w:tc>
        <w:tc>
          <w:tcPr>
            <w:tcW w:w="16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101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150,717</w:t>
            </w:r>
          </w:p>
        </w:tc>
        <w:tc>
          <w:tcPr>
            <w:tcW w:w="83" w:type="dxa"/>
            <w:tcBorders/>
            <w:shd w:fill="CCEEFF" w:val="clear"/>
            <w:vAlign w:val="center"/>
          </w:tcPr>
          <w:p>
            <w:pPr>
              <w:pStyle w:val="TableContents"/>
              <w:bidi w:val="0"/>
              <w:spacing w:before="0" w:after="283"/>
              <w:jc w:val="left"/>
            </w:pPr>
            <w:r>
              <w:t> </w:t>
            </w:r>
          </w:p>
        </w:tc>
      </w:tr>
      <w:tr>
        <w:tc>
          <w:tcPr>
            <w:tcW w:w="7319" w:type="dxa"/>
            <w:tcBorders/>
            <w:shd w:fill="FFFF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Supplemental disclosure of cash flow information:</w:t>
            </w:r>
          </w:p>
        </w:tc>
        <w:tc>
          <w:tcPr>
            <w:tcW w:w="60" w:type="dxa"/>
            <w:tcBorders/>
            <w:shd w:fill="FFFFFF" w:val="clear"/>
            <w:vAlign w:val="center"/>
          </w:tcPr>
          <w:p>
            <w:pPr>
              <w:pStyle w:val="TableContents"/>
              <w:bidi w:val="0"/>
              <w:spacing w:before="0" w:after="283"/>
              <w:jc w:val="left"/>
            </w:pPr>
            <w:r>
              <w:t> </w:t>
            </w:r>
          </w:p>
        </w:tc>
        <w:tc>
          <w:tcPr>
            <w:tcW w:w="167" w:type="dxa"/>
            <w:tcBorders/>
            <w:shd w:fill="FFFFFF" w:val="clear"/>
            <w:vAlign w:val="center"/>
          </w:tcPr>
          <w:p>
            <w:pPr>
              <w:pStyle w:val="TableContents"/>
              <w:bidi w:val="0"/>
              <w:spacing w:before="0" w:after="283"/>
              <w:jc w:val="left"/>
            </w:pPr>
            <w:r>
              <w:t> </w:t>
            </w:r>
          </w:p>
        </w:tc>
        <w:tc>
          <w:tcPr>
            <w:tcW w:w="1212" w:type="dxa"/>
            <w:tcBorders/>
            <w:shd w:fill="FFFFFF" w:val="clear"/>
            <w:vAlign w:val="center"/>
          </w:tcPr>
          <w:p>
            <w:pPr>
              <w:pStyle w:val="TableContents"/>
              <w:bidi w:val="0"/>
              <w:spacing w:before="0" w:after="283"/>
              <w:jc w:val="left"/>
            </w:pPr>
            <w:r>
              <w:t> </w:t>
            </w:r>
          </w:p>
        </w:tc>
        <w:tc>
          <w:tcPr>
            <w:tcW w:w="106"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c>
          <w:tcPr>
            <w:tcW w:w="167" w:type="dxa"/>
            <w:tcBorders/>
            <w:shd w:fill="FFFFFF" w:val="clear"/>
            <w:vAlign w:val="center"/>
          </w:tcPr>
          <w:p>
            <w:pPr>
              <w:pStyle w:val="TableContents"/>
              <w:bidi w:val="0"/>
              <w:spacing w:before="0" w:after="283"/>
              <w:jc w:val="left"/>
            </w:pPr>
            <w:r>
              <w:t> </w:t>
            </w:r>
          </w:p>
        </w:tc>
        <w:tc>
          <w:tcPr>
            <w:tcW w:w="1011" w:type="dxa"/>
            <w:tcBorders/>
            <w:shd w:fill="FFFFFF" w:val="clear"/>
            <w:vAlign w:val="center"/>
          </w:tcPr>
          <w:p>
            <w:pPr>
              <w:pStyle w:val="TableContents"/>
              <w:bidi w:val="0"/>
              <w:spacing w:before="0" w:after="283"/>
              <w:jc w:val="left"/>
            </w:pPr>
            <w:r>
              <w:t> </w:t>
            </w:r>
          </w:p>
        </w:tc>
        <w:tc>
          <w:tcPr>
            <w:tcW w:w="83" w:type="dxa"/>
            <w:tcBorders/>
            <w:shd w:fill="FFFFFF" w:val="clear"/>
            <w:vAlign w:val="center"/>
          </w:tcPr>
          <w:p>
            <w:pPr>
              <w:pStyle w:val="TableContents"/>
              <w:bidi w:val="0"/>
              <w:spacing w:before="0" w:after="283"/>
              <w:jc w:val="left"/>
            </w:pPr>
            <w:r>
              <w:t> </w:t>
            </w:r>
          </w:p>
        </w:tc>
      </w:tr>
      <w:tr>
        <w:tc>
          <w:tcPr>
            <w:tcW w:w="7319"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Cash paid for:</w:t>
            </w:r>
          </w:p>
        </w:tc>
        <w:tc>
          <w:tcPr>
            <w:tcW w:w="60" w:type="dxa"/>
            <w:tcBorders/>
            <w:shd w:fill="CCEEFF" w:val="clear"/>
            <w:vAlign w:val="center"/>
          </w:tcPr>
          <w:p>
            <w:pPr>
              <w:pStyle w:val="TableContents"/>
              <w:bidi w:val="0"/>
              <w:spacing w:before="0" w:after="283"/>
              <w:jc w:val="left"/>
            </w:pPr>
            <w:r>
              <w:t> </w:t>
            </w:r>
          </w:p>
        </w:tc>
        <w:tc>
          <w:tcPr>
            <w:tcW w:w="167" w:type="dxa"/>
            <w:tcBorders/>
            <w:shd w:fill="CCEEFF" w:val="clear"/>
            <w:vAlign w:val="center"/>
          </w:tcPr>
          <w:p>
            <w:pPr>
              <w:pStyle w:val="TableContents"/>
              <w:bidi w:val="0"/>
              <w:spacing w:before="0" w:after="283"/>
              <w:jc w:val="left"/>
            </w:pPr>
            <w:r>
              <w:t> </w:t>
            </w:r>
          </w:p>
        </w:tc>
        <w:tc>
          <w:tcPr>
            <w:tcW w:w="1212" w:type="dxa"/>
            <w:tcBorders/>
            <w:shd w:fill="CCEEFF" w:val="clear"/>
            <w:vAlign w:val="center"/>
          </w:tcPr>
          <w:p>
            <w:pPr>
              <w:pStyle w:val="TableContents"/>
              <w:bidi w:val="0"/>
              <w:spacing w:before="0" w:after="283"/>
              <w:jc w:val="left"/>
            </w:pPr>
            <w:r>
              <w:t> </w:t>
            </w:r>
          </w:p>
        </w:tc>
        <w:tc>
          <w:tcPr>
            <w:tcW w:w="106"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c>
          <w:tcPr>
            <w:tcW w:w="167" w:type="dxa"/>
            <w:tcBorders/>
            <w:shd w:fill="CCEEFF" w:val="clear"/>
            <w:vAlign w:val="center"/>
          </w:tcPr>
          <w:p>
            <w:pPr>
              <w:pStyle w:val="TableContents"/>
              <w:bidi w:val="0"/>
              <w:spacing w:before="0" w:after="283"/>
              <w:jc w:val="left"/>
            </w:pPr>
            <w:r>
              <w:t> </w:t>
            </w:r>
          </w:p>
        </w:tc>
        <w:tc>
          <w:tcPr>
            <w:tcW w:w="1011" w:type="dxa"/>
            <w:tcBorders/>
            <w:shd w:fill="CCEEFF" w:val="clear"/>
            <w:vAlign w:val="center"/>
          </w:tcPr>
          <w:p>
            <w:pPr>
              <w:pStyle w:val="TableContents"/>
              <w:bidi w:val="0"/>
              <w:spacing w:before="0" w:after="283"/>
              <w:jc w:val="left"/>
            </w:pPr>
            <w:r>
              <w:t> </w:t>
            </w:r>
          </w:p>
        </w:tc>
        <w:tc>
          <w:tcPr>
            <w:tcW w:w="83" w:type="dxa"/>
            <w:tcBorders/>
            <w:shd w:fill="CCEEFF" w:val="clear"/>
            <w:vAlign w:val="center"/>
          </w:tcPr>
          <w:p>
            <w:pPr>
              <w:pStyle w:val="TableContents"/>
              <w:bidi w:val="0"/>
              <w:spacing w:before="0" w:after="283"/>
              <w:jc w:val="left"/>
            </w:pPr>
            <w:r>
              <w:t> </w:t>
            </w:r>
          </w:p>
        </w:tc>
      </w:tr>
      <w:tr>
        <w:tc>
          <w:tcPr>
            <w:tcW w:w="7319" w:type="dxa"/>
            <w:tcBorders/>
            <w:shd w:fill="FFFF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Interest, net of amounts capitalized</w:t>
            </w:r>
          </w:p>
        </w:tc>
        <w:tc>
          <w:tcPr>
            <w:tcW w:w="60" w:type="dxa"/>
            <w:tcBorders/>
            <w:shd w:fill="FFFFFF" w:val="clear"/>
            <w:vAlign w:val="center"/>
          </w:tcPr>
          <w:p>
            <w:pPr>
              <w:pStyle w:val="TableContents"/>
              <w:bidi w:val="0"/>
              <w:spacing w:before="0" w:after="283"/>
              <w:ind w:left="0" w:right="0" w:hanging="0"/>
              <w:jc w:val="left"/>
            </w:pPr>
            <w:r>
              <w:t> </w:t>
            </w:r>
          </w:p>
        </w:tc>
        <w:tc>
          <w:tcPr>
            <w:tcW w:w="167" w:type="dxa"/>
            <w:tcBorders/>
            <w:shd w:fill="FFFFFF" w:val="clear"/>
            <w:vAlign w:val="center"/>
          </w:tcPr>
          <w:p>
            <w:pPr>
              <w:pStyle w:val="TableContents"/>
              <w:bidi w:val="0"/>
              <w:spacing w:before="0" w:after="283"/>
              <w:ind w:left="0" w:right="0" w:hanging="0"/>
              <w:jc w:val="left"/>
              <w:rPr>
                <w:sz w:val="20"/>
              </w:rPr>
            </w:pPr>
            <w:r>
              <w:rPr>
                <w:sz w:val="20"/>
              </w:rPr>
              <w:t>$</w:t>
            </w:r>
          </w:p>
        </w:tc>
        <w:tc>
          <w:tcPr>
            <w:tcW w:w="1212" w:type="dxa"/>
            <w:tcBorders/>
            <w:shd w:fill="FFFFFF" w:val="clear"/>
            <w:vAlign w:val="center"/>
          </w:tcPr>
          <w:p>
            <w:pPr>
              <w:pStyle w:val="TableContents"/>
              <w:bidi w:val="0"/>
              <w:spacing w:before="0" w:after="283"/>
              <w:ind w:left="0" w:right="0" w:hanging="0"/>
              <w:jc w:val="right"/>
              <w:rPr>
                <w:sz w:val="20"/>
              </w:rPr>
            </w:pPr>
            <w:r>
              <w:rPr>
                <w:sz w:val="20"/>
              </w:rPr>
              <w:t>4,582</w:t>
            </w:r>
          </w:p>
        </w:tc>
        <w:tc>
          <w:tcPr>
            <w:tcW w:w="106"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ind w:left="0" w:right="0" w:hanging="0"/>
              <w:jc w:val="left"/>
            </w:pPr>
            <w:r>
              <w:t> </w:t>
            </w:r>
          </w:p>
        </w:tc>
        <w:tc>
          <w:tcPr>
            <w:tcW w:w="167" w:type="dxa"/>
            <w:tcBorders/>
            <w:shd w:fill="FFFFFF" w:val="clear"/>
            <w:vAlign w:val="center"/>
          </w:tcPr>
          <w:p>
            <w:pPr>
              <w:pStyle w:val="TableContents"/>
              <w:bidi w:val="0"/>
              <w:spacing w:before="0" w:after="283"/>
              <w:ind w:left="0" w:right="0" w:hanging="0"/>
              <w:jc w:val="left"/>
              <w:rPr>
                <w:sz w:val="20"/>
              </w:rPr>
            </w:pPr>
            <w:r>
              <w:rPr>
                <w:sz w:val="20"/>
              </w:rPr>
              <w:t>$</w:t>
            </w:r>
          </w:p>
        </w:tc>
        <w:tc>
          <w:tcPr>
            <w:tcW w:w="1011" w:type="dxa"/>
            <w:tcBorders/>
            <w:shd w:fill="FFFFFF" w:val="clear"/>
            <w:vAlign w:val="center"/>
          </w:tcPr>
          <w:p>
            <w:pPr>
              <w:pStyle w:val="TableContents"/>
              <w:bidi w:val="0"/>
              <w:spacing w:before="0" w:after="283"/>
              <w:ind w:left="0" w:right="0" w:hanging="0"/>
              <w:jc w:val="right"/>
              <w:rPr>
                <w:sz w:val="20"/>
              </w:rPr>
            </w:pPr>
            <w:r>
              <w:rPr>
                <w:sz w:val="20"/>
              </w:rPr>
              <w:t>2,387</w:t>
            </w:r>
          </w:p>
        </w:tc>
        <w:tc>
          <w:tcPr>
            <w:tcW w:w="83" w:type="dxa"/>
            <w:tcBorders/>
            <w:shd w:fill="FFFFFF" w:val="clear"/>
            <w:vAlign w:val="center"/>
          </w:tcPr>
          <w:p>
            <w:pPr>
              <w:pStyle w:val="TableContents"/>
              <w:bidi w:val="0"/>
              <w:spacing w:before="0" w:after="283"/>
              <w:jc w:val="left"/>
            </w:pPr>
            <w:r>
              <w:t> </w:t>
            </w:r>
          </w:p>
        </w:tc>
      </w:tr>
      <w:tr>
        <w:tc>
          <w:tcPr>
            <w:tcW w:w="7319"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Income taxes</w:t>
            </w:r>
          </w:p>
        </w:tc>
        <w:tc>
          <w:tcPr>
            <w:tcW w:w="60" w:type="dxa"/>
            <w:tcBorders/>
            <w:shd w:fill="CCEEFF" w:val="clear"/>
            <w:vAlign w:val="center"/>
          </w:tcPr>
          <w:p>
            <w:pPr>
              <w:pStyle w:val="TableContents"/>
              <w:bidi w:val="0"/>
              <w:spacing w:before="0" w:after="283"/>
              <w:jc w:val="left"/>
            </w:pPr>
            <w:r>
              <w:t> </w:t>
            </w:r>
          </w:p>
        </w:tc>
        <w:tc>
          <w:tcPr>
            <w:tcW w:w="167" w:type="dxa"/>
            <w:tcBorders/>
            <w:shd w:fill="CCEEFF" w:val="clear"/>
            <w:vAlign w:val="center"/>
          </w:tcPr>
          <w:p>
            <w:pPr>
              <w:pStyle w:val="TableContents"/>
              <w:bidi w:val="0"/>
              <w:spacing w:before="0" w:after="283"/>
              <w:jc w:val="left"/>
            </w:pPr>
            <w:r>
              <w:t> </w:t>
            </w:r>
          </w:p>
        </w:tc>
        <w:tc>
          <w:tcPr>
            <w:tcW w:w="1212" w:type="dxa"/>
            <w:tcBorders/>
            <w:shd w:fill="CCEEFF" w:val="clear"/>
            <w:vAlign w:val="center"/>
          </w:tcPr>
          <w:p>
            <w:pPr>
              <w:pStyle w:val="TableContents"/>
              <w:bidi w:val="0"/>
              <w:spacing w:before="0" w:after="283"/>
              <w:jc w:val="right"/>
              <w:rPr>
                <w:sz w:val="20"/>
              </w:rPr>
            </w:pPr>
            <w:r>
              <w:rPr>
                <w:sz w:val="20"/>
              </w:rPr>
              <w:t>1</w:t>
            </w:r>
          </w:p>
        </w:tc>
        <w:tc>
          <w:tcPr>
            <w:tcW w:w="106"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c>
          <w:tcPr>
            <w:tcW w:w="167" w:type="dxa"/>
            <w:tcBorders/>
            <w:shd w:fill="CCEEFF" w:val="clear"/>
            <w:vAlign w:val="center"/>
          </w:tcPr>
          <w:p>
            <w:pPr>
              <w:pStyle w:val="TableContents"/>
              <w:bidi w:val="0"/>
              <w:spacing w:before="0" w:after="283"/>
              <w:jc w:val="left"/>
            </w:pPr>
            <w:r>
              <w:t> </w:t>
            </w:r>
          </w:p>
        </w:tc>
        <w:tc>
          <w:tcPr>
            <w:tcW w:w="1011" w:type="dxa"/>
            <w:tcBorders/>
            <w:shd w:fill="CCEEFF" w:val="clear"/>
            <w:vAlign w:val="center"/>
          </w:tcPr>
          <w:p>
            <w:pPr>
              <w:pStyle w:val="TableContents"/>
              <w:bidi w:val="0"/>
              <w:spacing w:before="0" w:after="283"/>
              <w:jc w:val="right"/>
            </w:pPr>
            <w:r>
              <w:t>—</w:t>
            </w:r>
          </w:p>
        </w:tc>
        <w:tc>
          <w:tcPr>
            <w:tcW w:w="83" w:type="dxa"/>
            <w:tcBorders/>
            <w:shd w:fill="CCEEFF" w:val="clear"/>
            <w:vAlign w:val="center"/>
          </w:tcPr>
          <w:p>
            <w:pPr>
              <w:pStyle w:val="TableContents"/>
              <w:bidi w:val="0"/>
              <w:spacing w:before="0" w:after="283"/>
              <w:jc w:val="left"/>
            </w:pPr>
            <w:r>
              <w:t> </w:t>
            </w:r>
          </w:p>
        </w:tc>
      </w:tr>
      <w:tr>
        <w:tc>
          <w:tcPr>
            <w:tcW w:w="7319" w:type="dxa"/>
            <w:tcBorders/>
            <w:shd w:fill="FFFF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Non-cash investing and financing activities:</w:t>
            </w:r>
          </w:p>
        </w:tc>
        <w:tc>
          <w:tcPr>
            <w:tcW w:w="60" w:type="dxa"/>
            <w:tcBorders/>
            <w:shd w:fill="FFFFFF" w:val="clear"/>
            <w:vAlign w:val="center"/>
          </w:tcPr>
          <w:p>
            <w:pPr>
              <w:pStyle w:val="TableContents"/>
              <w:bidi w:val="0"/>
              <w:spacing w:before="0" w:after="283"/>
              <w:jc w:val="left"/>
            </w:pPr>
            <w:r>
              <w:t> </w:t>
            </w:r>
          </w:p>
        </w:tc>
        <w:tc>
          <w:tcPr>
            <w:tcW w:w="167" w:type="dxa"/>
            <w:tcBorders/>
            <w:shd w:fill="FFFFFF" w:val="clear"/>
            <w:vAlign w:val="center"/>
          </w:tcPr>
          <w:p>
            <w:pPr>
              <w:pStyle w:val="TableContents"/>
              <w:bidi w:val="0"/>
              <w:spacing w:before="0" w:after="283"/>
              <w:jc w:val="left"/>
            </w:pPr>
            <w:r>
              <w:t> </w:t>
            </w:r>
          </w:p>
        </w:tc>
        <w:tc>
          <w:tcPr>
            <w:tcW w:w="1212" w:type="dxa"/>
            <w:tcBorders/>
            <w:shd w:fill="FFFFFF" w:val="clear"/>
            <w:vAlign w:val="center"/>
          </w:tcPr>
          <w:p>
            <w:pPr>
              <w:pStyle w:val="TableContents"/>
              <w:bidi w:val="0"/>
              <w:spacing w:before="0" w:after="283"/>
              <w:jc w:val="left"/>
            </w:pPr>
            <w:r>
              <w:t> </w:t>
            </w:r>
          </w:p>
        </w:tc>
        <w:tc>
          <w:tcPr>
            <w:tcW w:w="106"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c>
          <w:tcPr>
            <w:tcW w:w="167" w:type="dxa"/>
            <w:tcBorders/>
            <w:shd w:fill="FFFFFF" w:val="clear"/>
            <w:vAlign w:val="center"/>
          </w:tcPr>
          <w:p>
            <w:pPr>
              <w:pStyle w:val="TableContents"/>
              <w:bidi w:val="0"/>
              <w:spacing w:before="0" w:after="283"/>
              <w:jc w:val="left"/>
            </w:pPr>
            <w:r>
              <w:t> </w:t>
            </w:r>
          </w:p>
        </w:tc>
        <w:tc>
          <w:tcPr>
            <w:tcW w:w="1011" w:type="dxa"/>
            <w:tcBorders/>
            <w:shd w:fill="FFFFFF" w:val="clear"/>
            <w:vAlign w:val="center"/>
          </w:tcPr>
          <w:p>
            <w:pPr>
              <w:pStyle w:val="TableContents"/>
              <w:bidi w:val="0"/>
              <w:spacing w:before="0" w:after="283"/>
              <w:jc w:val="left"/>
            </w:pPr>
            <w:r>
              <w:t> </w:t>
            </w:r>
          </w:p>
        </w:tc>
        <w:tc>
          <w:tcPr>
            <w:tcW w:w="83" w:type="dxa"/>
            <w:tcBorders/>
            <w:shd w:fill="FFFFFF" w:val="clear"/>
            <w:vAlign w:val="center"/>
          </w:tcPr>
          <w:p>
            <w:pPr>
              <w:pStyle w:val="TableContents"/>
              <w:bidi w:val="0"/>
              <w:spacing w:before="0" w:after="283"/>
              <w:jc w:val="left"/>
            </w:pPr>
            <w:r>
              <w:t> </w:t>
            </w:r>
          </w:p>
        </w:tc>
      </w:tr>
      <w:tr>
        <w:tc>
          <w:tcPr>
            <w:tcW w:w="7319" w:type="dxa"/>
            <w:tcBorders/>
            <w:shd w:fill="CCEE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Net change in accounts payable related to property and equipment additions</w:t>
            </w:r>
          </w:p>
        </w:tc>
        <w:tc>
          <w:tcPr>
            <w:tcW w:w="60" w:type="dxa"/>
            <w:tcBorders/>
            <w:shd w:fill="CCEEFF" w:val="clear"/>
            <w:vAlign w:val="center"/>
          </w:tcPr>
          <w:p>
            <w:pPr>
              <w:pStyle w:val="TableContents"/>
              <w:bidi w:val="0"/>
              <w:spacing w:before="0" w:after="283"/>
              <w:ind w:left="0" w:right="0" w:hanging="0"/>
              <w:jc w:val="left"/>
            </w:pPr>
            <w:r>
              <w:t> </w:t>
            </w:r>
          </w:p>
        </w:tc>
        <w:tc>
          <w:tcPr>
            <w:tcW w:w="167" w:type="dxa"/>
            <w:tcBorders/>
            <w:shd w:fill="CCEEFF" w:val="clear"/>
            <w:vAlign w:val="center"/>
          </w:tcPr>
          <w:p>
            <w:pPr>
              <w:pStyle w:val="TableContents"/>
              <w:bidi w:val="0"/>
              <w:spacing w:before="0" w:after="283"/>
              <w:ind w:left="0" w:right="0" w:hanging="0"/>
              <w:jc w:val="left"/>
              <w:rPr>
                <w:sz w:val="20"/>
              </w:rPr>
            </w:pPr>
            <w:r>
              <w:rPr>
                <w:sz w:val="20"/>
              </w:rPr>
              <w:t>$</w:t>
            </w:r>
          </w:p>
        </w:tc>
        <w:tc>
          <w:tcPr>
            <w:tcW w:w="1212" w:type="dxa"/>
            <w:tcBorders/>
            <w:shd w:fill="CCEEFF" w:val="clear"/>
            <w:vAlign w:val="center"/>
          </w:tcPr>
          <w:p>
            <w:pPr>
              <w:pStyle w:val="TableContents"/>
              <w:bidi w:val="0"/>
              <w:spacing w:before="0" w:after="283"/>
              <w:ind w:left="0" w:right="0" w:hanging="0"/>
              <w:jc w:val="right"/>
              <w:rPr>
                <w:sz w:val="20"/>
              </w:rPr>
            </w:pPr>
            <w:r>
              <w:rPr>
                <w:sz w:val="20"/>
              </w:rPr>
              <w:t>39,004</w:t>
            </w:r>
          </w:p>
        </w:tc>
        <w:tc>
          <w:tcPr>
            <w:tcW w:w="106"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ind w:left="0" w:right="0" w:hanging="0"/>
              <w:jc w:val="left"/>
            </w:pPr>
            <w:r>
              <w:t> </w:t>
            </w:r>
          </w:p>
        </w:tc>
        <w:tc>
          <w:tcPr>
            <w:tcW w:w="167" w:type="dxa"/>
            <w:tcBorders/>
            <w:shd w:fill="CCEEFF" w:val="clear"/>
            <w:vAlign w:val="center"/>
          </w:tcPr>
          <w:p>
            <w:pPr>
              <w:pStyle w:val="TableContents"/>
              <w:bidi w:val="0"/>
              <w:spacing w:before="0" w:after="283"/>
              <w:ind w:left="0" w:right="0" w:hanging="0"/>
              <w:jc w:val="left"/>
              <w:rPr>
                <w:sz w:val="20"/>
              </w:rPr>
            </w:pPr>
            <w:r>
              <w:rPr>
                <w:sz w:val="20"/>
              </w:rPr>
              <w:t>$</w:t>
            </w:r>
          </w:p>
        </w:tc>
        <w:tc>
          <w:tcPr>
            <w:tcW w:w="1011" w:type="dxa"/>
            <w:tcBorders/>
            <w:shd w:fill="CCEEFF" w:val="clear"/>
            <w:vAlign w:val="center"/>
          </w:tcPr>
          <w:p>
            <w:pPr>
              <w:pStyle w:val="TableContents"/>
              <w:bidi w:val="0"/>
              <w:spacing w:before="0" w:after="283"/>
              <w:ind w:left="0" w:right="0" w:hanging="0"/>
              <w:jc w:val="right"/>
              <w:rPr>
                <w:sz w:val="20"/>
              </w:rPr>
            </w:pPr>
            <w:r>
              <w:rPr>
                <w:sz w:val="20"/>
              </w:rPr>
              <w:t>5,432</w:t>
            </w:r>
          </w:p>
        </w:tc>
        <w:tc>
          <w:tcPr>
            <w:tcW w:w="83" w:type="dxa"/>
            <w:tcBorders/>
            <w:shd w:fill="CCEEFF" w:val="clear"/>
            <w:vAlign w:val="center"/>
          </w:tcPr>
          <w:p>
            <w:pPr>
              <w:pStyle w:val="TableContents"/>
              <w:bidi w:val="0"/>
              <w:spacing w:before="0" w:after="283"/>
              <w:jc w:val="left"/>
            </w:pPr>
            <w:r>
              <w:t> </w:t>
            </w:r>
          </w:p>
        </w:tc>
      </w:tr>
      <w:tr>
        <w:tc>
          <w:tcPr>
            <w:tcW w:w="7319" w:type="dxa"/>
            <w:tcBorders/>
            <w:shd w:fill="FFFF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Net change in deposits and prepaid for equipment related to property and equipment additions</w:t>
            </w:r>
          </w:p>
        </w:tc>
        <w:tc>
          <w:tcPr>
            <w:tcW w:w="60" w:type="dxa"/>
            <w:tcBorders/>
            <w:shd w:fill="FFFFFF" w:val="clear"/>
            <w:vAlign w:val="center"/>
          </w:tcPr>
          <w:p>
            <w:pPr>
              <w:pStyle w:val="TableContents"/>
              <w:bidi w:val="0"/>
              <w:spacing w:before="0" w:after="283"/>
              <w:jc w:val="left"/>
            </w:pPr>
            <w:r>
              <w:t> </w:t>
            </w:r>
          </w:p>
        </w:tc>
        <w:tc>
          <w:tcPr>
            <w:tcW w:w="167" w:type="dxa"/>
            <w:tcBorders/>
            <w:shd w:fill="FFFFFF" w:val="clear"/>
            <w:vAlign w:val="center"/>
          </w:tcPr>
          <w:p>
            <w:pPr>
              <w:pStyle w:val="TableContents"/>
              <w:bidi w:val="0"/>
              <w:spacing w:before="0" w:after="283"/>
              <w:ind w:left="0" w:right="0" w:hanging="0"/>
              <w:jc w:val="left"/>
            </w:pPr>
            <w:r>
              <w:t> </w:t>
            </w:r>
          </w:p>
        </w:tc>
        <w:tc>
          <w:tcPr>
            <w:tcW w:w="1212" w:type="dxa"/>
            <w:tcBorders/>
            <w:shd w:fill="FFFFFF" w:val="clear"/>
            <w:vAlign w:val="center"/>
          </w:tcPr>
          <w:p>
            <w:pPr>
              <w:pStyle w:val="TableContents"/>
              <w:bidi w:val="0"/>
              <w:spacing w:before="0" w:after="283"/>
              <w:ind w:left="0" w:right="0" w:hanging="0"/>
              <w:jc w:val="right"/>
              <w:rPr>
                <w:sz w:val="20"/>
              </w:rPr>
            </w:pPr>
            <w:r>
              <w:rPr>
                <w:sz w:val="20"/>
              </w:rPr>
              <w:t>(263</w:t>
            </w:r>
          </w:p>
        </w:tc>
        <w:tc>
          <w:tcPr>
            <w:tcW w:w="106" w:type="dxa"/>
            <w:tcBorders/>
            <w:shd w:fill="FFFFFF" w:val="clear"/>
            <w:vAlign w:val="center"/>
          </w:tcPr>
          <w:p>
            <w:pPr>
              <w:pStyle w:val="TableContents"/>
              <w:bidi w:val="0"/>
              <w:spacing w:before="0" w:after="283"/>
              <w:jc w:val="left"/>
              <w:rPr>
                <w:sz w:val="20"/>
              </w:rPr>
            </w:pPr>
            <w:r>
              <w:rPr>
                <w:sz w:val="20"/>
              </w:rPr>
              <w:t>)</w:t>
            </w:r>
          </w:p>
        </w:tc>
        <w:tc>
          <w:tcPr>
            <w:tcW w:w="80" w:type="dxa"/>
            <w:tcBorders/>
            <w:shd w:fill="FFFFFF" w:val="clear"/>
            <w:vAlign w:val="center"/>
          </w:tcPr>
          <w:p>
            <w:pPr>
              <w:pStyle w:val="TableContents"/>
              <w:bidi w:val="0"/>
              <w:spacing w:before="0" w:after="283"/>
              <w:jc w:val="left"/>
            </w:pPr>
            <w:r>
              <w:t> </w:t>
            </w:r>
          </w:p>
        </w:tc>
        <w:tc>
          <w:tcPr>
            <w:tcW w:w="167" w:type="dxa"/>
            <w:tcBorders/>
            <w:shd w:fill="FFFFFF" w:val="clear"/>
            <w:vAlign w:val="center"/>
          </w:tcPr>
          <w:p>
            <w:pPr>
              <w:pStyle w:val="TableContents"/>
              <w:bidi w:val="0"/>
              <w:spacing w:before="0" w:after="283"/>
              <w:ind w:left="0" w:right="0" w:hanging="0"/>
              <w:jc w:val="left"/>
            </w:pPr>
            <w:r>
              <w:t> </w:t>
            </w:r>
          </w:p>
        </w:tc>
        <w:tc>
          <w:tcPr>
            <w:tcW w:w="1011" w:type="dxa"/>
            <w:tcBorders/>
            <w:shd w:fill="FFFFFF" w:val="clear"/>
            <w:vAlign w:val="center"/>
          </w:tcPr>
          <w:p>
            <w:pPr>
              <w:pStyle w:val="TableContents"/>
              <w:bidi w:val="0"/>
              <w:spacing w:before="0" w:after="283"/>
              <w:ind w:left="0" w:right="0" w:hanging="0"/>
              <w:jc w:val="right"/>
              <w:rPr>
                <w:sz w:val="20"/>
              </w:rPr>
            </w:pPr>
            <w:r>
              <w:rPr>
                <w:sz w:val="20"/>
              </w:rPr>
              <w:t>(15,056</w:t>
            </w:r>
          </w:p>
        </w:tc>
        <w:tc>
          <w:tcPr>
            <w:tcW w:w="83" w:type="dxa"/>
            <w:tcBorders/>
            <w:shd w:fill="FFFFFF" w:val="clear"/>
            <w:vAlign w:val="center"/>
          </w:tcPr>
          <w:p>
            <w:pPr>
              <w:pStyle w:val="TableContents"/>
              <w:bidi w:val="0"/>
              <w:spacing w:before="0" w:after="283"/>
              <w:jc w:val="left"/>
              <w:rPr>
                <w:sz w:val="20"/>
              </w:rPr>
            </w:pPr>
            <w:r>
              <w:rPr>
                <w:sz w:val="20"/>
              </w:rPr>
              <w:t>)</w:t>
            </w:r>
          </w:p>
        </w:tc>
      </w:tr>
      <w:tr>
        <w:tc>
          <w:tcPr>
            <w:tcW w:w="73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Non-cash operating and financing activities:</w:t>
            </w:r>
          </w:p>
        </w:tc>
        <w:tc>
          <w:tcPr>
            <w:tcW w:w="60" w:type="dxa"/>
            <w:tcBorders/>
            <w:shd w:fill="CCEEFF" w:val="clear"/>
            <w:vAlign w:val="center"/>
          </w:tcPr>
          <w:p>
            <w:pPr>
              <w:pStyle w:val="TableContents"/>
              <w:bidi w:val="0"/>
              <w:spacing w:before="0" w:after="283"/>
              <w:jc w:val="left"/>
            </w:pPr>
            <w:r>
              <w:t> </w:t>
            </w:r>
          </w:p>
        </w:tc>
        <w:tc>
          <w:tcPr>
            <w:tcW w:w="167" w:type="dxa"/>
            <w:tcBorders/>
            <w:shd w:fill="CCEEFF" w:val="clear"/>
            <w:vAlign w:val="center"/>
          </w:tcPr>
          <w:p>
            <w:pPr>
              <w:pStyle w:val="TableContents"/>
              <w:bidi w:val="0"/>
              <w:spacing w:before="0" w:after="283"/>
              <w:jc w:val="left"/>
            </w:pPr>
            <w:r>
              <w:t> </w:t>
            </w:r>
          </w:p>
        </w:tc>
        <w:tc>
          <w:tcPr>
            <w:tcW w:w="1212" w:type="dxa"/>
            <w:tcBorders/>
            <w:shd w:fill="CCEEFF" w:val="clear"/>
            <w:vAlign w:val="center"/>
          </w:tcPr>
          <w:p>
            <w:pPr>
              <w:pStyle w:val="TableContents"/>
              <w:bidi w:val="0"/>
              <w:spacing w:before="0" w:after="283"/>
              <w:jc w:val="left"/>
            </w:pPr>
            <w:r>
              <w:t> </w:t>
            </w:r>
          </w:p>
        </w:tc>
        <w:tc>
          <w:tcPr>
            <w:tcW w:w="106"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c>
          <w:tcPr>
            <w:tcW w:w="167" w:type="dxa"/>
            <w:tcBorders/>
            <w:shd w:fill="CCEEFF" w:val="clear"/>
            <w:vAlign w:val="center"/>
          </w:tcPr>
          <w:p>
            <w:pPr>
              <w:pStyle w:val="TableContents"/>
              <w:bidi w:val="0"/>
              <w:spacing w:before="0" w:after="283"/>
              <w:jc w:val="left"/>
            </w:pPr>
            <w:r>
              <w:t> </w:t>
            </w:r>
          </w:p>
        </w:tc>
        <w:tc>
          <w:tcPr>
            <w:tcW w:w="1011" w:type="dxa"/>
            <w:tcBorders/>
            <w:shd w:fill="CCEEFF" w:val="clear"/>
            <w:vAlign w:val="center"/>
          </w:tcPr>
          <w:p>
            <w:pPr>
              <w:pStyle w:val="TableContents"/>
              <w:bidi w:val="0"/>
              <w:spacing w:before="0" w:after="283"/>
              <w:jc w:val="left"/>
            </w:pPr>
            <w:r>
              <w:t> </w:t>
            </w:r>
          </w:p>
        </w:tc>
        <w:tc>
          <w:tcPr>
            <w:tcW w:w="83" w:type="dxa"/>
            <w:tcBorders/>
            <w:shd w:fill="CCEEFF" w:val="clear"/>
            <w:vAlign w:val="center"/>
          </w:tcPr>
          <w:p>
            <w:pPr>
              <w:pStyle w:val="TableContents"/>
              <w:bidi w:val="0"/>
              <w:spacing w:before="0" w:after="283"/>
              <w:jc w:val="left"/>
            </w:pPr>
            <w:r>
              <w:t> </w:t>
            </w:r>
          </w:p>
        </w:tc>
      </w:tr>
      <w:tr>
        <w:tc>
          <w:tcPr>
            <w:tcW w:w="7319"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Warrant issued and vested to customer</w:t>
            </w:r>
          </w:p>
        </w:tc>
        <w:tc>
          <w:tcPr>
            <w:tcW w:w="60" w:type="dxa"/>
            <w:tcBorders/>
            <w:shd w:fill="FFFFFF" w:val="clear"/>
            <w:vAlign w:val="center"/>
          </w:tcPr>
          <w:p>
            <w:pPr>
              <w:pStyle w:val="TableContents"/>
              <w:bidi w:val="0"/>
              <w:spacing w:before="0" w:after="283"/>
              <w:jc w:val="left"/>
            </w:pPr>
            <w:r>
              <w:t> </w:t>
            </w:r>
          </w:p>
        </w:tc>
        <w:tc>
          <w:tcPr>
            <w:tcW w:w="167" w:type="dxa"/>
            <w:tcBorders/>
            <w:shd w:fill="FFFFFF" w:val="clear"/>
            <w:vAlign w:val="center"/>
          </w:tcPr>
          <w:p>
            <w:pPr>
              <w:pStyle w:val="TableContents"/>
              <w:bidi w:val="0"/>
              <w:spacing w:before="0" w:after="283"/>
              <w:jc w:val="left"/>
            </w:pPr>
            <w:r>
              <w:t> </w:t>
            </w:r>
          </w:p>
        </w:tc>
        <w:tc>
          <w:tcPr>
            <w:tcW w:w="1212" w:type="dxa"/>
            <w:tcBorders/>
            <w:shd w:fill="FFFFFF" w:val="clear"/>
            <w:vAlign w:val="center"/>
          </w:tcPr>
          <w:p>
            <w:pPr>
              <w:pStyle w:val="TableContents"/>
              <w:bidi w:val="0"/>
              <w:spacing w:before="0" w:after="283"/>
              <w:jc w:val="right"/>
              <w:rPr>
                <w:sz w:val="20"/>
              </w:rPr>
            </w:pPr>
            <w:r>
              <w:rPr>
                <w:sz w:val="20"/>
              </w:rPr>
              <w:t>3,383</w:t>
            </w:r>
          </w:p>
        </w:tc>
        <w:tc>
          <w:tcPr>
            <w:tcW w:w="106"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c>
          <w:tcPr>
            <w:tcW w:w="167" w:type="dxa"/>
            <w:tcBorders/>
            <w:shd w:fill="FFFFFF" w:val="clear"/>
            <w:vAlign w:val="center"/>
          </w:tcPr>
          <w:p>
            <w:pPr>
              <w:pStyle w:val="TableContents"/>
              <w:bidi w:val="0"/>
              <w:spacing w:before="0" w:after="283"/>
              <w:jc w:val="left"/>
            </w:pPr>
            <w:r>
              <w:t> </w:t>
            </w:r>
          </w:p>
        </w:tc>
        <w:tc>
          <w:tcPr>
            <w:tcW w:w="1011" w:type="dxa"/>
            <w:tcBorders/>
            <w:shd w:fill="FFFFFF" w:val="clear"/>
            <w:vAlign w:val="center"/>
          </w:tcPr>
          <w:p>
            <w:pPr>
              <w:pStyle w:val="TableContents"/>
              <w:bidi w:val="0"/>
              <w:spacing w:before="0" w:after="283"/>
              <w:jc w:val="right"/>
              <w:rPr>
                <w:sz w:val="20"/>
              </w:rPr>
            </w:pPr>
            <w:r>
              <w:rPr>
                <w:sz w:val="20"/>
              </w:rPr>
              <w:t>16,739</w:t>
            </w:r>
          </w:p>
        </w:tc>
        <w:tc>
          <w:tcPr>
            <w:tcW w:w="83" w:type="dxa"/>
            <w:tcBorders/>
            <w:shd w:fill="FFFFFF" w:val="clear"/>
            <w:vAlign w:val="center"/>
          </w:tcPr>
          <w:p>
            <w:pPr>
              <w:pStyle w:val="TableContents"/>
              <w:bidi w:val="0"/>
              <w:spacing w:before="0" w:after="283"/>
              <w:jc w:val="left"/>
            </w:pPr>
            <w:r>
              <w:t> </w:t>
            </w:r>
          </w:p>
        </w:tc>
      </w:tr>
    </w:tbl>
    <w:p>
      <w:pPr>
        <w:pStyle w:val="TextBody"/>
        <w:bidi w:val="0"/>
        <w:spacing w:before="0" w:after="0"/>
        <w:ind w:left="0" w:right="0" w:hanging="0"/>
        <w:jc w:val="left"/>
      </w:pPr>
      <w:r>
        <w:t>​</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The accompanying notes are an integral part of these condensed consolidated financial statements.</w:t>
      </w:r>
    </w:p>
    <w:p>
      <w:pPr>
        <w:pStyle w:val="TextBody"/>
        <w:bidi w:val="0"/>
        <w:spacing w:before="0" w:after="0"/>
        <w:ind w:left="0" w:right="0" w:hanging="0"/>
        <w:jc w:val="left"/>
      </w:pPr>
      <w: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8 </w:t>
      </w:r>
    </w:p>
    <w:p>
      <w:pPr>
        <w:pStyle w:val="HorizontalLine"/>
        <w:pBdr>
          <w:bottom w:val="double" w:sz="2" w:space="0" w:color="808080"/>
        </w:pBdr>
        <w:bidi w:val="0"/>
        <w:spacing w:before="0" w:after="283"/>
        <w:jc w:val="left"/>
      </w:pPr>
      <w:r/>
    </w:p>
    <w:p>
      <w:pPr>
        <w:pStyle w:val="TextBody"/>
        <w:bidi w:val="0"/>
        <w:jc w:val="left"/>
      </w:pPr>
      <w:hyperlink w:anchor="toc">
        <w:r>
          <w:rPr>
            <w:rStyle w:val="InternetLink"/>
            <w:rFonts w:ascii="Times New Roman;Times;serif" w:hAnsi="Times New Roman;Times;serif"/>
            <w:sz w:val="20"/>
          </w:rPr>
          <w:t>Table of Contents</w:t>
        </w:r>
      </w:hyperlink>
      <w:r>
        <w:t xml:space="preserve"> </w:t>
      </w:r>
    </w:p>
    <w:p>
      <w:pPr>
        <w:pStyle w:val="TextBody"/>
        <w:bidi w:val="0"/>
        <w:spacing w:before="0" w:after="0"/>
        <w:ind w:left="0" w:right="0" w:hanging="0"/>
        <w:jc w:val="center"/>
      </w:pPr>
      <w:r>
        <w:t> </w:t>
      </w:r>
    </w:p>
    <w:p>
      <w:pPr>
        <w:pStyle w:val="TextBody"/>
        <w:bidi w:val="0"/>
        <w:spacing w:before="0" w:after="0"/>
        <w:ind w:left="0" w:right="0" w:hanging="0"/>
        <w:jc w:val="center"/>
        <w:rPr>
          <w:rFonts w:ascii="Times New Roman;Times;serif" w:hAnsi="Times New Roman;Times;serif"/>
          <w:b/>
          <w:sz w:val="20"/>
        </w:rPr>
      </w:pPr>
      <w:bookmarkStart w:id="10" w:name="notes"/>
      <w:bookmarkEnd w:id="10"/>
      <w:r>
        <w:rPr>
          <w:rFonts w:ascii="Times New Roman;Times;serif" w:hAnsi="Times New Roman;Times;serif"/>
          <w:b/>
          <w:sz w:val="20"/>
        </w:rPr>
        <w:t>Applied Optoelectronics,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83"/>
        <w:jc w:val="left"/>
      </w:pPr>
      <w:r>
        <w:t xml:space="preserve">  </w:t>
      </w:r>
    </w:p>
    <w:p>
      <w:pPr>
        <w:pStyle w:val="TextBody"/>
        <w:bidi w:val="0"/>
        <w:spacing w:before="0" w:after="0"/>
        <w:ind w:left="0" w:right="0" w:hanging="0"/>
        <w:jc w:val="left"/>
      </w:pPr>
      <w:r>
        <w:rPr>
          <w:rFonts w:ascii="Times New Roman;Times;serif" w:hAnsi="Times New Roman;Times;serif"/>
          <w:b/>
          <w:sz w:val="20"/>
        </w:rPr>
        <w:t xml:space="preserve">Note </w:t>
      </w:r>
      <w:r>
        <w:rPr>
          <w:rStyle w:val="Emphasis"/>
          <w:rFonts w:ascii="Times New Roman;Times;serif" w:hAnsi="Times New Roman;Times;serif"/>
          <w:b/>
          <w:sz w:val="20"/>
        </w:rPr>
        <w:t>1.</w:t>
      </w:r>
      <w:r>
        <w:rPr>
          <w:rFonts w:ascii="Times New Roman;Times;serif" w:hAnsi="Times New Roman;Times;serif"/>
          <w:b/>
          <w:sz w:val="20"/>
        </w:rPr>
        <w:t xml:space="preserve">   Description of Business​</w:t>
      </w:r>
    </w:p>
    <w:p>
      <w:pPr>
        <w:pStyle w:val="TextBody"/>
        <w:bidi w:val="0"/>
        <w:spacing w:before="0" w:after="0"/>
        <w:ind w:left="0" w:right="0" w:hanging="0"/>
        <w:jc w:val="left"/>
      </w:pPr>
      <w: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Business Overview</w:t>
      </w:r>
    </w:p>
    <w:p>
      <w:pPr>
        <w:pStyle w:val="TextBody"/>
        <w:bidi w:val="0"/>
        <w:spacing w:before="0" w:after="0"/>
        <w:ind w:left="0" w:right="0" w:hanging="0"/>
        <w:jc w:val="left"/>
      </w:pPr>
      <w:r>
        <w:t>​</w:t>
      </w:r>
    </w:p>
    <w:p>
      <w:pPr>
        <w:pStyle w:val="TextBody"/>
        <w:bidi w:val="0"/>
        <w:spacing w:before="0" w:after="0"/>
        <w:ind w:left="0" w:right="0" w:firstLine="720"/>
        <w:jc w:val="left"/>
      </w:pPr>
      <w:r>
        <w:rPr>
          <w:rFonts w:ascii="Times New Roman;Times;serif" w:hAnsi="Times New Roman;Times;serif"/>
          <w:sz w:val="20"/>
        </w:rPr>
        <w:t xml:space="preserve">Applied Optoelectronics, Inc. ("AOI" or the "Company") is a Delaware corporation. The Company is a leading, vertically integrated provider of fiber-optic networking products, primarily for </w:t>
      </w:r>
      <w:r>
        <w:rPr>
          <w:rStyle w:val="Emphasis"/>
          <w:rFonts w:ascii="Times New Roman;Times;serif" w:hAnsi="Times New Roman;Times;serif"/>
          <w:sz w:val="20"/>
        </w:rPr>
        <w:t>four</w:t>
      </w:r>
      <w:r>
        <w:rPr>
          <w:rFonts w:ascii="Times New Roman;Times;serif" w:hAnsi="Times New Roman;Times;serif"/>
          <w:sz w:val="20"/>
        </w:rPr>
        <w:t xml:space="preserve"> networking end-markets: internet and AI data centers, cable television ("CATV"), telecommunications ("telecom") and fiber-to-the-home ("FTTH"). The Company designs and manufactures a wide range of optical communications products at varying levels of integration, from components, subassemblies and modules to complete turn-key equipment.</w:t>
      </w:r>
    </w:p>
    <w:p>
      <w:pPr>
        <w:pStyle w:val="TextBody"/>
        <w:bidi w:val="0"/>
        <w:spacing w:before="0" w:after="0"/>
        <w:ind w:left="0" w:right="0" w:firstLine="720"/>
        <w:jc w:val="left"/>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Company has manufacturing and research and development facilities located in the U.S., Taiwan and China. In the U.S., at its corporate headquarters and manufacturing facilities in Sugar Land, Texas, the Company primarily manufactures lasers and laser components as well as certain of its data center transceivers and performs research and development activities for laser component and optical module products and certain data center transceiver products. In addition, the Company has a research and development facility in Duluth, Georgia. The Company operates in Taipei, Taiwan and Ningbo, China through its wholly-owned subsidiary Prime World International Holdings, Ltd. ("Prime World", incorporated in the British Virgin Islands). Prime World operates a branch in Taipei, Taiwan, which primarily manufactures certain of its data center transceivers and certain CATV systems and equipment and performs research and development activities for the transceiver products. Prime World is the parent of Global Technology, Inc. ("Global", incorporated in the People’s Republic of China). Through Global, the Company primarily manufactures certain of its data center transceiver products, including subassemblies, as well as CATV systems and equipment, and performs research and development activities for CATV and certain data center transceiver products.</w:t>
      </w:r>
    </w:p>
    <w:p>
      <w:pPr>
        <w:pStyle w:val="TextBody"/>
        <w:bidi w:val="0"/>
        <w:spacing w:before="0" w:after="0"/>
        <w:ind w:left="0" w:right="0" w:hanging="0"/>
        <w:jc w:val="left"/>
      </w:pPr>
      <w: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Interim Financial Statements</w:t>
      </w:r>
    </w:p>
    <w:p>
      <w:pPr>
        <w:pStyle w:val="TextBody"/>
        <w:bidi w:val="0"/>
        <w:spacing w:before="0" w:after="0"/>
        <w:ind w:left="0" w:right="0" w:hanging="0"/>
        <w:jc w:val="left"/>
      </w:pPr>
      <w:r>
        <w:t>​</w:t>
      </w:r>
    </w:p>
    <w:p>
      <w:pPr>
        <w:pStyle w:val="TextBody"/>
        <w:bidi w:val="0"/>
        <w:spacing w:before="0" w:after="0"/>
        <w:ind w:left="0" w:right="0" w:firstLine="720"/>
        <w:jc w:val="left"/>
      </w:pPr>
      <w:r>
        <w:rPr>
          <w:rFonts w:ascii="Times New Roman;Times;serif" w:hAnsi="Times New Roman;Times;serif"/>
          <w:sz w:val="20"/>
        </w:rPr>
        <w:t>The accompanying unaudited condensed consolidated financial statements of the Company as of </w:t>
      </w:r>
      <w:r>
        <w:rPr>
          <w:rStyle w:val="Emphasis"/>
          <w:rFonts w:ascii="Times New Roman;Times;serif" w:hAnsi="Times New Roman;Times;serif"/>
          <w:sz w:val="20"/>
        </w:rPr>
        <w:t xml:space="preserve"> September 30, 2026</w:t>
      </w:r>
      <w:r>
        <w:rPr>
          <w:rFonts w:ascii="Times New Roman;Times;serif" w:hAnsi="Times New Roman;Times;serif"/>
          <w:sz w:val="20"/>
        </w:rPr>
        <w:t xml:space="preserve"> and </w:t>
      </w:r>
      <w:r>
        <w:rPr>
          <w:rStyle w:val="Emphasis"/>
          <w:rFonts w:ascii="Times New Roman;Times;serif" w:hAnsi="Times New Roman;Times;serif"/>
          <w:sz w:val="20"/>
        </w:rPr>
        <w:t xml:space="preserve"> December 31, 2025</w:t>
      </w:r>
      <w:r>
        <w:rPr>
          <w:rFonts w:ascii="Times New Roman;Times;serif" w:hAnsi="Times New Roman;Times;serif"/>
          <w:sz w:val="20"/>
        </w:rPr>
        <w:t xml:space="preserve"> and for the </w:t>
      </w:r>
      <w:r>
        <w:rPr>
          <w:rStyle w:val="Emphasis"/>
          <w:rFonts w:ascii="Times New Roman;Times;serif" w:hAnsi="Times New Roman;Times;serif"/>
          <w:sz w:val="20"/>
        </w:rPr>
        <w:t>three</w:t>
      </w:r>
      <w:r>
        <w:rPr>
          <w:rFonts w:ascii="Times New Roman;Times;serif" w:hAnsi="Times New Roman;Times;serif"/>
          <w:sz w:val="20"/>
        </w:rPr>
        <w:t xml:space="preserve"> and </w:t>
      </w:r>
      <w:r>
        <w:rPr>
          <w:rStyle w:val="Emphasis"/>
          <w:rFonts w:ascii="Times New Roman;Times;serif" w:hAnsi="Times New Roman;Times;serif"/>
          <w:sz w:val="20"/>
        </w:rPr>
        <w:t>nine</w:t>
      </w:r>
      <w:r>
        <w:rPr>
          <w:rFonts w:ascii="Times New Roman;Times;serif" w:hAnsi="Times New Roman;Times;serif"/>
          <w:sz w:val="20"/>
        </w:rPr>
        <w:t xml:space="preserve"> months ended </w:t>
      </w:r>
      <w:r>
        <w:rPr>
          <w:rStyle w:val="Emphasis"/>
          <w:rFonts w:ascii="Times New Roman;Times;serif" w:hAnsi="Times New Roman;Times;serif"/>
          <w:sz w:val="20"/>
        </w:rPr>
        <w:t>September 30, 2026</w:t>
      </w:r>
      <w:r>
        <w:rPr>
          <w:rFonts w:ascii="Times New Roman;Times;serif" w:hAnsi="Times New Roman;Times;serif"/>
          <w:sz w:val="20"/>
        </w:rPr>
        <w:t xml:space="preserve"> and </w:t>
      </w:r>
      <w:r>
        <w:rPr>
          <w:rStyle w:val="Emphasis"/>
          <w:rFonts w:ascii="Times New Roman;Times;serif" w:hAnsi="Times New Roman;Times;serif"/>
          <w:sz w:val="20"/>
        </w:rPr>
        <w:t>September 30, 2025</w:t>
      </w:r>
      <w:r>
        <w:rPr>
          <w:rFonts w:ascii="Times New Roman;Times;serif" w:hAnsi="Times New Roman;Times;serif"/>
          <w:sz w:val="20"/>
        </w:rPr>
        <w:t xml:space="preserve">, have been prepared in accordance with accounting principles generally accepted in the United States of America ("GAAP") for interim information and with the instructions on Form </w:t>
      </w:r>
      <w:r>
        <w:rPr>
          <w:rStyle w:val="Emphasis"/>
          <w:rFonts w:ascii="Times New Roman;Times;serif" w:hAnsi="Times New Roman;Times;serif"/>
          <w:sz w:val="20"/>
        </w:rPr>
        <w:t>10</w:t>
      </w:r>
      <w:r>
        <w:rPr>
          <w:rFonts w:ascii="Times New Roman;Times;serif" w:hAnsi="Times New Roman;Times;serif"/>
          <w:sz w:val="20"/>
        </w:rPr>
        <w:t xml:space="preserve">-Q and Rule </w:t>
      </w:r>
      <w:r>
        <w:rPr>
          <w:rStyle w:val="Emphasis"/>
          <w:rFonts w:ascii="Times New Roman;Times;serif" w:hAnsi="Times New Roman;Times;serif"/>
          <w:sz w:val="20"/>
        </w:rPr>
        <w:t>10</w:t>
      </w:r>
      <w:r>
        <w:rPr>
          <w:rFonts w:ascii="Times New Roman;Times;serif" w:hAnsi="Times New Roman;Times;serif"/>
          <w:sz w:val="20"/>
        </w:rPr>
        <w:t>-</w:t>
      </w:r>
      <w:r>
        <w:rPr>
          <w:rStyle w:val="Emphasis"/>
          <w:rFonts w:ascii="Times New Roman;Times;serif" w:hAnsi="Times New Roman;Times;serif"/>
          <w:sz w:val="20"/>
        </w:rPr>
        <w:t>01</w:t>
      </w:r>
      <w:r>
        <w:rPr>
          <w:rFonts w:ascii="Times New Roman;Times;serif" w:hAnsi="Times New Roman;Times;serif"/>
          <w:sz w:val="20"/>
        </w:rPr>
        <w:t xml:space="preserve"> of Regulation S-</w:t>
      </w:r>
      <w:r>
        <w:rPr>
          <w:rStyle w:val="Emphasis"/>
          <w:rFonts w:ascii="Times New Roman;Times;serif" w:hAnsi="Times New Roman;Times;serif"/>
          <w:sz w:val="20"/>
        </w:rPr>
        <w:t>X</w:t>
      </w:r>
      <w:r>
        <w:rPr>
          <w:rFonts w:ascii="Times New Roman;Times;serif" w:hAnsi="Times New Roman;Times;serif"/>
          <w:sz w:val="20"/>
        </w:rPr>
        <w:t xml:space="preserve"> pursuant to the rules and regulations of the Securities and Exchange Commission ("SEC"). In accordance with those rules and regulations, the Company has omitted certain information and notes required by GAAP for annual consolidated financial statements. In the opinion of management, the condensed consolidated financial statements contain all adjustments, necessary for the fair statement of the Company’s financial position and results of operations for the periods presented. The year-end condensed balance sheet data was derived from audited financial statements. These condensed consolidated financial statements should be read in conjunction with the Consolidated Financial Statements and Notes thereto included in the Company’s Annual Report on Form </w:t>
      </w:r>
      <w:r>
        <w:rPr>
          <w:rStyle w:val="Emphasis"/>
          <w:rFonts w:ascii="Times New Roman;Times;serif" w:hAnsi="Times New Roman;Times;serif"/>
          <w:sz w:val="20"/>
        </w:rPr>
        <w:t>10</w:t>
      </w:r>
      <w:r>
        <w:rPr>
          <w:rFonts w:ascii="Times New Roman;Times;serif" w:hAnsi="Times New Roman;Times;serif"/>
          <w:sz w:val="20"/>
        </w:rPr>
        <w:t xml:space="preserve">-K ("Annual Report") for the fiscal year ended </w:t>
      </w:r>
      <w:r>
        <w:rPr>
          <w:rStyle w:val="Emphasis"/>
          <w:rFonts w:ascii="Times New Roman;Times;serif" w:hAnsi="Times New Roman;Times;serif"/>
          <w:sz w:val="20"/>
        </w:rPr>
        <w:t>December 31, 2025</w:t>
      </w:r>
      <w:r>
        <w:rPr>
          <w:rFonts w:ascii="Times New Roman;Times;serif" w:hAnsi="Times New Roman;Times;serif"/>
          <w:sz w:val="20"/>
        </w:rPr>
        <w:t>. The results of operations for the </w:t>
      </w:r>
      <w:r>
        <w:rPr>
          <w:rStyle w:val="Emphasis"/>
          <w:rFonts w:ascii="Times New Roman;Times;serif" w:hAnsi="Times New Roman;Times;serif"/>
          <w:sz w:val="20"/>
        </w:rPr>
        <w:t>three</w:t>
      </w:r>
      <w:r>
        <w:rPr>
          <w:rFonts w:ascii="Times New Roman;Times;serif" w:hAnsi="Times New Roman;Times;serif"/>
          <w:sz w:val="20"/>
        </w:rPr>
        <w:t xml:space="preserve"> and </w:t>
      </w:r>
      <w:r>
        <w:rPr>
          <w:rStyle w:val="Emphasis"/>
          <w:rFonts w:ascii="Times New Roman;Times;serif" w:hAnsi="Times New Roman;Times;serif"/>
          <w:sz w:val="20"/>
        </w:rPr>
        <w:t>nine</w:t>
      </w:r>
      <w:r>
        <w:rPr>
          <w:rFonts w:ascii="Times New Roman;Times;serif" w:hAnsi="Times New Roman;Times;serif"/>
          <w:sz w:val="20"/>
        </w:rPr>
        <w:t xml:space="preserve"> months ended </w:t>
      </w:r>
      <w:r>
        <w:rPr>
          <w:rStyle w:val="Emphasis"/>
          <w:rFonts w:ascii="Times New Roman;Times;serif" w:hAnsi="Times New Roman;Times;serif"/>
          <w:sz w:val="20"/>
        </w:rPr>
        <w:t>September 30, 2026</w:t>
      </w:r>
      <w:r>
        <w:rPr>
          <w:rFonts w:ascii="Times New Roman;Times;serif" w:hAnsi="Times New Roman;Times;serif"/>
          <w:sz w:val="20"/>
        </w:rPr>
        <w:t xml:space="preserve"> are </w:t>
      </w:r>
      <w:r>
        <w:rPr>
          <w:rStyle w:val="Emphasis"/>
          <w:rFonts w:ascii="Times New Roman;Times;serif" w:hAnsi="Times New Roman;Times;serif"/>
          <w:sz w:val="20"/>
        </w:rPr>
        <w:t>not</w:t>
      </w:r>
      <w:r>
        <w:rPr>
          <w:rFonts w:ascii="Times New Roman;Times;serif" w:hAnsi="Times New Roman;Times;serif"/>
          <w:sz w:val="20"/>
        </w:rPr>
        <w:t xml:space="preserve"> necessarily indicative of the results expected for the entire fiscal year. All significant inter-company accounts and transactions have been eliminated.</w:t>
      </w:r>
    </w:p>
    <w:p>
      <w:pPr>
        <w:pStyle w:val="TextBody"/>
        <w:bidi w:val="0"/>
        <w:spacing w:before="0" w:after="0"/>
        <w:ind w:left="0" w:right="0" w:firstLine="720"/>
        <w:jc w:val="left"/>
      </w:pPr>
      <w: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Use of Estimates</w:t>
      </w:r>
    </w:p>
    <w:p>
      <w:pPr>
        <w:pStyle w:val="TextBody"/>
        <w:bidi w:val="0"/>
        <w:spacing w:before="0" w:after="0"/>
        <w:ind w:left="0" w:right="0" w:hanging="0"/>
        <w:jc w:val="left"/>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preparation of financial statements in conformity with GAAP requires management to make estimates and assumptions that affect the amounts reported. Actual results could differ materially from those estimates in the consolidated financial statement</w:t>
      </w:r>
      <w:r>
        <w:rPr>
          <w:rFonts w:ascii="Times New Roman;Times;serif" w:hAnsi="Times New Roman;Times;serif"/>
          <w:sz w:val="20"/>
          <w:shd w:fill="FFFFFF" w:val="clear"/>
        </w:rPr>
        <w:t>s and accompanying notes. Significant estimates and assumptions that impact these financial statements and the accompanying notes relate to, among other things, revenue recognition, allowance for credit losses, inventory reserve, valuation of long-lived assets, service and product warranty costs, share-based compensation expense, estimated useful lives of tangible and intangible assets, and taxes.</w:t>
      </w:r>
    </w:p>
    <w:p>
      <w:pPr>
        <w:pStyle w:val="TextBody"/>
        <w:bidi w:val="0"/>
        <w:spacing w:before="0" w:after="0"/>
        <w:ind w:left="0" w:right="0" w:hanging="0"/>
        <w:jc w:val="left"/>
      </w:pPr>
      <w:r>
        <w:t> </w:t>
      </w:r>
    </w:p>
    <w:p>
      <w:pPr>
        <w:pStyle w:val="TextBody"/>
        <w:bidi w:val="0"/>
        <w:spacing w:before="0" w:after="0"/>
        <w:jc w:val="center"/>
      </w:pPr>
      <w:r>
        <w:rPr>
          <w:rStyle w:val="Emphasis"/>
          <w:rFonts w:ascii="Times New Roman" w:hAnsi="Times New Roman"/>
          <w:sz w:val="20"/>
        </w:rPr>
        <w:t>9</w:t>
      </w:r>
      <w:r>
        <w:rPr>
          <w:rFonts w:ascii="Times New Roman" w:hAnsi="Times New Roman"/>
          <w:sz w:val="20"/>
        </w:rPr>
        <w:t xml:space="preserve"> </w:t>
      </w:r>
    </w:p>
    <w:p>
      <w:pPr>
        <w:pStyle w:val="HorizontalLine"/>
        <w:pBdr>
          <w:bottom w:val="double" w:sz="2" w:space="0" w:color="808080"/>
        </w:pBdr>
        <w:bidi w:val="0"/>
        <w:spacing w:before="0" w:after="283"/>
        <w:jc w:val="left"/>
      </w:pPr>
      <w:r/>
    </w:p>
    <w:p>
      <w:pPr>
        <w:pStyle w:val="TextBody"/>
        <w:bidi w:val="0"/>
        <w:spacing w:before="0" w:after="0"/>
        <w:jc w:val="left"/>
      </w:pPr>
      <w:hyperlink w:anchor="toc">
        <w:r>
          <w:rPr>
            <w:rStyle w:val="InternetLink"/>
            <w:rFonts w:ascii="Times New Roman;Times;serif" w:hAnsi="Times New Roman;Times;serif"/>
            <w:sz w:val="20"/>
          </w:rPr>
          <w:t>Table of Contents</w:t>
        </w:r>
      </w:hyperlink>
      <w:r>
        <w:t xml:space="preserve"> </w:t>
      </w:r>
    </w:p>
    <w:p>
      <w:pPr>
        <w:pStyle w:val="TextBody"/>
        <w:bidi w:val="0"/>
        <w:spacing w:before="0" w:after="0"/>
        <w:jc w:val="left"/>
      </w:pPr>
      <w:r>
        <w:t xml:space="preserve">    </w:t>
      </w:r>
    </w:p>
    <w:p>
      <w:pPr>
        <w:pStyle w:val="TextBody"/>
        <w:bidi w:val="0"/>
        <w:spacing w:before="0" w:after="283"/>
        <w:jc w:val="left"/>
      </w:pPr>
      <w:r>
        <w:t xml:space="preserve">  </w:t>
      </w:r>
    </w:p>
    <w:p>
      <w:pPr>
        <w:pStyle w:val="TextBody"/>
        <w:bidi w:val="0"/>
        <w:spacing w:before="0" w:after="0"/>
        <w:ind w:left="0" w:right="0" w:hanging="0"/>
        <w:jc w:val="left"/>
      </w:pPr>
      <w:r>
        <w:rPr>
          <w:rFonts w:ascii="Times New Roman;Times;serif" w:hAnsi="Times New Roman;Times;serif"/>
          <w:b/>
          <w:sz w:val="20"/>
        </w:rPr>
        <w:t xml:space="preserve">Note </w:t>
      </w:r>
      <w:r>
        <w:rPr>
          <w:rStyle w:val="Emphasis"/>
          <w:rFonts w:ascii="Times New Roman;Times;serif" w:hAnsi="Times New Roman;Times;serif"/>
          <w:b/>
          <w:sz w:val="20"/>
        </w:rPr>
        <w:t>2.</w:t>
      </w:r>
      <w:r>
        <w:rPr>
          <w:rFonts w:ascii="Times New Roman;Times;serif" w:hAnsi="Times New Roman;Times;serif"/>
          <w:b/>
          <w:sz w:val="20"/>
        </w:rPr>
        <w:t>  Significant Accounting Policies</w:t>
      </w:r>
    </w:p>
    <w:p>
      <w:pPr>
        <w:pStyle w:val="TextBody"/>
        <w:bidi w:val="0"/>
        <w:spacing w:before="0" w:after="0"/>
        <w:ind w:left="0" w:right="0" w:hanging="0"/>
        <w:jc w:val="left"/>
      </w:pPr>
      <w:r>
        <w:t>​</w:t>
      </w:r>
    </w:p>
    <w:p>
      <w:pPr>
        <w:pStyle w:val="TextBody"/>
        <w:bidi w:val="0"/>
        <w:spacing w:before="0" w:after="0"/>
        <w:ind w:left="0" w:right="0" w:firstLine="720"/>
        <w:jc w:val="left"/>
      </w:pPr>
      <w:r>
        <w:rPr>
          <w:rFonts w:ascii="Times New Roman;Times;serif" w:hAnsi="Times New Roman;Times;serif"/>
          <w:sz w:val="20"/>
        </w:rPr>
        <w:t xml:space="preserve">There have been </w:t>
      </w:r>
      <w:r>
        <w:rPr>
          <w:rStyle w:val="Emphasis"/>
          <w:rFonts w:ascii="Times New Roman;Times;serif" w:hAnsi="Times New Roman;Times;serif"/>
          <w:sz w:val="20"/>
        </w:rPr>
        <w:t>no</w:t>
      </w:r>
      <w:r>
        <w:rPr>
          <w:rFonts w:ascii="Times New Roman;Times;serif" w:hAnsi="Times New Roman;Times;serif"/>
          <w:sz w:val="20"/>
        </w:rPr>
        <w:t xml:space="preserve"> changes in the Company’s significant accounting policies for the </w:t>
      </w:r>
      <w:r>
        <w:rPr>
          <w:rStyle w:val="Emphasis"/>
          <w:rFonts w:ascii="Times New Roman;Times;serif" w:hAnsi="Times New Roman;Times;serif"/>
          <w:sz w:val="20"/>
        </w:rPr>
        <w:t>three</w:t>
      </w:r>
      <w:r>
        <w:rPr>
          <w:rFonts w:ascii="Times New Roman;Times;serif" w:hAnsi="Times New Roman;Times;serif"/>
          <w:sz w:val="20"/>
        </w:rPr>
        <w:t xml:space="preserve"> and </w:t>
      </w:r>
      <w:r>
        <w:rPr>
          <w:rStyle w:val="Emphasis"/>
          <w:rFonts w:ascii="Times New Roman;Times;serif" w:hAnsi="Times New Roman;Times;serif"/>
          <w:sz w:val="20"/>
        </w:rPr>
        <w:t>nine</w:t>
      </w:r>
      <w:r>
        <w:rPr>
          <w:rFonts w:ascii="Times New Roman;Times;serif" w:hAnsi="Times New Roman;Times;serif"/>
          <w:sz w:val="20"/>
        </w:rPr>
        <w:t xml:space="preserve"> months ended </w:t>
      </w:r>
      <w:r>
        <w:rPr>
          <w:rStyle w:val="Emphasis"/>
          <w:rFonts w:ascii="Times New Roman;Times;serif" w:hAnsi="Times New Roman;Times;serif"/>
          <w:sz w:val="20"/>
        </w:rPr>
        <w:t>September 30, 2026</w:t>
      </w:r>
      <w:r>
        <w:rPr>
          <w:rFonts w:ascii="Times New Roman;Times;serif" w:hAnsi="Times New Roman;Times;serif"/>
          <w:sz w:val="20"/>
        </w:rPr>
        <w:t>, as compared to the significant accounting policies described in its </w:t>
      </w:r>
      <w:r>
        <w:rPr>
          <w:rStyle w:val="Emphasis"/>
          <w:rFonts w:ascii="Times New Roman;Times;serif" w:hAnsi="Times New Roman;Times;serif"/>
          <w:sz w:val="20"/>
        </w:rPr>
        <w:t>2025</w:t>
      </w:r>
      <w:r>
        <w:rPr>
          <w:rFonts w:ascii="Times New Roman;Times;serif" w:hAnsi="Times New Roman;Times;serif"/>
          <w:sz w:val="20"/>
        </w:rPr>
        <w:t xml:space="preserve"> Annual Report.</w:t>
      </w:r>
    </w:p>
    <w:p>
      <w:pPr>
        <w:pStyle w:val="TextBody"/>
        <w:bidi w:val="0"/>
        <w:spacing w:before="0" w:after="0"/>
        <w:ind w:left="0" w:right="0" w:hanging="0"/>
        <w:jc w:val="left"/>
      </w:pPr>
      <w: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Recent Accounting Pronouncements Adopted </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firstLine="720"/>
        <w:jc w:val="left"/>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November 2024, </w:t>
      </w:r>
      <w:r>
        <w:rPr>
          <w:rFonts w:ascii="Times New Roman" w:hAnsi="Times New Roman"/>
          <w:caps w:val="false"/>
          <w:smallCaps w:val="false"/>
          <w:sz w:val="20"/>
        </w:rPr>
        <w:t>the Financial Accounting Standard Board ("FASB") issued Accounting Standard update ("ASU") </w:t>
      </w:r>
      <w:r>
        <w:rPr>
          <w:rStyle w:val="Emphasis"/>
          <w:rFonts w:ascii="Times New Roman" w:hAnsi="Times New Roman"/>
          <w:caps w:val="false"/>
          <w:smallCaps w:val="false"/>
          <w:sz w:val="20"/>
        </w:rPr>
        <w:t>2024</w:t>
      </w:r>
      <w:r>
        <w:rPr>
          <w:rFonts w:ascii="Times New Roman" w:hAnsi="Times New Roman"/>
          <w:caps w:val="false"/>
          <w:smallCaps w:val="false"/>
          <w:sz w:val="20"/>
        </w:rPr>
        <w:t>-</w:t>
      </w:r>
      <w:r>
        <w:rPr>
          <w:rStyle w:val="Emphasis"/>
          <w:rFonts w:ascii="Times New Roman" w:hAnsi="Times New Roman"/>
          <w:caps w:val="false"/>
          <w:smallCaps w:val="false"/>
          <w:sz w:val="20"/>
        </w:rPr>
        <w:t>04,</w:t>
      </w:r>
      <w:r>
        <w:rPr>
          <w:rFonts w:ascii="Times New Roman" w:hAnsi="Times New Roman"/>
          <w:caps w:val="false"/>
          <w:smallCaps w:val="false"/>
          <w:sz w:val="20"/>
        </w:rPr>
        <w:t xml:space="preserve"> Debt-Debt with Conversion and Other Options (Subtopic </w:t>
      </w:r>
      <w:r>
        <w:rPr>
          <w:rStyle w:val="Emphasis"/>
          <w:rFonts w:ascii="Times New Roman" w:hAnsi="Times New Roman"/>
          <w:caps w:val="false"/>
          <w:smallCaps w:val="false"/>
          <w:sz w:val="20"/>
        </w:rPr>
        <w:t>470</w:t>
      </w:r>
      <w:r>
        <w:rPr>
          <w:rFonts w:ascii="Times New Roman" w:hAnsi="Times New Roman"/>
          <w:caps w:val="false"/>
          <w:smallCaps w:val="false"/>
          <w:sz w:val="20"/>
        </w:rPr>
        <w:t>-</w:t>
      </w:r>
      <w:r>
        <w:rPr>
          <w:rStyle w:val="Emphasis"/>
          <w:rFonts w:ascii="Times New Roman" w:hAnsi="Times New Roman"/>
          <w:caps w:val="false"/>
          <w:smallCaps w:val="false"/>
          <w:sz w:val="20"/>
        </w:rPr>
        <w:t>20</w:t>
      </w:r>
      <w:r>
        <w:rPr>
          <w:rFonts w:ascii="Times New Roman" w:hAnsi="Times New Roman"/>
          <w:caps w:val="false"/>
          <w:smallCaps w:val="false"/>
          <w:sz w:val="20"/>
        </w:rPr>
        <w:t xml:space="preserve">): Induced Conversions of Convertible Debt Instruments. The amendments clarify the accounting for certain induced conversions of convertible debt instruments. The Company adopted this ASU effective </w:t>
      </w:r>
      <w:r>
        <w:rPr>
          <w:rStyle w:val="Emphasis"/>
          <w:rFonts w:ascii="Times New Roman" w:hAnsi="Times New Roman"/>
          <w:caps w:val="false"/>
          <w:smallCaps w:val="false"/>
          <w:sz w:val="20"/>
        </w:rPr>
        <w:t xml:space="preserve">January 1, 2026.  </w:t>
      </w:r>
      <w:r>
        <w:rPr>
          <w:rFonts w:ascii="Times New Roman" w:hAnsi="Times New Roman"/>
          <w:caps w:val="false"/>
          <w:smallCaps w:val="false"/>
          <w:sz w:val="20"/>
        </w:rPr>
        <w:t xml:space="preserve">The adoption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a material impact on the Company’s consolidated financial statements and related disclosures because the Company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enter into any transactions within the scope of the standard during the period.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pPr>
      <w:r>
        <w:rPr>
          <w:caps w:val="false"/>
          <w:smallCaps w:val="false"/>
        </w:rPr>
        <w:t> </w:t>
      </w: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July 2025, </w:t>
      </w:r>
      <w:r>
        <w:rPr>
          <w:rFonts w:ascii="Times New Roman" w:hAnsi="Times New Roman"/>
          <w:caps w:val="false"/>
          <w:smallCaps w:val="false"/>
          <w:sz w:val="20"/>
        </w:rPr>
        <w:t>the FASB issued ASU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05—Financial</w:t>
      </w:r>
      <w:r>
        <w:rPr>
          <w:rFonts w:ascii="Times New Roman" w:hAnsi="Times New Roman"/>
          <w:caps w:val="false"/>
          <w:smallCaps w:val="false"/>
          <w:sz w:val="20"/>
        </w:rPr>
        <w:t xml:space="preserve"> Instruments—Credit Losses (Topic </w:t>
      </w:r>
      <w:r>
        <w:rPr>
          <w:rStyle w:val="Emphasis"/>
          <w:rFonts w:ascii="Times New Roman" w:hAnsi="Times New Roman"/>
          <w:caps w:val="false"/>
          <w:smallCaps w:val="false"/>
          <w:sz w:val="20"/>
        </w:rPr>
        <w:t>326</w:t>
      </w:r>
      <w:r>
        <w:rPr>
          <w:rFonts w:ascii="Times New Roman" w:hAnsi="Times New Roman"/>
          <w:caps w:val="false"/>
          <w:smallCaps w:val="false"/>
          <w:sz w:val="20"/>
        </w:rPr>
        <w:t xml:space="preserve">): Measurement of Credit Losses for Accounts Receivable and Contract Assets, which added a practical expedient that assumes that current conditions as of the balance sheet date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change for the remaining life of the asset when estimating expected credit losses for current accounts receivable and current contract assets. The guidance is effective for annual periods beginning after </w:t>
      </w:r>
      <w:r>
        <w:rPr>
          <w:rStyle w:val="Emphasis"/>
          <w:rFonts w:ascii="Times New Roman" w:hAnsi="Times New Roman"/>
          <w:caps w:val="false"/>
          <w:smallCaps w:val="false"/>
          <w:sz w:val="20"/>
        </w:rPr>
        <w:t xml:space="preserve">December 15, 2025. </w:t>
      </w:r>
      <w:r>
        <w:rPr>
          <w:rFonts w:ascii="Times New Roman" w:hAnsi="Times New Roman"/>
          <w:caps w:val="false"/>
          <w:smallCaps w:val="false"/>
          <w:sz w:val="20"/>
        </w:rPr>
        <w:t xml:space="preserve">The Company has adopted this ASU and this ASU did </w:t>
      </w:r>
      <w:r>
        <w:rPr>
          <w:rStyle w:val="Emphasis"/>
          <w:rFonts w:ascii="Times New Roman" w:hAnsi="Times New Roman"/>
          <w:caps w:val="false"/>
          <w:smallCaps w:val="false"/>
          <w:sz w:val="20"/>
        </w:rPr>
        <w:t>not</w:t>
      </w:r>
      <w:r>
        <w:rPr>
          <w:rFonts w:ascii="Times New Roman" w:hAnsi="Times New Roman"/>
          <w:caps w:val="false"/>
          <w:smallCaps w:val="false"/>
          <w:sz w:val="20"/>
        </w:rPr>
        <w:t> have a material impact on the Company's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pPr>
      <w:r>
        <w:rPr>
          <w:rFonts w:ascii="Times New Roman;Times;serif" w:hAnsi="Times New Roman;Times;serif"/>
          <w:i/>
          <w:caps w:val="false"/>
          <w:smallCaps w:val="false"/>
          <w:sz w:val="20"/>
        </w:rPr>
        <w:t xml:space="preserve">Recent Accounting Pronouncements </w:t>
      </w:r>
      <w:r>
        <w:rPr>
          <w:rStyle w:val="Emphasis"/>
          <w:rFonts w:ascii="Times New Roman;Times;serif" w:hAnsi="Times New Roman;Times;serif"/>
          <w:i/>
          <w:caps w:val="false"/>
          <w:smallCaps w:val="false"/>
          <w:sz w:val="20"/>
        </w:rPr>
        <w:t>Not</w:t>
      </w:r>
      <w:r>
        <w:rPr>
          <w:rFonts w:ascii="Times New Roman;Times;serif" w:hAnsi="Times New Roman;Times;serif"/>
          <w:i/>
          <w:caps w:val="false"/>
          <w:smallCaps w:val="false"/>
          <w:sz w:val="20"/>
        </w:rPr>
        <w:t xml:space="preserve"> Yet Adopted</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firstLine="720"/>
        <w:jc w:val="left"/>
      </w:pPr>
      <w:r>
        <w:rPr>
          <w:sz w:val="20"/>
          <w:shd w:fill="FFFFFF" w:val="clear"/>
        </w:rPr>
        <w:t>In </w:t>
      </w:r>
      <w:r>
        <w:rPr>
          <w:rStyle w:val="Emphasis"/>
          <w:sz w:val="20"/>
          <w:shd w:fill="FFFFFF" w:val="clear"/>
        </w:rPr>
        <w:t xml:space="preserve"> November 2024, </w:t>
      </w:r>
      <w:r>
        <w:rPr>
          <w:sz w:val="20"/>
          <w:shd w:fill="FFFFFF" w:val="clear"/>
        </w:rPr>
        <w:t>the FASB issued ASU </w:t>
      </w:r>
      <w:r>
        <w:rPr>
          <w:rStyle w:val="Emphasis"/>
          <w:sz w:val="20"/>
          <w:shd w:fill="FFFFFF" w:val="clear"/>
        </w:rPr>
        <w:t>2024</w:t>
      </w:r>
      <w:r>
        <w:rPr>
          <w:sz w:val="20"/>
          <w:shd w:fill="FFFFFF" w:val="clear"/>
        </w:rPr>
        <w:t>-</w:t>
      </w:r>
      <w:r>
        <w:rPr>
          <w:rStyle w:val="Emphasis"/>
          <w:sz w:val="20"/>
          <w:shd w:fill="FFFFFF" w:val="clear"/>
        </w:rPr>
        <w:t>03</w:t>
      </w:r>
      <w:r>
        <w:rPr>
          <w:sz w:val="20"/>
          <w:shd w:fill="FFFFFF" w:val="clear"/>
        </w:rPr>
        <w:t> "Income Statement: Reporting Comprehensive Income/Expense Disaggregation Disclosures (Subtopic </w:t>
      </w:r>
      <w:r>
        <w:rPr>
          <w:rStyle w:val="Emphasis"/>
          <w:sz w:val="20"/>
          <w:shd w:fill="FFFFFF" w:val="clear"/>
        </w:rPr>
        <w:t>220</w:t>
      </w:r>
      <w:r>
        <w:rPr>
          <w:sz w:val="20"/>
          <w:shd w:fill="FFFFFF" w:val="clear"/>
        </w:rPr>
        <w:t>-</w:t>
      </w:r>
      <w:r>
        <w:rPr>
          <w:rStyle w:val="Emphasis"/>
          <w:sz w:val="20"/>
          <w:shd w:fill="FFFFFF" w:val="clear"/>
        </w:rPr>
        <w:t>40</w:t>
      </w:r>
      <w:r>
        <w:rPr>
          <w:sz w:val="20"/>
          <w:shd w:fill="FFFFFF" w:val="clear"/>
        </w:rPr>
        <w:t>)" to improve the disclosures about an entity's expenses. Upon adoption, the Company will be required to disclose in the notes a disaggregation of certain expense categories included within the expense captions of the income statement. The standard is effective for the Company's </w:t>
      </w:r>
      <w:r>
        <w:rPr>
          <w:rStyle w:val="Emphasis"/>
          <w:sz w:val="20"/>
          <w:shd w:fill="FFFFFF" w:val="clear"/>
        </w:rPr>
        <w:t>2027</w:t>
      </w:r>
      <w:r>
        <w:rPr>
          <w:sz w:val="20"/>
          <w:shd w:fill="FFFFFF" w:val="clear"/>
        </w:rPr>
        <w:t> annual period, and its interim periods beginning in </w:t>
      </w:r>
      <w:r>
        <w:rPr>
          <w:rStyle w:val="Emphasis"/>
          <w:sz w:val="20"/>
          <w:shd w:fill="FFFFFF" w:val="clear"/>
        </w:rPr>
        <w:t>2028.</w:t>
      </w:r>
      <w:r>
        <w:rPr>
          <w:sz w:val="20"/>
          <w:shd w:fill="FFFFFF" w:val="clear"/>
        </w:rPr>
        <w:t> The Company is currently evaluating the impact the new standard will have on its annual financial statements and related disclosures.</w:t>
      </w:r>
      <w:r>
        <w:rPr>
          <w:sz w:val="20"/>
        </w:rPr>
        <w:t xml:space="preserve"> </w:t>
      </w:r>
    </w:p>
    <w:p>
      <w:pPr>
        <w:pStyle w:val="TextBody"/>
        <w:bidi w:val="0"/>
        <w:spacing w:before="0" w:after="0"/>
        <w:ind w:left="0" w:right="0" w:firstLine="720"/>
        <w:jc w:val="left"/>
      </w:pPr>
      <w:r>
        <w:t xml:space="preserve">  </w:t>
      </w:r>
    </w:p>
    <w:p>
      <w:pPr>
        <w:pStyle w:val="TextBody"/>
        <w:bidi w:val="0"/>
        <w:spacing w:before="0" w:after="0"/>
        <w:ind w:left="0" w:right="0" w:firstLine="720"/>
        <w:jc w:val="left"/>
      </w:pPr>
      <w:r>
        <w:rPr>
          <w:sz w:val="20"/>
          <w:shd w:fill="FFFFFF" w:val="clear"/>
        </w:rPr>
        <w:t xml:space="preserve">In </w:t>
      </w:r>
      <w:r>
        <w:rPr>
          <w:rStyle w:val="Emphasis"/>
          <w:sz w:val="20"/>
          <w:shd w:fill="FFFFFF" w:val="clear"/>
        </w:rPr>
        <w:t xml:space="preserve">May 2025, </w:t>
      </w:r>
      <w:r>
        <w:rPr>
          <w:sz w:val="20"/>
        </w:rPr>
        <w:t xml:space="preserve">the FASB issued ASU  </w:t>
      </w:r>
      <w:r>
        <w:rPr>
          <w:rStyle w:val="Emphasis"/>
          <w:sz w:val="20"/>
          <w:shd w:fill="FFFFFF" w:val="clear"/>
        </w:rPr>
        <w:t>2025</w:t>
      </w:r>
      <w:r>
        <w:rPr>
          <w:sz w:val="20"/>
          <w:shd w:fill="FFFFFF" w:val="clear"/>
        </w:rPr>
        <w:t>-</w:t>
      </w:r>
      <w:r>
        <w:rPr>
          <w:rStyle w:val="Emphasis"/>
          <w:sz w:val="20"/>
          <w:shd w:fill="FFFFFF" w:val="clear"/>
        </w:rPr>
        <w:t>04</w:t>
      </w:r>
      <w:r>
        <w:rPr>
          <w:sz w:val="20"/>
          <w:shd w:fill="FFFFFF" w:val="clear"/>
        </w:rPr>
        <w:t xml:space="preserve"> "Share-Based Consideration Payable to a Customer". The standard is effective for the Company's </w:t>
      </w:r>
      <w:r>
        <w:rPr>
          <w:rStyle w:val="Emphasis"/>
          <w:sz w:val="20"/>
          <w:shd w:fill="FFFFFF" w:val="clear"/>
        </w:rPr>
        <w:t>2026</w:t>
      </w:r>
      <w:r>
        <w:rPr>
          <w:sz w:val="20"/>
          <w:shd w:fill="FFFFFF" w:val="clear"/>
        </w:rPr>
        <w:t xml:space="preserve"> annual period, and its interim periods beginning in </w:t>
      </w:r>
      <w:r>
        <w:rPr>
          <w:rStyle w:val="Emphasis"/>
          <w:sz w:val="20"/>
          <w:shd w:fill="FFFFFF" w:val="clear"/>
        </w:rPr>
        <w:t>2027.</w:t>
      </w:r>
      <w:r>
        <w:rPr>
          <w:sz w:val="20"/>
          <w:shd w:fill="FFFFFF" w:val="clear"/>
        </w:rPr>
        <w:t xml:space="preserve"> The Company is currently evaluating the impact of this ASU on its annual financial statements and related disclosures. </w:t>
      </w:r>
      <w:r>
        <w:rPr>
          <w:sz w:val="20"/>
        </w:rPr>
        <w:t xml:space="preserve"> </w:t>
      </w:r>
    </w:p>
    <w:p>
      <w:pPr>
        <w:pStyle w:val="TextBody"/>
        <w:bidi w:val="0"/>
        <w:spacing w:before="0" w:after="0"/>
        <w:ind w:left="0" w:right="0" w:firstLine="720"/>
        <w:jc w:val="left"/>
      </w:pPr>
      <w:r>
        <w:t xml:space="preserve">  </w:t>
      </w:r>
    </w:p>
    <w:p>
      <w:pPr>
        <w:pStyle w:val="TextBody"/>
        <w:bidi w:val="0"/>
        <w:spacing w:before="0" w:after="0"/>
        <w:ind w:left="0" w:right="0" w:firstLine="720"/>
        <w:jc w:val="left"/>
      </w:pPr>
      <w:r>
        <w:rPr>
          <w:sz w:val="20"/>
        </w:rPr>
        <w:t xml:space="preserve">In </w:t>
      </w:r>
      <w:r>
        <w:rPr>
          <w:rStyle w:val="Emphasis"/>
          <w:sz w:val="20"/>
        </w:rPr>
        <w:t xml:space="preserve">September 2025, </w:t>
      </w:r>
      <w:r>
        <w:rPr>
          <w:sz w:val="20"/>
        </w:rPr>
        <w:t xml:space="preserve">the FASB issued ASU </w:t>
      </w:r>
      <w:r>
        <w:rPr>
          <w:rStyle w:val="Emphasis"/>
          <w:sz w:val="20"/>
        </w:rPr>
        <w:t>2025</w:t>
      </w:r>
      <w:r>
        <w:rPr>
          <w:sz w:val="20"/>
        </w:rPr>
        <w:t xml:space="preserve">- </w:t>
      </w:r>
      <w:r>
        <w:rPr>
          <w:rStyle w:val="Emphasis"/>
          <w:sz w:val="20"/>
        </w:rPr>
        <w:t>06—Intangibles—Goodwill</w:t>
      </w:r>
      <w:r>
        <w:rPr>
          <w:sz w:val="20"/>
        </w:rPr>
        <w:t xml:space="preserve"> and Other—Internal-Use Software (Subtopic </w:t>
      </w:r>
      <w:r>
        <w:rPr>
          <w:rStyle w:val="Emphasis"/>
          <w:sz w:val="20"/>
        </w:rPr>
        <w:t>350</w:t>
      </w:r>
      <w:r>
        <w:rPr>
          <w:sz w:val="20"/>
        </w:rPr>
        <w:t xml:space="preserve">- </w:t>
      </w:r>
      <w:r>
        <w:rPr>
          <w:rStyle w:val="Emphasis"/>
          <w:sz w:val="20"/>
        </w:rPr>
        <w:t>40</w:t>
      </w:r>
      <w:r>
        <w:rPr>
          <w:sz w:val="20"/>
        </w:rPr>
        <w:t xml:space="preserve">): Targeted Improvements to the Accounting for Internal-Use Software, which removed the language around project stages that was used to assess when costs could be capitalized for an internal-use software. The update also requires internal-use software to be disclosed under the ASC </w:t>
      </w:r>
      <w:r>
        <w:rPr>
          <w:rStyle w:val="Emphasis"/>
          <w:sz w:val="20"/>
        </w:rPr>
        <w:t>360</w:t>
      </w:r>
      <w:r>
        <w:rPr>
          <w:sz w:val="20"/>
        </w:rPr>
        <w:t xml:space="preserve"> Property, Plant, and Equipment guidance. The guidance is effective for annual periods beginning after </w:t>
      </w:r>
      <w:r>
        <w:rPr>
          <w:rStyle w:val="Emphasis"/>
          <w:sz w:val="20"/>
        </w:rPr>
        <w:t xml:space="preserve">December 15, 2027. </w:t>
      </w:r>
      <w:r>
        <w:rPr>
          <w:sz w:val="20"/>
        </w:rPr>
        <w:t xml:space="preserve">The Company is currently assessing the impact of this ASU on the Company’s accounting policies and the financial statements. </w:t>
      </w:r>
    </w:p>
    <w:p>
      <w:pPr>
        <w:pStyle w:val="TextBody"/>
        <w:bidi w:val="0"/>
        <w:spacing w:before="0" w:after="283"/>
        <w:jc w:val="left"/>
      </w:pPr>
      <w:r>
        <w:t xml:space="preserve">  </w:t>
      </w:r>
    </w:p>
    <w:p>
      <w:pPr>
        <w:pStyle w:val="TextBody"/>
        <w:bidi w:val="0"/>
        <w:spacing w:before="0" w:after="0"/>
        <w:ind w:left="0" w:right="0" w:firstLine="180"/>
        <w:jc w:val="left"/>
      </w:pPr>
      <w:r>
        <w:rPr>
          <w:caps w:val="false"/>
          <w:smallCaps w:val="false"/>
        </w:rPr>
        <w:t>           </w:t>
      </w:r>
      <w:r>
        <w:rPr>
          <w:rFonts w:ascii="Times New Roman" w:hAnsi="Times New Roman"/>
          <w:caps w:val="false"/>
          <w:smallCaps w:val="false"/>
          <w:sz w:val="20"/>
        </w:rPr>
        <w:t>In </w:t>
      </w:r>
      <w:r>
        <w:rPr>
          <w:rStyle w:val="Emphasis"/>
          <w:rFonts w:ascii="Times New Roman" w:hAnsi="Times New Roman"/>
          <w:caps w:val="false"/>
          <w:smallCaps w:val="false"/>
          <w:sz w:val="20"/>
        </w:rPr>
        <w:t xml:space="preserve"> December 2025, </w:t>
      </w:r>
      <w:r>
        <w:rPr>
          <w:rFonts w:ascii="Times New Roman" w:hAnsi="Times New Roman"/>
          <w:caps w:val="false"/>
          <w:smallCaps w:val="false"/>
          <w:sz w:val="20"/>
        </w:rPr>
        <w:t>the FASB issued ASU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Government Grants (Topic </w:t>
      </w:r>
      <w:r>
        <w:rPr>
          <w:rStyle w:val="Emphasis"/>
          <w:rFonts w:ascii="Times New Roman" w:hAnsi="Times New Roman"/>
          <w:caps w:val="false"/>
          <w:smallCaps w:val="false"/>
          <w:sz w:val="20"/>
        </w:rPr>
        <w:t>832</w:t>
      </w:r>
      <w:r>
        <w:rPr>
          <w:rFonts w:ascii="Times New Roman" w:hAnsi="Times New Roman"/>
          <w:caps w:val="false"/>
          <w:smallCaps w:val="false"/>
          <w:sz w:val="20"/>
        </w:rPr>
        <w:t>), to establish the accounting for a government grant received by a business entity including guidance for (</w:t>
      </w:r>
      <w:r>
        <w:rPr>
          <w:rStyle w:val="Emphasis"/>
          <w:rFonts w:ascii="Times New Roman" w:hAnsi="Times New Roman"/>
          <w:caps w:val="false"/>
          <w:smallCaps w:val="false"/>
          <w:sz w:val="20"/>
        </w:rPr>
        <w:t>1</w:t>
      </w:r>
      <w:r>
        <w:rPr>
          <w:rFonts w:ascii="Times New Roman" w:hAnsi="Times New Roman"/>
          <w:caps w:val="false"/>
          <w:smallCaps w:val="false"/>
          <w:sz w:val="20"/>
        </w:rPr>
        <w:t>) a grant related to an asset and (</w:t>
      </w:r>
      <w:r>
        <w:rPr>
          <w:rStyle w:val="Emphasis"/>
          <w:rFonts w:ascii="Times New Roman" w:hAnsi="Times New Roman"/>
          <w:caps w:val="false"/>
          <w:smallCaps w:val="false"/>
          <w:sz w:val="20"/>
        </w:rPr>
        <w:t>2</w:t>
      </w:r>
      <w:r>
        <w:rPr>
          <w:rFonts w:ascii="Times New Roman" w:hAnsi="Times New Roman"/>
          <w:caps w:val="false"/>
          <w:smallCaps w:val="false"/>
          <w:sz w:val="20"/>
        </w:rPr>
        <w:t>) a grant related to income. For public business entities, the provisions of ASU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10</w:t>
      </w:r>
      <w:r>
        <w:rPr>
          <w:rFonts w:ascii="Times New Roman" w:hAnsi="Times New Roman"/>
          <w:caps w:val="false"/>
          <w:smallCaps w:val="false"/>
          <w:sz w:val="20"/>
        </w:rPr>
        <w:t> are effective for fiscal years beginning after </w:t>
      </w:r>
      <w:r>
        <w:rPr>
          <w:rStyle w:val="Emphasis"/>
          <w:rFonts w:ascii="Times New Roman" w:hAnsi="Times New Roman"/>
          <w:caps w:val="false"/>
          <w:smallCaps w:val="false"/>
          <w:sz w:val="20"/>
        </w:rPr>
        <w:t xml:space="preserve"> December 15, 2028. </w:t>
      </w:r>
      <w:r>
        <w:rPr>
          <w:rFonts w:ascii="Times New Roman" w:hAnsi="Times New Roman"/>
          <w:caps w:val="false"/>
          <w:smallCaps w:val="false"/>
          <w:sz w:val="20"/>
        </w:rPr>
        <w:t xml:space="preserve">Early adoption is permitted. The Company is currently evaluating the requirements under this new standard, which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have a material impact on the timing of recognition and presentation of grants received on the Company's results of operations or financial condition.</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firstLine="720"/>
        <w:jc w:val="left"/>
      </w:pPr>
      <w:r>
        <w:rPr>
          <w:rFonts w:ascii="Times New Roman" w:hAnsi="Times New Roman"/>
          <w:caps w:val="false"/>
          <w:smallCaps w:val="false"/>
          <w:sz w:val="20"/>
        </w:rPr>
        <w:t>In </w:t>
      </w:r>
      <w:r>
        <w:rPr>
          <w:rStyle w:val="Emphasis"/>
          <w:rFonts w:ascii="Times New Roman" w:hAnsi="Times New Roman"/>
          <w:caps w:val="false"/>
          <w:smallCaps w:val="false"/>
          <w:sz w:val="20"/>
        </w:rPr>
        <w:t xml:space="preserve"> December 2025, </w:t>
      </w:r>
      <w:r>
        <w:rPr>
          <w:rFonts w:ascii="Times New Roman" w:hAnsi="Times New Roman"/>
          <w:caps w:val="false"/>
          <w:smallCaps w:val="false"/>
          <w:sz w:val="20"/>
        </w:rPr>
        <w:t>the FASB issued ASU </w:t>
      </w:r>
      <w:r>
        <w:rPr>
          <w:rStyle w:val="Emphasis"/>
          <w:rFonts w:ascii="Times New Roman" w:hAnsi="Times New Roman"/>
          <w:caps w:val="false"/>
          <w:smallCaps w:val="false"/>
          <w:sz w:val="20"/>
        </w:rPr>
        <w:t>No.</w:t>
      </w:r>
      <w:r>
        <w:rPr>
          <w:rFonts w:ascii="Times New Roman" w:hAnsi="Times New Roman"/>
          <w:caps w:val="false"/>
          <w:smallCaps w:val="false"/>
          <w:sz w:val="20"/>
        </w:rPr>
        <w:t>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11,</w:t>
      </w:r>
      <w:r>
        <w:rPr>
          <w:rFonts w:ascii="Times New Roman" w:hAnsi="Times New Roman"/>
          <w:caps w:val="false"/>
          <w:smallCaps w:val="false"/>
          <w:sz w:val="20"/>
        </w:rPr>
        <w:t> Interim Reporting (Topic </w:t>
      </w:r>
      <w:r>
        <w:rPr>
          <w:rStyle w:val="Emphasis"/>
          <w:rFonts w:ascii="Times New Roman" w:hAnsi="Times New Roman"/>
          <w:caps w:val="false"/>
          <w:smallCaps w:val="false"/>
          <w:sz w:val="20"/>
        </w:rPr>
        <w:t>270</w:t>
      </w:r>
      <w:r>
        <w:rPr>
          <w:rFonts w:ascii="Times New Roman" w:hAnsi="Times New Roman"/>
          <w:caps w:val="false"/>
          <w:smallCaps w:val="false"/>
          <w:sz w:val="20"/>
        </w:rPr>
        <w:t>): Narrow-Scope Improvements. The ASU clarifies interim disclosure requirements and the applicability of Topic </w:t>
      </w:r>
      <w:r>
        <w:rPr>
          <w:rStyle w:val="Emphasis"/>
          <w:rFonts w:ascii="Times New Roman" w:hAnsi="Times New Roman"/>
          <w:caps w:val="false"/>
          <w:smallCaps w:val="false"/>
          <w:sz w:val="20"/>
        </w:rPr>
        <w:t>270.</w:t>
      </w:r>
      <w:r>
        <w:rPr>
          <w:rFonts w:ascii="Times New Roman" w:hAnsi="Times New Roman"/>
          <w:caps w:val="false"/>
          <w:smallCaps w:val="false"/>
          <w:sz w:val="20"/>
        </w:rPr>
        <w:t> The objective of the amendments is to provide further clarity about the current interim disclosure requirements. The ASU is effective for interim reporting periods within annual reporting periods beginning after </w:t>
      </w:r>
      <w:r>
        <w:rPr>
          <w:rStyle w:val="Emphasis"/>
          <w:rFonts w:ascii="Times New Roman" w:hAnsi="Times New Roman"/>
          <w:caps w:val="false"/>
          <w:smallCaps w:val="false"/>
          <w:sz w:val="20"/>
        </w:rPr>
        <w:t xml:space="preserve"> December 15, 2027. </w:t>
      </w:r>
      <w:r>
        <w:rPr>
          <w:rFonts w:ascii="Times New Roman" w:hAnsi="Times New Roman"/>
          <w:caps w:val="false"/>
          <w:smallCaps w:val="false"/>
          <w:sz w:val="20"/>
        </w:rPr>
        <w:t>Adoption of this ASU can be applied as either a prospective or a retrospective approach. Early adoption is permitted. The Company</w:t>
      </w:r>
      <w:r>
        <w:rPr>
          <w:rFonts w:cs="Times New Roman"/>
          <w:caps w:val="false"/>
          <w:smallCaps w:val="false"/>
          <w:szCs w:val="20"/>
        </w:rPr>
        <w:t xml:space="preserve">﻿ </w:t>
      </w:r>
      <w:r>
        <w:rPr>
          <w:rFonts w:ascii="Times New Roman" w:hAnsi="Times New Roman"/>
          <w:caps w:val="false"/>
          <w:smallCaps w:val="false"/>
          <w:sz w:val="20"/>
        </w:rPr>
        <w:t>is currently evaluating the provisions of this ASU and does </w:t>
      </w:r>
      <w:r>
        <w:rPr>
          <w:rStyle w:val="Emphasis"/>
          <w:rFonts w:ascii="Times New Roman" w:hAnsi="Times New Roman"/>
          <w:caps w:val="false"/>
          <w:smallCaps w:val="false"/>
          <w:sz w:val="20"/>
        </w:rPr>
        <w:t>not</w:t>
      </w:r>
      <w:r>
        <w:rPr>
          <w:rFonts w:ascii="Times New Roman" w:hAnsi="Times New Roman"/>
          <w:caps w:val="false"/>
          <w:smallCaps w:val="false"/>
          <w:sz w:val="20"/>
        </w:rPr>
        <w:t> expect this ASU to have a material impact on its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pPr>
      <w:r>
        <w:rPr>
          <w:caps w:val="false"/>
          <w:smallCaps w:val="false"/>
        </w:rPr>
        <w:t>              </w:t>
      </w:r>
      <w:r>
        <w:rPr>
          <w:rFonts w:ascii="Times New Roman" w:hAnsi="Times New Roman"/>
          <w:caps w:val="false"/>
          <w:smallCaps w:val="false"/>
          <w:sz w:val="20"/>
        </w:rPr>
        <w:t>In </w:t>
      </w:r>
      <w:r>
        <w:rPr>
          <w:rStyle w:val="Emphasis"/>
          <w:rFonts w:ascii="Times New Roman" w:hAnsi="Times New Roman"/>
          <w:caps w:val="false"/>
          <w:smallCaps w:val="false"/>
          <w:sz w:val="20"/>
        </w:rPr>
        <w:t xml:space="preserve"> December 2025, </w:t>
      </w:r>
      <w:r>
        <w:rPr>
          <w:rFonts w:ascii="Times New Roman" w:hAnsi="Times New Roman"/>
          <w:caps w:val="false"/>
          <w:smallCaps w:val="false"/>
          <w:sz w:val="20"/>
        </w:rPr>
        <w:t>the FASB issued ASU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12,</w:t>
      </w:r>
      <w:r>
        <w:rPr>
          <w:rFonts w:ascii="Times New Roman" w:hAnsi="Times New Roman"/>
          <w:caps w:val="false"/>
          <w:smallCaps w:val="false"/>
          <w:sz w:val="20"/>
        </w:rPr>
        <w:t> Codification Improvements. The ASU addresses </w:t>
      </w:r>
      <w:r>
        <w:rPr>
          <w:rStyle w:val="Emphasis"/>
          <w:rFonts w:ascii="Times New Roman" w:hAnsi="Times New Roman"/>
          <w:caps w:val="false"/>
          <w:smallCaps w:val="false"/>
          <w:sz w:val="20"/>
        </w:rPr>
        <w:t>thirty-three</w:t>
      </w:r>
      <w:r>
        <w:rPr>
          <w:rFonts w:ascii="Times New Roman" w:hAnsi="Times New Roman"/>
          <w:caps w:val="false"/>
          <w:smallCaps w:val="false"/>
          <w:sz w:val="20"/>
        </w:rPr>
        <w:t> items, representing the changes to the Codification that (</w:t>
      </w:r>
      <w:r>
        <w:rPr>
          <w:rStyle w:val="Emphasis"/>
          <w:rFonts w:ascii="Times New Roman" w:hAnsi="Times New Roman"/>
          <w:caps w:val="false"/>
          <w:smallCaps w:val="false"/>
          <w:sz w:val="20"/>
        </w:rPr>
        <w:t>1</w:t>
      </w:r>
      <w:r>
        <w:rPr>
          <w:rFonts w:ascii="Times New Roman" w:hAnsi="Times New Roman"/>
          <w:caps w:val="false"/>
          <w:smallCaps w:val="false"/>
          <w:sz w:val="20"/>
        </w:rPr>
        <w:t>) clarify, (</w:t>
      </w:r>
      <w:r>
        <w:rPr>
          <w:rStyle w:val="Emphasis"/>
          <w:rFonts w:ascii="Times New Roman" w:hAnsi="Times New Roman"/>
          <w:caps w:val="false"/>
          <w:smallCaps w:val="false"/>
          <w:sz w:val="20"/>
        </w:rPr>
        <w:t>2</w:t>
      </w:r>
      <w:r>
        <w:rPr>
          <w:rFonts w:ascii="Times New Roman" w:hAnsi="Times New Roman"/>
          <w:caps w:val="false"/>
          <w:smallCaps w:val="false"/>
          <w:sz w:val="20"/>
        </w:rPr>
        <w:t>) correct errors, or (</w:t>
      </w:r>
      <w:r>
        <w:rPr>
          <w:rStyle w:val="Emphasis"/>
          <w:rFonts w:ascii="Times New Roman" w:hAnsi="Times New Roman"/>
          <w:caps w:val="false"/>
          <w:smallCaps w:val="false"/>
          <w:sz w:val="20"/>
        </w:rPr>
        <w:t>3</w:t>
      </w:r>
      <w:r>
        <w:rPr>
          <w:rFonts w:ascii="Times New Roman" w:hAnsi="Times New Roman"/>
          <w:caps w:val="false"/>
          <w:smallCaps w:val="false"/>
          <w:sz w:val="20"/>
        </w:rPr>
        <w:t>) make minor improvements. Generally, the amendments in this update are </w:t>
      </w:r>
      <w:r>
        <w:rPr>
          <w:rStyle w:val="Emphasis"/>
          <w:rFonts w:ascii="Times New Roman" w:hAnsi="Times New Roman"/>
          <w:caps w:val="false"/>
          <w:smallCaps w:val="false"/>
          <w:sz w:val="20"/>
        </w:rPr>
        <w:t>not</w:t>
      </w:r>
      <w:r>
        <w:rPr>
          <w:rFonts w:ascii="Times New Roman" w:hAnsi="Times New Roman"/>
          <w:caps w:val="false"/>
          <w:smallCaps w:val="false"/>
          <w:sz w:val="20"/>
        </w:rPr>
        <w:t> intended to result in significant changes for most entities. The ASU is effective for interim reporting periods within annual reporting periods beginning after </w:t>
      </w:r>
      <w:r>
        <w:rPr>
          <w:rStyle w:val="Emphasis"/>
          <w:rFonts w:ascii="Times New Roman" w:hAnsi="Times New Roman"/>
          <w:caps w:val="false"/>
          <w:smallCaps w:val="false"/>
          <w:sz w:val="20"/>
        </w:rPr>
        <w:t xml:space="preserve"> December 15, 2026. </w:t>
      </w:r>
      <w:r>
        <w:rPr>
          <w:rFonts w:ascii="Times New Roman" w:hAnsi="Times New Roman"/>
          <w:caps w:val="false"/>
          <w:smallCaps w:val="false"/>
          <w:sz w:val="20"/>
        </w:rPr>
        <w:t>The adoption method of this ASU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 xml:space="preserve">vary, on an issue-by-issue basis. Early adoption is permitted. The Company </w:t>
      </w:r>
      <w:r>
        <w:rPr>
          <w:rFonts w:cs="Times New Roman"/>
          <w:caps w:val="false"/>
          <w:smallCaps w:val="false"/>
          <w:szCs w:val="20"/>
        </w:rPr>
        <w:t>﻿</w:t>
      </w:r>
      <w:r>
        <w:rPr>
          <w:rFonts w:ascii="Times New Roman" w:hAnsi="Times New Roman"/>
          <w:caps w:val="false"/>
          <w:smallCaps w:val="false"/>
          <w:sz w:val="20"/>
        </w:rPr>
        <w:t>is currently evaluating the provisions of this ASU and does </w:t>
      </w:r>
      <w:r>
        <w:rPr>
          <w:rStyle w:val="Emphasis"/>
          <w:rFonts w:ascii="Times New Roman" w:hAnsi="Times New Roman"/>
          <w:caps w:val="false"/>
          <w:smallCaps w:val="false"/>
          <w:sz w:val="20"/>
        </w:rPr>
        <w:t>not</w:t>
      </w:r>
      <w:r>
        <w:rPr>
          <w:rFonts w:ascii="Times New Roman" w:hAnsi="Times New Roman"/>
          <w:caps w:val="false"/>
          <w:smallCaps w:val="false"/>
          <w:sz w:val="20"/>
        </w:rPr>
        <w:t> expect this ASU to have a material impact on its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pPr>
      <w:r>
        <w:rPr>
          <w:caps w:val="false"/>
          <w:smallCaps w:val="false"/>
        </w:rPr>
        <w:t xml:space="preserve">          </w:t>
      </w:r>
      <w:r>
        <w:rPr>
          <w:rFonts w:ascii="Times New Roman" w:hAnsi="Times New Roman"/>
          <w:caps w:val="false"/>
          <w:smallCaps w:val="false"/>
          <w:sz w:val="20"/>
        </w:rPr>
        <w:t>There have been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other recent accounting pronouncements or changes in accounting pronouncements during the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quarter of </w:t>
      </w:r>
      <w:r>
        <w:rPr>
          <w:rStyle w:val="Emphasis"/>
          <w:rFonts w:ascii="Times New Roman" w:hAnsi="Times New Roman"/>
          <w:caps w:val="false"/>
          <w:smallCaps w:val="false"/>
          <w:sz w:val="20"/>
        </w:rPr>
        <w:t>2026</w:t>
      </w:r>
      <w:r>
        <w:rPr>
          <w:rFonts w:ascii="Times New Roman" w:hAnsi="Times New Roman"/>
          <w:caps w:val="false"/>
          <w:smallCaps w:val="false"/>
          <w:sz w:val="20"/>
        </w:rPr>
        <w:t> that are of significance or potential significance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pPr>
      <w:r>
        <w:rPr>
          <w:rStyle w:val="Emphasis"/>
          <w:rFonts w:ascii="Times New Roman" w:hAnsi="Times New Roman"/>
          <w:sz w:val="20"/>
        </w:rPr>
        <w:t>10</w:t>
      </w:r>
      <w:r>
        <w:rPr>
          <w:rFonts w:ascii="Times New Roman" w:hAnsi="Times New Roman"/>
          <w:sz w:val="20"/>
        </w:rPr>
        <w:t xml:space="preserve"> </w:t>
      </w:r>
    </w:p>
    <w:p>
      <w:pPr>
        <w:pStyle w:val="HorizontalLine"/>
        <w:pBdr>
          <w:bottom w:val="double" w:sz="2" w:space="0" w:color="808080"/>
        </w:pBdr>
        <w:bidi w:val="0"/>
        <w:spacing w:before="0" w:after="283"/>
        <w:jc w:val="left"/>
      </w:pPr>
      <w:r/>
    </w:p>
    <w:p>
      <w:pPr>
        <w:pStyle w:val="TextBody"/>
        <w:bidi w:val="0"/>
        <w:spacing w:before="0" w:after="0"/>
        <w:jc w:val="left"/>
      </w:pPr>
      <w:hyperlink w:anchor="toc">
        <w:r>
          <w:rPr>
            <w:rStyle w:val="InternetLink"/>
            <w:rFonts w:ascii="Times New Roman;Times;serif" w:hAnsi="Times New Roman;Times;serif"/>
            <w:sz w:val="20"/>
          </w:rPr>
          <w:t>Table of Contents</w:t>
        </w:r>
      </w:hyperlink>
      <w:r>
        <w:t xml:space="preserve"> </w:t>
      </w:r>
    </w:p>
    <w:p>
      <w:pPr>
        <w:pStyle w:val="TextBody"/>
        <w:bidi w:val="0"/>
        <w:spacing w:before="0" w:after="0"/>
        <w:jc w:val="left"/>
      </w:pPr>
      <w:r>
        <w:t xml:space="preserve">  </w:t>
      </w:r>
    </w:p>
    <w:p>
      <w:pPr>
        <w:pStyle w:val="TextBody"/>
        <w:bidi w:val="0"/>
        <w:spacing w:before="0" w:after="283"/>
        <w:jc w:val="left"/>
      </w:pPr>
      <w:r>
        <w:t xml:space="preserve">  </w:t>
      </w:r>
    </w:p>
    <w:p>
      <w:pPr>
        <w:pStyle w:val="TextBody"/>
        <w:bidi w:val="0"/>
        <w:spacing w:before="0" w:after="0"/>
        <w:ind w:left="0" w:right="0" w:hanging="0"/>
        <w:jc w:val="left"/>
      </w:pPr>
      <w:r>
        <w:rPr>
          <w:rFonts w:ascii="Times New Roman;Times;serif" w:hAnsi="Times New Roman;Times;serif"/>
          <w:b/>
          <w:sz w:val="20"/>
        </w:rPr>
        <w:t xml:space="preserve">Note </w:t>
      </w:r>
      <w:r>
        <w:rPr>
          <w:rStyle w:val="Emphasis"/>
          <w:rFonts w:ascii="Times New Roman;Times;serif" w:hAnsi="Times New Roman;Times;serif"/>
          <w:b/>
          <w:sz w:val="20"/>
        </w:rPr>
        <w:t>3.</w:t>
      </w:r>
      <w:r>
        <w:rPr>
          <w:rFonts w:ascii="Times New Roman;Times;serif" w:hAnsi="Times New Roman;Times;serif"/>
          <w:b/>
          <w:sz w:val="20"/>
        </w:rPr>
        <w:t>  Revenue Recognition</w:t>
      </w:r>
    </w:p>
    <w:p>
      <w:pPr>
        <w:pStyle w:val="TextBody"/>
        <w:bidi w:val="0"/>
        <w:spacing w:before="0" w:after="0"/>
        <w:ind w:left="0" w:right="0" w:hanging="0"/>
        <w:jc w:val="left"/>
      </w:pPr>
      <w:r>
        <w:t>​</w:t>
      </w:r>
    </w:p>
    <w:p>
      <w:pPr>
        <w:pStyle w:val="TextBody"/>
        <w:bidi w:val="0"/>
        <w:spacing w:before="0" w:after="0"/>
        <w:ind w:left="0" w:right="0" w:hanging="0"/>
        <w:jc w:val="both"/>
      </w:pPr>
      <w: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Disaggregation of Revenue</w:t>
      </w:r>
    </w:p>
    <w:p>
      <w:pPr>
        <w:pStyle w:val="TextBody"/>
        <w:bidi w:val="0"/>
        <w:spacing w:before="0" w:after="0"/>
        <w:ind w:left="0" w:right="0" w:hanging="0"/>
        <w:jc w:val="left"/>
      </w:pPr>
      <w:r>
        <w:t>​</w:t>
      </w:r>
    </w:p>
    <w:p>
      <w:pPr>
        <w:pStyle w:val="TextBody"/>
        <w:bidi w:val="0"/>
        <w:spacing w:before="0" w:after="0"/>
        <w:ind w:left="0" w:right="0" w:firstLine="720"/>
        <w:jc w:val="left"/>
      </w:pPr>
      <w:r>
        <w:rPr>
          <w:rFonts w:ascii="Times New Roman;Times;serif" w:hAnsi="Times New Roman;Times;serif"/>
          <w:sz w:val="20"/>
        </w:rPr>
        <w:t xml:space="preserve">Revenue is classified based on the location where the product is manufactured. For additional information on the disaggregated revenues by geographical region, see Note </w:t>
      </w:r>
      <w:r>
        <w:rPr>
          <w:rStyle w:val="Emphasis"/>
          <w:rFonts w:ascii="Times New Roman;Times;serif" w:hAnsi="Times New Roman;Times;serif"/>
          <w:sz w:val="20"/>
        </w:rPr>
        <w:t>17,</w:t>
      </w:r>
      <w:r>
        <w:rPr>
          <w:rFonts w:ascii="Times New Roman;Times;serif" w:hAnsi="Times New Roman;Times;serif"/>
          <w:sz w:val="20"/>
        </w:rPr>
        <w:t xml:space="preserve"> "Segment and Geographic Information."</w:t>
      </w:r>
    </w:p>
    <w:p>
      <w:pPr>
        <w:pStyle w:val="TextBody"/>
        <w:bidi w:val="0"/>
        <w:spacing w:before="0" w:after="0"/>
        <w:ind w:left="0" w:right="0" w:firstLine="720"/>
        <w:jc w:val="left"/>
      </w:pPr>
      <w:r>
        <w:t> </w:t>
      </w:r>
    </w:p>
    <w:p>
      <w:pPr>
        <w:pStyle w:val="TextBody"/>
        <w:bidi w:val="0"/>
        <w:spacing w:before="0" w:after="0"/>
        <w:ind w:left="0" w:right="0" w:firstLine="720"/>
        <w:jc w:val="left"/>
      </w:pPr>
      <w:r>
        <w:rPr>
          <w:rFonts w:ascii="Times New Roman;Times;serif" w:hAnsi="Times New Roman;Times;serif"/>
          <w:sz w:val="20"/>
        </w:rPr>
        <w:t xml:space="preserve">All of the Company's contracts have original expected durations of </w:t>
      </w:r>
      <w:r>
        <w:rPr>
          <w:rStyle w:val="Emphasis"/>
          <w:rFonts w:ascii="Times New Roman;Times;serif" w:hAnsi="Times New Roman;Times;serif"/>
          <w:sz w:val="20"/>
        </w:rPr>
        <w:t>one</w:t>
      </w:r>
      <w:r>
        <w:rPr>
          <w:rFonts w:ascii="Times New Roman;Times;serif" w:hAnsi="Times New Roman;Times;serif"/>
          <w:sz w:val="20"/>
        </w:rPr>
        <w:t xml:space="preserve"> year or less, and therefore the Company does </w:t>
      </w:r>
      <w:r>
        <w:rPr>
          <w:rStyle w:val="Emphasis"/>
          <w:rFonts w:ascii="Times New Roman;Times;serif" w:hAnsi="Times New Roman;Times;serif"/>
          <w:sz w:val="20"/>
        </w:rPr>
        <w:t>not</w:t>
      </w:r>
      <w:r>
        <w:rPr>
          <w:rFonts w:ascii="Times New Roman;Times;serif" w:hAnsi="Times New Roman;Times;serif"/>
          <w:sz w:val="20"/>
        </w:rPr>
        <w:t xml:space="preserve"> disclose remaining performance obligations.</w:t>
      </w:r>
    </w:p>
    <w:p>
      <w:pPr>
        <w:pStyle w:val="TextBody"/>
        <w:bidi w:val="0"/>
        <w:spacing w:before="0" w:after="0"/>
        <w:ind w:left="0" w:right="0" w:firstLine="720"/>
        <w:jc w:val="both"/>
      </w:pPr>
      <w: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Revenue is also classified by major product categories and is presented below (in thousands):</w:t>
      </w:r>
    </w:p>
    <w:p>
      <w:pPr>
        <w:pStyle w:val="TextBody"/>
        <w:bidi w:val="0"/>
        <w:spacing w:before="0" w:after="0"/>
        <w:ind w:left="0" w:right="0" w:hanging="0"/>
        <w:jc w:val="both"/>
      </w:pPr>
      <w:r>
        <w:t>​</w:t>
      </w:r>
    </w:p>
    <w:tbl>
      <w:tblPr>
        <w:tblW w:w="5040" w:type="dxa"/>
        <w:jc w:val="left"/>
        <w:tblInd w:w="0" w:type="dxa"/>
        <w:tblLayout w:type="fixed"/>
        <w:tblCellMar>
          <w:top w:w="0" w:type="dxa"/>
          <w:left w:w="0" w:type="dxa"/>
          <w:bottom w:w="0" w:type="dxa"/>
          <w:right w:w="0" w:type="dxa"/>
        </w:tblCellMar>
      </w:tblPr>
      <w:tblGrid>
        <w:gridCol w:w="1220"/>
        <w:gridCol w:w="60"/>
        <w:gridCol w:w="125"/>
        <w:gridCol w:w="695"/>
        <w:gridCol w:w="60"/>
        <w:gridCol w:w="60"/>
        <w:gridCol w:w="79"/>
        <w:gridCol w:w="646"/>
        <w:gridCol w:w="185"/>
        <w:gridCol w:w="60"/>
        <w:gridCol w:w="125"/>
        <w:gridCol w:w="695"/>
        <w:gridCol w:w="60"/>
        <w:gridCol w:w="60"/>
        <w:gridCol w:w="79"/>
        <w:gridCol w:w="646"/>
        <w:gridCol w:w="185"/>
      </w:tblGrid>
      <w:tr>
        <w:tc>
          <w:tcPr>
            <w:tcW w:w="122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3575"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Three months ended September 30,</w:t>
            </w:r>
          </w:p>
        </w:tc>
        <w:tc>
          <w:tcPr>
            <w:tcW w:w="185" w:type="dxa"/>
            <w:tcBorders/>
            <w:shd w:fill="FFFFFF" w:val="clear"/>
            <w:vAlign w:val="center"/>
          </w:tcPr>
          <w:p>
            <w:pPr>
              <w:pStyle w:val="TableContents"/>
              <w:bidi w:val="0"/>
              <w:spacing w:before="0" w:after="283"/>
              <w:jc w:val="left"/>
            </w:pPr>
            <w:r>
              <w:t> </w:t>
            </w:r>
          </w:p>
        </w:tc>
      </w:tr>
      <w:tr>
        <w:tc>
          <w:tcPr>
            <w:tcW w:w="122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695" w:type="dxa"/>
            <w:tcBorders/>
            <w:shd w:fill="FFFFFF" w:val="clear"/>
            <w:vAlign w:val="center"/>
          </w:tcPr>
          <w:p>
            <w:pPr>
              <w:pStyle w:val="TableContents"/>
              <w:bidi w:val="0"/>
              <w:spacing w:before="0" w:after="283"/>
              <w:jc w:val="center"/>
            </w:pPr>
            <w:r>
              <w:rPr>
                <w:rStyle w:val="Emphasis"/>
              </w:rP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25"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 of</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695" w:type="dxa"/>
            <w:tcBorders/>
            <w:shd w:fill="FFFFFF" w:val="clear"/>
            <w:vAlign w:val="center"/>
          </w:tcPr>
          <w:p>
            <w:pPr>
              <w:pStyle w:val="TableContents"/>
              <w:bidi w:val="0"/>
              <w:spacing w:before="0" w:after="283"/>
              <w:jc w:val="center"/>
            </w:pPr>
            <w:r>
              <w:rPr>
                <w:rStyle w:val="Emphasis"/>
              </w:rP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25"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 of</w:t>
            </w:r>
          </w:p>
        </w:tc>
        <w:tc>
          <w:tcPr>
            <w:tcW w:w="185" w:type="dxa"/>
            <w:tcBorders/>
            <w:shd w:fill="FFFFFF" w:val="clear"/>
            <w:vAlign w:val="center"/>
          </w:tcPr>
          <w:p>
            <w:pPr>
              <w:pStyle w:val="TableContents"/>
              <w:bidi w:val="0"/>
              <w:spacing w:before="0" w:after="283"/>
              <w:jc w:val="left"/>
            </w:pPr>
            <w:r>
              <w:t> </w:t>
            </w:r>
          </w:p>
        </w:tc>
      </w:tr>
      <w:tr>
        <w:tc>
          <w:tcPr>
            <w:tcW w:w="122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2026</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Revenue</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Revenue</w:t>
            </w:r>
          </w:p>
        </w:tc>
        <w:tc>
          <w:tcPr>
            <w:tcW w:w="185" w:type="dxa"/>
            <w:tcBorders/>
            <w:shd w:fill="FFFFFF" w:val="clear"/>
            <w:vAlign w:val="center"/>
          </w:tcPr>
          <w:p>
            <w:pPr>
              <w:pStyle w:val="TableContents"/>
              <w:bidi w:val="0"/>
              <w:spacing w:before="0" w:after="283"/>
              <w:jc w:val="left"/>
            </w:pPr>
            <w:r>
              <w:t> </w:t>
            </w:r>
          </w:p>
        </w:tc>
      </w:tr>
      <w:tr>
        <w:tc>
          <w:tcPr>
            <w:tcW w:w="12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Data Center</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155,609</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79" w:type="dxa"/>
            <w:tcBorders/>
            <w:shd w:fill="CCEEFF" w:val="clear"/>
            <w:vAlign w:val="center"/>
          </w:tcPr>
          <w:p>
            <w:pPr>
              <w:pStyle w:val="TableContents"/>
              <w:bidi w:val="0"/>
              <w:spacing w:before="0" w:after="283"/>
              <w:ind w:left="0" w:right="0" w:hanging="0"/>
              <w:jc w:val="left"/>
            </w:pPr>
            <w:r>
              <w:t> </w:t>
            </w:r>
          </w:p>
        </w:tc>
        <w:tc>
          <w:tcPr>
            <w:tcW w:w="6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43,935</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79" w:type="dxa"/>
            <w:tcBorders/>
            <w:shd w:fill="CCEEFF" w:val="clear"/>
            <w:vAlign w:val="center"/>
          </w:tcPr>
          <w:p>
            <w:pPr>
              <w:pStyle w:val="TableContents"/>
              <w:bidi w:val="0"/>
              <w:spacing w:before="0" w:after="283"/>
              <w:ind w:left="0" w:right="0" w:hanging="0"/>
              <w:jc w:val="left"/>
            </w:pPr>
            <w:r>
              <w:t> </w:t>
            </w:r>
          </w:p>
        </w:tc>
        <w:tc>
          <w:tcPr>
            <w:tcW w:w="6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12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CATV</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110,879</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79" w:type="dxa"/>
            <w:tcBorders/>
            <w:shd w:fill="FFFFFF" w:val="clear"/>
            <w:vAlign w:val="center"/>
          </w:tcPr>
          <w:p>
            <w:pPr>
              <w:pStyle w:val="TableContents"/>
              <w:bidi w:val="0"/>
              <w:spacing w:before="0" w:after="283"/>
              <w:ind w:left="0" w:right="0" w:hanging="0"/>
              <w:jc w:val="left"/>
            </w:pPr>
            <w:r>
              <w:t> </w:t>
            </w:r>
          </w:p>
        </w:tc>
        <w:tc>
          <w:tcPr>
            <w:tcW w:w="6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41.1</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70,602</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79" w:type="dxa"/>
            <w:tcBorders/>
            <w:shd w:fill="FFFFFF" w:val="clear"/>
            <w:vAlign w:val="center"/>
          </w:tcPr>
          <w:p>
            <w:pPr>
              <w:pStyle w:val="TableContents"/>
              <w:bidi w:val="0"/>
              <w:spacing w:before="0" w:after="283"/>
              <w:ind w:left="0" w:right="0" w:hanging="0"/>
              <w:jc w:val="left"/>
            </w:pPr>
            <w:r>
              <w:t> </w:t>
            </w:r>
          </w:p>
        </w:tc>
        <w:tc>
          <w:tcPr>
            <w:tcW w:w="6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12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Telecom</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2,727</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79" w:type="dxa"/>
            <w:tcBorders/>
            <w:shd w:fill="CCEEFF" w:val="clear"/>
            <w:vAlign w:val="center"/>
          </w:tcPr>
          <w:p>
            <w:pPr>
              <w:pStyle w:val="TableContents"/>
              <w:bidi w:val="0"/>
              <w:spacing w:before="0" w:after="283"/>
              <w:ind w:left="0" w:right="0" w:hanging="0"/>
              <w:jc w:val="left"/>
            </w:pPr>
            <w:r>
              <w:t> </w:t>
            </w:r>
          </w:p>
        </w:tc>
        <w:tc>
          <w:tcPr>
            <w:tcW w:w="6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3,742</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79" w:type="dxa"/>
            <w:tcBorders/>
            <w:shd w:fill="CCEEFF" w:val="clear"/>
            <w:vAlign w:val="center"/>
          </w:tcPr>
          <w:p>
            <w:pPr>
              <w:pStyle w:val="TableContents"/>
              <w:bidi w:val="0"/>
              <w:spacing w:before="0" w:after="283"/>
              <w:ind w:left="0" w:right="0" w:hanging="0"/>
              <w:jc w:val="left"/>
            </w:pPr>
            <w:r>
              <w:t> </w:t>
            </w:r>
          </w:p>
        </w:tc>
        <w:tc>
          <w:tcPr>
            <w:tcW w:w="6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12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FFFFFF" w:val="clear"/>
            <w:vAlign w:val="center"/>
          </w:tcPr>
          <w:p>
            <w:pPr>
              <w:pStyle w:val="TableContents"/>
              <w:bidi w:val="0"/>
              <w:spacing w:before="0" w:after="283"/>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660</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7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6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351</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7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6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12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Revenue</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269,875</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7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pPr>
            <w:r>
              <w:t> </w:t>
            </w:r>
          </w:p>
        </w:tc>
        <w:tc>
          <w:tcPr>
            <w:tcW w:w="6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118,630</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7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pPr>
            <w:r>
              <w:t> </w:t>
            </w:r>
          </w:p>
        </w:tc>
        <w:tc>
          <w:tcPr>
            <w:tcW w:w="6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pPr>
      <w:r>
        <w:t>  </w:t>
      </w:r>
    </w:p>
    <w:tbl>
      <w:tblPr>
        <w:tblW w:w="5040" w:type="dxa"/>
        <w:jc w:val="left"/>
        <w:tblInd w:w="0" w:type="dxa"/>
        <w:tblLayout w:type="fixed"/>
        <w:tblCellMar>
          <w:top w:w="0" w:type="dxa"/>
          <w:left w:w="0" w:type="dxa"/>
          <w:bottom w:w="0" w:type="dxa"/>
          <w:right w:w="0" w:type="dxa"/>
        </w:tblCellMar>
      </w:tblPr>
      <w:tblGrid>
        <w:gridCol w:w="1220"/>
        <w:gridCol w:w="60"/>
        <w:gridCol w:w="125"/>
        <w:gridCol w:w="695"/>
        <w:gridCol w:w="60"/>
        <w:gridCol w:w="60"/>
        <w:gridCol w:w="79"/>
        <w:gridCol w:w="646"/>
        <w:gridCol w:w="185"/>
        <w:gridCol w:w="60"/>
        <w:gridCol w:w="125"/>
        <w:gridCol w:w="695"/>
        <w:gridCol w:w="60"/>
        <w:gridCol w:w="60"/>
        <w:gridCol w:w="79"/>
        <w:gridCol w:w="646"/>
        <w:gridCol w:w="185"/>
      </w:tblGrid>
      <w:tr>
        <w:tc>
          <w:tcPr>
            <w:tcW w:w="122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3575"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Nine months ended September 30,</w:t>
            </w:r>
          </w:p>
        </w:tc>
        <w:tc>
          <w:tcPr>
            <w:tcW w:w="185" w:type="dxa"/>
            <w:tcBorders/>
            <w:shd w:fill="FFFFFF" w:val="clear"/>
            <w:vAlign w:val="center"/>
          </w:tcPr>
          <w:p>
            <w:pPr>
              <w:pStyle w:val="TableContents"/>
              <w:bidi w:val="0"/>
              <w:spacing w:before="0" w:after="283"/>
              <w:jc w:val="left"/>
            </w:pPr>
            <w:r>
              <w:t> </w:t>
            </w:r>
          </w:p>
        </w:tc>
      </w:tr>
      <w:tr>
        <w:tc>
          <w:tcPr>
            <w:tcW w:w="122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695" w:type="dxa"/>
            <w:tcBorders/>
            <w:shd w:fill="FFFFFF" w:val="clear"/>
            <w:vAlign w:val="center"/>
          </w:tcPr>
          <w:p>
            <w:pPr>
              <w:pStyle w:val="TableContents"/>
              <w:bidi w:val="0"/>
              <w:spacing w:before="0" w:after="283"/>
              <w:jc w:val="center"/>
            </w:pPr>
            <w:r>
              <w:rPr>
                <w:rStyle w:val="Emphasis"/>
              </w:rP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25"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 of</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695" w:type="dxa"/>
            <w:tcBorders/>
            <w:shd w:fill="FFFFFF" w:val="clear"/>
            <w:vAlign w:val="center"/>
          </w:tcPr>
          <w:p>
            <w:pPr>
              <w:pStyle w:val="TableContents"/>
              <w:bidi w:val="0"/>
              <w:spacing w:before="0" w:after="283"/>
              <w:jc w:val="center"/>
            </w:pPr>
            <w:r>
              <w:rPr>
                <w:rStyle w:val="Emphasis"/>
              </w:rP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25"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 of</w:t>
            </w:r>
          </w:p>
        </w:tc>
        <w:tc>
          <w:tcPr>
            <w:tcW w:w="185" w:type="dxa"/>
            <w:tcBorders/>
            <w:shd w:fill="FFFFFF" w:val="clear"/>
            <w:vAlign w:val="center"/>
          </w:tcPr>
          <w:p>
            <w:pPr>
              <w:pStyle w:val="TableContents"/>
              <w:bidi w:val="0"/>
              <w:spacing w:before="0" w:after="283"/>
              <w:jc w:val="left"/>
            </w:pPr>
            <w:r>
              <w:t> </w:t>
            </w:r>
          </w:p>
        </w:tc>
      </w:tr>
      <w:tr>
        <w:tc>
          <w:tcPr>
            <w:tcW w:w="122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2026</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Revenue</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Revenue</w:t>
            </w:r>
          </w:p>
        </w:tc>
        <w:tc>
          <w:tcPr>
            <w:tcW w:w="185" w:type="dxa"/>
            <w:tcBorders/>
            <w:shd w:fill="FFFFFF" w:val="clear"/>
            <w:vAlign w:val="center"/>
          </w:tcPr>
          <w:p>
            <w:pPr>
              <w:pStyle w:val="TableContents"/>
              <w:bidi w:val="0"/>
              <w:spacing w:before="0" w:after="283"/>
              <w:jc w:val="left"/>
            </w:pPr>
            <w:r>
              <w:t> </w:t>
            </w:r>
          </w:p>
        </w:tc>
      </w:tr>
      <w:tr>
        <w:tc>
          <w:tcPr>
            <w:tcW w:w="12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Data Center</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344,675</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79" w:type="dxa"/>
            <w:tcBorders/>
            <w:shd w:fill="CCEEFF" w:val="clear"/>
            <w:vAlign w:val="center"/>
          </w:tcPr>
          <w:p>
            <w:pPr>
              <w:pStyle w:val="TableContents"/>
              <w:bidi w:val="0"/>
              <w:spacing w:before="0" w:after="283"/>
              <w:ind w:left="0" w:right="0" w:hanging="0"/>
              <w:jc w:val="left"/>
            </w:pPr>
            <w:r>
              <w:t> </w:t>
            </w:r>
          </w:p>
        </w:tc>
        <w:tc>
          <w:tcPr>
            <w:tcW w:w="6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56.2</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120,775</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79" w:type="dxa"/>
            <w:tcBorders/>
            <w:shd w:fill="CCEEFF" w:val="clear"/>
            <w:vAlign w:val="center"/>
          </w:tcPr>
          <w:p>
            <w:pPr>
              <w:pStyle w:val="TableContents"/>
              <w:bidi w:val="0"/>
              <w:spacing w:before="0" w:after="283"/>
              <w:ind w:left="0" w:right="0" w:hanging="0"/>
              <w:jc w:val="left"/>
            </w:pPr>
            <w:r>
              <w:t> </w:t>
            </w:r>
          </w:p>
        </w:tc>
        <w:tc>
          <w:tcPr>
            <w:tcW w:w="6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12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CATV</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258,298</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79" w:type="dxa"/>
            <w:tcBorders/>
            <w:shd w:fill="FFFFFF" w:val="clear"/>
            <w:vAlign w:val="center"/>
          </w:tcPr>
          <w:p>
            <w:pPr>
              <w:pStyle w:val="TableContents"/>
              <w:bidi w:val="0"/>
              <w:spacing w:before="0" w:after="283"/>
              <w:ind w:left="0" w:right="0" w:hanging="0"/>
              <w:jc w:val="left"/>
            </w:pPr>
            <w:r>
              <w:t> </w:t>
            </w:r>
          </w:p>
        </w:tc>
        <w:tc>
          <w:tcPr>
            <w:tcW w:w="6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42.2</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191,123</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79" w:type="dxa"/>
            <w:tcBorders/>
            <w:shd w:fill="FFFFFF" w:val="clear"/>
            <w:vAlign w:val="center"/>
          </w:tcPr>
          <w:p>
            <w:pPr>
              <w:pStyle w:val="TableContents"/>
              <w:bidi w:val="0"/>
              <w:spacing w:before="0" w:after="283"/>
              <w:ind w:left="0" w:right="0" w:hanging="0"/>
              <w:jc w:val="left"/>
            </w:pPr>
            <w:r>
              <w:t> </w:t>
            </w:r>
          </w:p>
        </w:tc>
        <w:tc>
          <w:tcPr>
            <w:tcW w:w="6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12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Telecom</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8,698</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79" w:type="dxa"/>
            <w:tcBorders/>
            <w:shd w:fill="CCEEFF" w:val="clear"/>
            <w:vAlign w:val="center"/>
          </w:tcPr>
          <w:p>
            <w:pPr>
              <w:pStyle w:val="TableContents"/>
              <w:bidi w:val="0"/>
              <w:spacing w:before="0" w:after="283"/>
              <w:ind w:left="0" w:right="0" w:hanging="0"/>
              <w:jc w:val="left"/>
            </w:pPr>
            <w:r>
              <w:t> </w:t>
            </w:r>
          </w:p>
        </w:tc>
        <w:tc>
          <w:tcPr>
            <w:tcW w:w="6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8,618</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79" w:type="dxa"/>
            <w:tcBorders/>
            <w:shd w:fill="CCEEFF" w:val="clear"/>
            <w:vAlign w:val="center"/>
          </w:tcPr>
          <w:p>
            <w:pPr>
              <w:pStyle w:val="TableContents"/>
              <w:bidi w:val="0"/>
              <w:spacing w:before="0" w:after="283"/>
              <w:ind w:left="0" w:right="0" w:hanging="0"/>
              <w:jc w:val="left"/>
            </w:pPr>
            <w:r>
              <w:t> </w:t>
            </w:r>
          </w:p>
        </w:tc>
        <w:tc>
          <w:tcPr>
            <w:tcW w:w="6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12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FFFFFF" w:val="clear"/>
            <w:vAlign w:val="center"/>
          </w:tcPr>
          <w:p>
            <w:pPr>
              <w:pStyle w:val="TableContents"/>
              <w:bidi w:val="0"/>
              <w:spacing w:before="0" w:after="283"/>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1,271</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7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6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925</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7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6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12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Revenue</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612,942</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7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pPr>
            <w:r>
              <w:t> </w:t>
            </w:r>
          </w:p>
        </w:tc>
        <w:tc>
          <w:tcPr>
            <w:tcW w:w="6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321,441</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7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pPr>
            <w:r>
              <w:t> </w:t>
            </w:r>
          </w:p>
        </w:tc>
        <w:tc>
          <w:tcPr>
            <w:tcW w:w="6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pPr>
      <w: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Customer Warrant</w:t>
      </w:r>
    </w:p>
    <w:p>
      <w:pPr>
        <w:pStyle w:val="TextBody"/>
        <w:bidi w:val="0"/>
        <w:spacing w:before="0" w:after="0"/>
        <w:ind w:left="0" w:right="0" w:firstLine="720"/>
        <w:jc w:val="both"/>
      </w:pPr>
      <w:r>
        <w:t> </w:t>
      </w:r>
    </w:p>
    <w:p>
      <w:pPr>
        <w:pStyle w:val="TextBody"/>
        <w:bidi w:val="0"/>
        <w:spacing w:before="0" w:after="0"/>
        <w:ind w:left="0" w:right="0" w:firstLine="720"/>
        <w:jc w:val="left"/>
      </w:pPr>
      <w:r>
        <w:rPr>
          <w:rFonts w:ascii="Times New Roman" w:hAnsi="Times New Roman"/>
          <w:sz w:val="20"/>
        </w:rPr>
        <w:t xml:space="preserve">On </w:t>
      </w:r>
      <w:r>
        <w:rPr>
          <w:rStyle w:val="Emphasis"/>
          <w:rFonts w:ascii="Times New Roman" w:hAnsi="Times New Roman"/>
          <w:sz w:val="20"/>
        </w:rPr>
        <w:t xml:space="preserve">March 13, 2025, </w:t>
      </w:r>
      <w:r>
        <w:rPr>
          <w:rFonts w:ascii="Times New Roman" w:hAnsi="Times New Roman"/>
          <w:sz w:val="20"/>
        </w:rPr>
        <w:t xml:space="preserve">the Company issued a warrant (the "Customer Warrant") to a wholly-owned subsidiary of Amazon.com, Inc. to purchase up to an aggregate of 7,945,399 shares of the Company's common stock ("Warrant Shares") at an exercise price of $23.6956 per share. The Customer Warrant has a contractual term of 10 years. At the time of the issuance, the Customer Warrant is exercisable to purchase 1,324,233 Warrant Shares. The remaining 6,621,166 Warrant Shares </w:t>
      </w:r>
      <w:r>
        <w:rPr>
          <w:rStyle w:val="Emphasis"/>
          <w:rFonts w:ascii="Times New Roman" w:hAnsi="Times New Roman"/>
          <w:sz w:val="20"/>
        </w:rPr>
        <w:t xml:space="preserve">may </w:t>
      </w:r>
      <w:r>
        <w:rPr>
          <w:rFonts w:ascii="Times New Roman" w:hAnsi="Times New Roman"/>
          <w:sz w:val="20"/>
        </w:rPr>
        <w:t xml:space="preserve">vest over the next </w:t>
      </w:r>
      <w:r>
        <w:rPr>
          <w:rStyle w:val="Emphasis"/>
          <w:rFonts w:ascii="Times New Roman" w:hAnsi="Times New Roman"/>
          <w:sz w:val="20"/>
        </w:rPr>
        <w:t>10</w:t>
      </w:r>
      <w:r>
        <w:rPr>
          <w:rFonts w:ascii="Times New Roman" w:hAnsi="Times New Roman"/>
          <w:sz w:val="20"/>
        </w:rPr>
        <w:t xml:space="preserve"> years, dependent on aggregate purchases by or on behalf of Amazon and its affiliates of $4 billion of the Company's products over this time period. The Company accounts for the Customer Warrant as an equity classified share-based consideration to a customer and will recognize the grant-date fair value of the Customer Warrant as a reduction of revenue from Amazon as the related goods or services are transferred. The grant date fair value of the Customer Warrant was determined to be $12.64 per share, using the Black-Scholes-Merton option pricing model. </w:t>
      </w:r>
    </w:p>
    <w:p>
      <w:pPr>
        <w:pStyle w:val="TextBody"/>
        <w:bidi w:val="0"/>
        <w:spacing w:before="0" w:after="0"/>
        <w:ind w:left="0" w:right="0" w:firstLine="720"/>
        <w:jc w:val="both"/>
      </w:pPr>
      <w:r>
        <w:t> </w:t>
      </w:r>
    </w:p>
    <w:p>
      <w:pPr>
        <w:pStyle w:val="TextBody"/>
        <w:bidi w:val="0"/>
        <w:ind w:left="0" w:right="0" w:firstLine="720"/>
        <w:jc w:val="left"/>
        <w:rPr>
          <w:sz w:val="20"/>
        </w:rPr>
      </w:pPr>
      <w:r>
        <w:rPr>
          <w:sz w:val="20"/>
        </w:rPr>
        <w:t xml:space="preserve">The per share grant date fair value of the Customer Warrant was estimated using the following assumptions: </w:t>
      </w:r>
    </w:p>
    <w:p>
      <w:pPr>
        <w:pStyle w:val="TextBody"/>
        <w:bidi w:val="0"/>
        <w:spacing w:before="0" w:after="0"/>
        <w:ind w:left="0" w:right="0" w:firstLine="720"/>
        <w:jc w:val="both"/>
      </w:pPr>
      <w:r>
        <w:t> </w:t>
      </w:r>
    </w:p>
    <w:tbl>
      <w:tblPr>
        <w:tblW w:w="4934" w:type="dxa"/>
        <w:jc w:val="left"/>
        <w:tblInd w:w="0" w:type="dxa"/>
        <w:tblLayout w:type="fixed"/>
        <w:tblCellMar>
          <w:top w:w="0" w:type="dxa"/>
          <w:left w:w="0" w:type="dxa"/>
          <w:bottom w:w="0" w:type="dxa"/>
          <w:right w:w="0" w:type="dxa"/>
        </w:tblCellMar>
      </w:tblPr>
      <w:tblGrid>
        <w:gridCol w:w="3485"/>
        <w:gridCol w:w="60"/>
        <w:gridCol w:w="246"/>
        <w:gridCol w:w="958"/>
        <w:gridCol w:w="185"/>
      </w:tblGrid>
      <w:tr>
        <w:tc>
          <w:tcPr>
            <w:tcW w:w="3485"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1204"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At Grant Date</w:t>
            </w:r>
          </w:p>
        </w:tc>
        <w:tc>
          <w:tcPr>
            <w:tcW w:w="185" w:type="dxa"/>
            <w:tcBorders/>
            <w:vAlign w:val="center"/>
          </w:tcPr>
          <w:p>
            <w:pPr>
              <w:pStyle w:val="TableContents"/>
              <w:bidi w:val="0"/>
              <w:spacing w:before="0" w:after="283"/>
              <w:jc w:val="left"/>
            </w:pPr>
            <w:r>
              <w:t> </w:t>
            </w:r>
          </w:p>
        </w:tc>
      </w:tr>
      <w:tr>
        <w:tc>
          <w:tcPr>
            <w:tcW w:w="34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Expected volatility</w:t>
            </w:r>
          </w:p>
        </w:tc>
        <w:tc>
          <w:tcPr>
            <w:tcW w:w="60" w:type="dxa"/>
            <w:tcBorders/>
            <w:shd w:fill="CCEEFF" w:val="clear"/>
            <w:vAlign w:val="center"/>
          </w:tcPr>
          <w:p>
            <w:pPr>
              <w:pStyle w:val="TableContents"/>
              <w:bidi w:val="0"/>
              <w:spacing w:before="0" w:after="283"/>
              <w:jc w:val="left"/>
            </w:pPr>
            <w:r>
              <w:t> </w:t>
            </w:r>
          </w:p>
        </w:tc>
        <w:tc>
          <w:tcPr>
            <w:tcW w:w="246" w:type="dxa"/>
            <w:tcBorders/>
            <w:shd w:fill="CCEEFF" w:val="clear"/>
            <w:vAlign w:val="center"/>
          </w:tcPr>
          <w:p>
            <w:pPr>
              <w:pStyle w:val="TableContents"/>
              <w:bidi w:val="0"/>
              <w:spacing w:before="0" w:after="283"/>
              <w:jc w:val="left"/>
            </w:pPr>
            <w:r>
              <w:t> </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34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Weighted-average expected term (in years)</w:t>
            </w:r>
          </w:p>
        </w:tc>
        <w:tc>
          <w:tcPr>
            <w:tcW w:w="60" w:type="dxa"/>
            <w:tcBorders/>
            <w:shd w:fill="FFFFFF" w:val="clear"/>
            <w:vAlign w:val="center"/>
          </w:tcPr>
          <w:p>
            <w:pPr>
              <w:pStyle w:val="TableContents"/>
              <w:bidi w:val="0"/>
              <w:spacing w:before="0" w:after="283"/>
              <w:jc w:val="left"/>
            </w:pPr>
            <w:r>
              <w:t> </w:t>
            </w:r>
          </w:p>
        </w:tc>
        <w:tc>
          <w:tcPr>
            <w:tcW w:w="246" w:type="dxa"/>
            <w:tcBorders/>
            <w:shd w:fill="FFFFFF" w:val="clear"/>
            <w:vAlign w:val="center"/>
          </w:tcPr>
          <w:p>
            <w:pPr>
              <w:pStyle w:val="TableContents"/>
              <w:bidi w:val="0"/>
              <w:spacing w:before="0" w:after="283"/>
              <w:jc w:val="left"/>
            </w:pPr>
            <w:r>
              <w:t> </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185" w:type="dxa"/>
            <w:tcBorders/>
            <w:shd w:fill="FFFFFF" w:val="clear"/>
            <w:vAlign w:val="center"/>
          </w:tcPr>
          <w:p>
            <w:pPr>
              <w:pStyle w:val="TableContents"/>
              <w:bidi w:val="0"/>
              <w:spacing w:before="0" w:after="283"/>
              <w:jc w:val="left"/>
            </w:pPr>
            <w:r>
              <w:t> </w:t>
            </w:r>
          </w:p>
        </w:tc>
      </w:tr>
      <w:tr>
        <w:tc>
          <w:tcPr>
            <w:tcW w:w="34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Risk-free interest rate</w:t>
            </w:r>
          </w:p>
        </w:tc>
        <w:tc>
          <w:tcPr>
            <w:tcW w:w="60" w:type="dxa"/>
            <w:tcBorders/>
            <w:shd w:fill="CCEEFF" w:val="clear"/>
            <w:vAlign w:val="center"/>
          </w:tcPr>
          <w:p>
            <w:pPr>
              <w:pStyle w:val="TableContents"/>
              <w:bidi w:val="0"/>
              <w:spacing w:before="0" w:after="283"/>
              <w:jc w:val="left"/>
            </w:pPr>
            <w:r>
              <w:t> </w:t>
            </w:r>
          </w:p>
        </w:tc>
        <w:tc>
          <w:tcPr>
            <w:tcW w:w="246" w:type="dxa"/>
            <w:tcBorders/>
            <w:shd w:fill="CCEEFF" w:val="clear"/>
            <w:vAlign w:val="center"/>
          </w:tcPr>
          <w:p>
            <w:pPr>
              <w:pStyle w:val="TableContents"/>
              <w:bidi w:val="0"/>
              <w:spacing w:before="0" w:after="283"/>
              <w:jc w:val="left"/>
            </w:pPr>
            <w:r>
              <w:t> </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4.23</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34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Dividend yield</w:t>
            </w:r>
          </w:p>
        </w:tc>
        <w:tc>
          <w:tcPr>
            <w:tcW w:w="60" w:type="dxa"/>
            <w:tcBorders/>
            <w:shd w:fill="FFFFFF" w:val="clear"/>
            <w:vAlign w:val="center"/>
          </w:tcPr>
          <w:p>
            <w:pPr>
              <w:pStyle w:val="TableContents"/>
              <w:bidi w:val="0"/>
              <w:spacing w:before="0" w:after="283"/>
              <w:jc w:val="left"/>
            </w:pPr>
            <w:r>
              <w:t> </w:t>
            </w:r>
          </w:p>
        </w:tc>
        <w:tc>
          <w:tcPr>
            <w:tcW w:w="246" w:type="dxa"/>
            <w:tcBorders/>
            <w:shd w:fill="FFFFFF" w:val="clear"/>
            <w:vAlign w:val="center"/>
          </w:tcPr>
          <w:p>
            <w:pPr>
              <w:pStyle w:val="TableContents"/>
              <w:bidi w:val="0"/>
              <w:spacing w:before="0" w:after="283"/>
              <w:jc w:val="left"/>
            </w:pPr>
            <w:r>
              <w:t> </w:t>
            </w:r>
          </w:p>
        </w:tc>
        <w:tc>
          <w:tcPr>
            <w:tcW w:w="958" w:type="dxa"/>
            <w:tcBorders/>
            <w:shd w:fill="FFFFFF" w:val="clear"/>
            <w:vAlign w:val="center"/>
          </w:tcPr>
          <w:p>
            <w:pPr>
              <w:pStyle w:val="TableContents"/>
              <w:bidi w:val="0"/>
              <w:spacing w:before="0" w:after="283"/>
              <w:ind w:left="0" w:right="0" w:hanging="0"/>
              <w:jc w:val="right"/>
            </w:pPr>
            <w:r>
              <w:t>—</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34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Fair value per ordinary share at grant date</w:t>
            </w:r>
          </w:p>
        </w:tc>
        <w:tc>
          <w:tcPr>
            <w:tcW w:w="60" w:type="dxa"/>
            <w:tcBorders/>
            <w:shd w:fill="CCEEFF" w:val="clear"/>
            <w:vAlign w:val="center"/>
          </w:tcPr>
          <w:p>
            <w:pPr>
              <w:pStyle w:val="TableContents"/>
              <w:bidi w:val="0"/>
              <w:spacing w:before="0" w:after="283"/>
              <w:jc w:val="left"/>
            </w:pPr>
            <w:r>
              <w:t> </w:t>
            </w:r>
          </w:p>
        </w:tc>
        <w:tc>
          <w:tcPr>
            <w:tcW w:w="24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15.87</w:t>
            </w:r>
          </w:p>
        </w:tc>
        <w:tc>
          <w:tcPr>
            <w:tcW w:w="185" w:type="dxa"/>
            <w:tcBorders/>
            <w:shd w:fill="CCEEFF" w:val="clear"/>
            <w:vAlign w:val="center"/>
          </w:tcPr>
          <w:p>
            <w:pPr>
              <w:pStyle w:val="TableContents"/>
              <w:bidi w:val="0"/>
              <w:spacing w:before="0" w:after="283"/>
              <w:jc w:val="left"/>
            </w:pPr>
            <w:r>
              <w:t> </w:t>
            </w:r>
          </w:p>
        </w:tc>
      </w:tr>
    </w:tbl>
    <w:p>
      <w:pPr>
        <w:pStyle w:val="TextBody"/>
        <w:bidi w:val="0"/>
        <w:spacing w:before="0" w:after="0"/>
        <w:ind w:left="0" w:right="0" w:hanging="0"/>
        <w:jc w:val="left"/>
      </w:pPr>
      <w:r>
        <w:t> </w:t>
      </w:r>
    </w:p>
    <w:p>
      <w:pPr>
        <w:pStyle w:val="TextBody"/>
        <w:bidi w:val="0"/>
        <w:spacing w:before="0" w:after="0"/>
        <w:ind w:left="0" w:right="0" w:firstLine="720"/>
        <w:jc w:val="left"/>
      </w:pPr>
      <w:r>
        <w:rPr>
          <w:rFonts w:ascii="Times New Roman" w:hAnsi="Times New Roman"/>
          <w:caps w:val="false"/>
          <w:smallCaps w:val="false"/>
          <w:sz w:val="20"/>
        </w:rPr>
        <w:t xml:space="preserve">For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 xml:space="preserve">, the Company recognized approximately $4.1 million related reduction to $161.7 million revenue associated with customer arrangements that included the issuance of warrants. As of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the Company recorded other current asset of $1.0 million and other noncurrent asset of $15.0 million. As of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 the Company recorded other current assets of $3.3 million and other noncurrent assets of $12.6 million, representing the aggregate grant-date fair value of 1,324,233 warrant shares vested at issuance.</w:t>
      </w:r>
    </w:p>
    <w:p>
      <w:pPr>
        <w:pStyle w:val="TextBody"/>
        <w:bidi w:val="0"/>
        <w:spacing w:before="0" w:after="0"/>
        <w:ind w:left="0" w:right="0" w:hanging="0"/>
        <w:jc w:val="left"/>
      </w:pPr>
      <w:r>
        <w:t> </w:t>
      </w:r>
    </w:p>
    <w:p>
      <w:pPr>
        <w:pStyle w:val="TextBody"/>
        <w:bidi w:val="0"/>
        <w:spacing w:before="0" w:after="0"/>
        <w:jc w:val="center"/>
      </w:pPr>
      <w:r>
        <w:rPr>
          <w:rStyle w:val="Emphasis"/>
          <w:rFonts w:ascii="Times New Roman" w:hAnsi="Times New Roman"/>
          <w:sz w:val="20"/>
        </w:rPr>
        <w:t>11</w:t>
      </w:r>
      <w:r>
        <w:rPr>
          <w:rFonts w:ascii="Times New Roman" w:hAnsi="Times New Roman"/>
          <w:sz w:val="20"/>
        </w:rPr>
        <w:t xml:space="preserve"> </w:t>
      </w:r>
    </w:p>
    <w:p>
      <w:pPr>
        <w:pStyle w:val="HorizontalLine"/>
        <w:pBdr>
          <w:bottom w:val="double" w:sz="2" w:space="0" w:color="808080"/>
        </w:pBdr>
        <w:bidi w:val="0"/>
        <w:spacing w:before="0" w:after="283"/>
        <w:jc w:val="left"/>
      </w:pPr>
      <w:r/>
    </w:p>
    <w:p>
      <w:pPr>
        <w:pStyle w:val="TextBody"/>
        <w:bidi w:val="0"/>
        <w:spacing w:before="0" w:after="0"/>
        <w:jc w:val="left"/>
      </w:pPr>
      <w:hyperlink w:anchor="toc">
        <w:r>
          <w:rPr>
            <w:rStyle w:val="InternetLink"/>
            <w:rFonts w:ascii="Times New Roman;Times;serif" w:hAnsi="Times New Roman;Times;serif"/>
            <w:sz w:val="20"/>
          </w:rPr>
          <w:t>Table of Contents</w:t>
        </w:r>
      </w:hyperlink>
      <w:r>
        <w:t xml:space="preserve"> </w:t>
      </w:r>
    </w:p>
    <w:p>
      <w:pPr>
        <w:pStyle w:val="TextBody"/>
        <w:bidi w:val="0"/>
        <w:spacing w:before="0" w:after="283"/>
        <w:jc w:val="left"/>
      </w:pPr>
      <w:r>
        <w:t xml:space="preserve">   </w:t>
      </w:r>
    </w:p>
    <w:p>
      <w:pPr>
        <w:pStyle w:val="TextBody"/>
        <w:bidi w:val="0"/>
        <w:spacing w:before="0" w:after="0"/>
        <w:ind w:left="0" w:right="0" w:hanging="0"/>
        <w:jc w:val="left"/>
      </w:pPr>
      <w:r>
        <w:t> </w:t>
      </w:r>
    </w:p>
    <w:p>
      <w:pPr>
        <w:pStyle w:val="TextBody"/>
        <w:bidi w:val="0"/>
        <w:spacing w:before="0" w:after="283"/>
        <w:jc w:val="left"/>
      </w:pPr>
      <w:r>
        <w:t xml:space="preserve">  </w:t>
      </w:r>
    </w:p>
    <w:p>
      <w:pPr>
        <w:pStyle w:val="TextBody"/>
        <w:bidi w:val="0"/>
        <w:spacing w:before="0" w:after="0"/>
        <w:ind w:left="0" w:right="0" w:hanging="0"/>
        <w:jc w:val="left"/>
      </w:pPr>
      <w:r>
        <w:rPr>
          <w:rFonts w:ascii="Times New Roman" w:hAnsi="Times New Roman"/>
          <w:b/>
          <w:sz w:val="20"/>
        </w:rPr>
        <w:t xml:space="preserve">Note </w:t>
      </w:r>
      <w:r>
        <w:rPr>
          <w:rStyle w:val="Emphasis"/>
          <w:rFonts w:ascii="Times New Roman" w:hAnsi="Times New Roman"/>
          <w:b/>
          <w:sz w:val="20"/>
        </w:rPr>
        <w:t>4.</w:t>
      </w:r>
      <w:r>
        <w:rPr>
          <w:rFonts w:ascii="Times New Roman" w:hAnsi="Times New Roman"/>
          <w:b/>
          <w:sz w:val="20"/>
        </w:rPr>
        <w:t>  Leases </w:t>
      </w:r>
    </w:p>
    <w:p>
      <w:pPr>
        <w:pStyle w:val="TextBody"/>
        <w:bidi w:val="0"/>
        <w:spacing w:before="0" w:after="0"/>
        <w:ind w:left="0" w:right="0" w:hanging="0"/>
        <w:jc w:val="left"/>
      </w:pPr>
      <w:r>
        <w:t>​</w:t>
      </w:r>
    </w:p>
    <w:p>
      <w:pPr>
        <w:pStyle w:val="TextBody"/>
        <w:bidi w:val="0"/>
        <w:spacing w:before="0" w:after="0"/>
        <w:ind w:left="0" w:right="0" w:firstLine="720"/>
        <w:jc w:val="left"/>
      </w:pPr>
      <w:r>
        <w:rPr>
          <w:rFonts w:ascii="Times New Roman" w:hAnsi="Times New Roman"/>
          <w:caps w:val="false"/>
          <w:smallCaps w:val="false"/>
          <w:sz w:val="20"/>
        </w:rPr>
        <w:t>The Company leases space under non-cancellable operating leases for manufacturing facilities, office space (including research and development offices), warehouses, certain storage facilities and apartments. These leases do </w:t>
      </w:r>
      <w:r>
        <w:rPr>
          <w:rStyle w:val="Emphasis"/>
          <w:rFonts w:ascii="Times New Roman" w:hAnsi="Times New Roman"/>
          <w:caps w:val="false"/>
          <w:smallCaps w:val="false"/>
          <w:sz w:val="20"/>
        </w:rPr>
        <w:t>not</w:t>
      </w:r>
      <w:r>
        <w:rPr>
          <w:rFonts w:ascii="Times New Roman" w:hAnsi="Times New Roman"/>
          <w:caps w:val="false"/>
          <w:smallCaps w:val="false"/>
          <w:sz w:val="20"/>
        </w:rPr>
        <w:t> contain contingent rent provisions. The Company also leases certain machinery, office equipment and a vehicle under operating leases. The Company determines if an arrangement is or contains a lease at contract inception. Many of its leases include both lease (e.g. fixed payments including rent, taxes, and insurance costs) and non-lease components (e.g. common-area or other maintenance costs) which are accounted for as a single lease component as the Company has elected the practical expedient to group lease and non-lease components for all leases. Several of the leases include </w:t>
      </w:r>
      <w:r>
        <w:rPr>
          <w:rStyle w:val="Emphasis"/>
          <w:rFonts w:ascii="Times New Roman" w:hAnsi="Times New Roman"/>
          <w:caps w:val="false"/>
          <w:smallCaps w:val="false"/>
          <w:sz w:val="20"/>
        </w:rPr>
        <w:t>one</w:t>
      </w:r>
      <w:r>
        <w:rPr>
          <w:rFonts w:ascii="Times New Roman" w:hAnsi="Times New Roman"/>
          <w:caps w:val="false"/>
          <w:smallCaps w:val="false"/>
          <w:sz w:val="20"/>
        </w:rPr>
        <w:t> or more options to renew which have been assessed and either included or excluded from the calculation of the lease liability of the right of use ("ROU") asset based on management’s intentions and individual fact patterns. Several warehouses and apartments have non-cancellable lease terms of less than </w:t>
      </w:r>
      <w:r>
        <w:rPr>
          <w:rStyle w:val="Emphasis"/>
          <w:rFonts w:ascii="Times New Roman" w:hAnsi="Times New Roman"/>
          <w:caps w:val="false"/>
          <w:smallCaps w:val="false"/>
          <w:sz w:val="20"/>
        </w:rPr>
        <w:t>one</w:t>
      </w:r>
      <w:r>
        <w:rPr>
          <w:rFonts w:ascii="Times New Roman" w:hAnsi="Times New Roman"/>
          <w:caps w:val="false"/>
          <w:smallCaps w:val="false"/>
          <w:sz w:val="20"/>
        </w:rPr>
        <w:t>-year and therefore, the Company has elected the practical expedient to exclude these short-term leases from its ROU asset and lease liabilities.</w:t>
      </w:r>
    </w:p>
    <w:p>
      <w:pPr>
        <w:pStyle w:val="TextBody"/>
        <w:bidi w:val="0"/>
        <w:spacing w:before="0" w:after="0"/>
        <w:ind w:left="0" w:right="0" w:hanging="0"/>
        <w:jc w:val="left"/>
      </w:pPr>
      <w:r>
        <w:t> </w:t>
      </w:r>
    </w:p>
    <w:p>
      <w:pPr>
        <w:pStyle w:val="TextBody"/>
        <w:bidi w:val="0"/>
        <w:spacing w:before="0" w:after="0"/>
        <w:ind w:left="0" w:right="0" w:firstLine="720"/>
        <w:jc w:val="left"/>
      </w:pPr>
      <w:r>
        <w:rPr>
          <w:rFonts w:ascii="Times New Roman" w:hAnsi="Times New Roman"/>
          <w:sz w:val="20"/>
        </w:rPr>
        <w:t>On </w:t>
      </w:r>
      <w:r>
        <w:rPr>
          <w:rStyle w:val="Emphasis"/>
          <w:rFonts w:ascii="Times New Roman" w:hAnsi="Times New Roman"/>
          <w:sz w:val="20"/>
        </w:rPr>
        <w:t xml:space="preserve"> October 7, 2024, </w:t>
      </w:r>
      <w:r>
        <w:rPr>
          <w:rFonts w:ascii="Times New Roman" w:hAnsi="Times New Roman"/>
          <w:sz w:val="20"/>
        </w:rPr>
        <w:t>Prime World entered into a Land and Building Lease Agreement with San Ho Enterprise Co., Ltd. ("San Ho Enterprise"), under which Prime World leases approximately 38,072 square feet, of </w:t>
      </w:r>
      <w:r>
        <w:rPr>
          <w:rStyle w:val="Emphasis"/>
          <w:rFonts w:ascii="Times New Roman" w:hAnsi="Times New Roman"/>
          <w:sz w:val="20"/>
        </w:rPr>
        <w:t>two</w:t>
      </w:r>
      <w:r>
        <w:rPr>
          <w:rFonts w:ascii="Times New Roman" w:hAnsi="Times New Roman"/>
          <w:sz w:val="20"/>
        </w:rPr>
        <w:t> adjoining parcels of land, in New Taipei City. The lease also includes a building on these parcels, totaling approximately 36,662 square feet. The lease term is for fifteen years, commencing on </w:t>
      </w:r>
      <w:r>
        <w:rPr>
          <w:rStyle w:val="Emphasis"/>
          <w:rFonts w:ascii="Times New Roman" w:hAnsi="Times New Roman"/>
          <w:sz w:val="20"/>
        </w:rPr>
        <w:t xml:space="preserve"> December 1, 2024, </w:t>
      </w:r>
      <w:r>
        <w:rPr>
          <w:rFonts w:ascii="Times New Roman" w:hAnsi="Times New Roman"/>
          <w:sz w:val="20"/>
        </w:rPr>
        <w:t>and ending on </w:t>
      </w:r>
      <w:r>
        <w:rPr>
          <w:rStyle w:val="Emphasis"/>
          <w:rFonts w:ascii="Times New Roman" w:hAnsi="Times New Roman"/>
          <w:sz w:val="20"/>
        </w:rPr>
        <w:t xml:space="preserve"> November 30, 2039. </w:t>
      </w:r>
      <w:r>
        <w:rPr>
          <w:rFonts w:ascii="Times New Roman" w:hAnsi="Times New Roman"/>
          <w:sz w:val="20"/>
        </w:rPr>
        <w:t>A </w:t>
      </w:r>
      <w:r>
        <w:rPr>
          <w:rStyle w:val="Emphasis"/>
          <w:rFonts w:ascii="Times New Roman" w:hAnsi="Times New Roman"/>
          <w:sz w:val="20"/>
        </w:rPr>
        <w:t>two</w:t>
      </w:r>
      <w:r>
        <w:rPr>
          <w:rFonts w:ascii="Times New Roman" w:hAnsi="Times New Roman"/>
          <w:sz w:val="20"/>
        </w:rPr>
        <w:t>-month renovation period from </w:t>
      </w:r>
      <w:r>
        <w:rPr>
          <w:rStyle w:val="Emphasis"/>
          <w:rFonts w:ascii="Times New Roman" w:hAnsi="Times New Roman"/>
          <w:sz w:val="20"/>
        </w:rPr>
        <w:t xml:space="preserve"> October 1 </w:t>
      </w:r>
      <w:r>
        <w:rPr>
          <w:rFonts w:ascii="Times New Roman" w:hAnsi="Times New Roman"/>
          <w:sz w:val="20"/>
        </w:rPr>
        <w:t>to </w:t>
      </w:r>
      <w:r>
        <w:rPr>
          <w:rStyle w:val="Emphasis"/>
          <w:rFonts w:ascii="Times New Roman" w:hAnsi="Times New Roman"/>
          <w:sz w:val="20"/>
        </w:rPr>
        <w:t xml:space="preserve"> November 30, 2024, </w:t>
      </w:r>
      <w:r>
        <w:rPr>
          <w:rFonts w:ascii="Times New Roman" w:hAnsi="Times New Roman"/>
          <w:sz w:val="20"/>
        </w:rPr>
        <w:t>preceded the lease term, during which </w:t>
      </w:r>
      <w:r>
        <w:rPr>
          <w:rStyle w:val="Emphasis"/>
          <w:rFonts w:ascii="Times New Roman" w:hAnsi="Times New Roman"/>
          <w:sz w:val="20"/>
        </w:rPr>
        <w:t>no</w:t>
      </w:r>
      <w:r>
        <w:rPr>
          <w:rFonts w:ascii="Times New Roman" w:hAnsi="Times New Roman"/>
          <w:sz w:val="20"/>
        </w:rPr>
        <w:t> rent was charged by San Ho Enterprise. During the lease term, the monthly rent will increase by </w:t>
      </w:r>
      <w:r>
        <w:rPr>
          <w:rStyle w:val="Emphasis"/>
          <w:rFonts w:ascii="Times New Roman" w:hAnsi="Times New Roman"/>
          <w:sz w:val="20"/>
        </w:rPr>
        <w:t>three</w:t>
      </w:r>
      <w:r>
        <w:rPr>
          <w:rFonts w:ascii="Times New Roman" w:hAnsi="Times New Roman"/>
          <w:sz w:val="20"/>
        </w:rPr>
        <w:t> percent (3%) every </w:t>
      </w:r>
      <w:r>
        <w:rPr>
          <w:rStyle w:val="Emphasis"/>
          <w:rFonts w:ascii="Times New Roman" w:hAnsi="Times New Roman"/>
          <w:sz w:val="20"/>
        </w:rPr>
        <w:t>three</w:t>
      </w:r>
      <w:r>
        <w:rPr>
          <w:rFonts w:ascii="Times New Roman" w:hAnsi="Times New Roman"/>
          <w:sz w:val="20"/>
        </w:rPr>
        <w:t> years.</w:t>
      </w:r>
    </w:p>
    <w:p>
      <w:pPr>
        <w:pStyle w:val="TextBody"/>
        <w:bidi w:val="0"/>
        <w:spacing w:before="0" w:after="0"/>
        <w:ind w:left="0" w:right="0" w:firstLine="720"/>
        <w:jc w:val="left"/>
      </w:pPr>
      <w:r>
        <w:t> </w:t>
      </w:r>
    </w:p>
    <w:p>
      <w:pPr>
        <w:pStyle w:val="TextBody"/>
        <w:bidi w:val="0"/>
        <w:spacing w:before="0" w:after="0"/>
        <w:ind w:left="0" w:right="0" w:firstLine="720"/>
        <w:jc w:val="left"/>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September 1, 2025, </w:t>
      </w:r>
      <w:r>
        <w:rPr>
          <w:rFonts w:ascii="Times New Roman" w:hAnsi="Times New Roman"/>
          <w:caps w:val="false"/>
          <w:smallCaps w:val="false"/>
          <w:sz w:val="20"/>
        </w:rPr>
        <w:t xml:space="preserve">Prime World entered into a Lease Agreement with International Games System Co., Ltd., under which Prime World leases a parcel of land with a total area of approximately 65,580 square feet, in New Taipei City. The lease includes a building on the parcel, totaling approximately 346,212 square feet, excluding approximately 54,086 square feet of the leased property which, at the same time, had previously been leased to an existing tenant. The lease term is for fifteen years, commencing </w:t>
      </w:r>
      <w:r>
        <w:rPr>
          <w:rStyle w:val="Emphasis"/>
          <w:rFonts w:ascii="Times New Roman" w:hAnsi="Times New Roman"/>
          <w:caps w:val="false"/>
          <w:smallCaps w:val="false"/>
          <w:sz w:val="20"/>
        </w:rPr>
        <w:t xml:space="preserve">November 1, 2025, </w:t>
      </w:r>
      <w:r>
        <w:rPr>
          <w:rFonts w:ascii="Times New Roman" w:hAnsi="Times New Roman"/>
          <w:caps w:val="false"/>
          <w:smallCaps w:val="false"/>
          <w:sz w:val="20"/>
        </w:rPr>
        <w:t xml:space="preserve">and ending </w:t>
      </w:r>
      <w:r>
        <w:rPr>
          <w:rStyle w:val="Emphasis"/>
          <w:rFonts w:ascii="Times New Roman" w:hAnsi="Times New Roman"/>
          <w:caps w:val="false"/>
          <w:smallCaps w:val="false"/>
          <w:sz w:val="20"/>
        </w:rPr>
        <w:t xml:space="preserve">October 31, 2040. </w:t>
      </w:r>
      <w:r>
        <w:rPr>
          <w:rFonts w:ascii="Times New Roman" w:hAnsi="Times New Roman"/>
          <w:caps w:val="false"/>
          <w:smallCaps w:val="false"/>
          <w:sz w:val="20"/>
        </w:rPr>
        <w:t xml:space="preserve">A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-month renovation period from </w:t>
      </w:r>
      <w:r>
        <w:rPr>
          <w:rStyle w:val="Emphasis"/>
          <w:rFonts w:ascii="Times New Roman" w:hAnsi="Times New Roman"/>
          <w:caps w:val="false"/>
          <w:smallCaps w:val="false"/>
          <w:sz w:val="20"/>
        </w:rPr>
        <w:t xml:space="preserve">September 1 </w:t>
      </w:r>
      <w:r>
        <w:rPr>
          <w:rFonts w:ascii="Times New Roman" w:hAnsi="Times New Roman"/>
          <w:caps w:val="false"/>
          <w:smallCaps w:val="false"/>
          <w:sz w:val="20"/>
        </w:rPr>
        <w:t xml:space="preserve">to </w:t>
      </w:r>
      <w:r>
        <w:rPr>
          <w:rStyle w:val="Emphasis"/>
          <w:rFonts w:ascii="Times New Roman" w:hAnsi="Times New Roman"/>
          <w:caps w:val="false"/>
          <w:smallCaps w:val="false"/>
          <w:sz w:val="20"/>
        </w:rPr>
        <w:t>October 1, 2025, </w:t>
      </w:r>
      <w:r>
        <w:rPr>
          <w:rFonts w:ascii="Times New Roman" w:hAnsi="Times New Roman"/>
          <w:caps w:val="false"/>
          <w:smallCaps w:val="false"/>
          <w:sz w:val="20"/>
        </w:rPr>
        <w:t xml:space="preserve">preceded the lease term, during which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rent was charged. During the lease term, the monthly rent will increase by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percent (3%) every </w:t>
      </w:r>
      <w:r>
        <w:rPr>
          <w:rStyle w:val="Emphasis"/>
          <w:rFonts w:ascii="Times New Roman" w:hAnsi="Times New Roman"/>
          <w:caps w:val="false"/>
          <w:smallCaps w:val="false"/>
          <w:sz w:val="20"/>
        </w:rPr>
        <w:t>five</w:t>
      </w:r>
      <w:r>
        <w:rPr>
          <w:rFonts w:ascii="Times New Roman" w:hAnsi="Times New Roman"/>
          <w:caps w:val="false"/>
          <w:smallCaps w:val="false"/>
          <w:sz w:val="20"/>
        </w:rPr>
        <w:t xml:space="preserve"> years. On </w:t>
      </w:r>
      <w:r>
        <w:rPr>
          <w:rStyle w:val="Emphasis"/>
          <w:rFonts w:ascii="Times New Roman" w:hAnsi="Times New Roman"/>
          <w:caps w:val="false"/>
          <w:smallCaps w:val="false"/>
          <w:sz w:val="20"/>
        </w:rPr>
        <w:t xml:space="preserve">October 28, 2025, </w:t>
      </w:r>
      <w:r>
        <w:rPr>
          <w:rFonts w:ascii="Times New Roman" w:hAnsi="Times New Roman"/>
          <w:caps w:val="false"/>
          <w:smallCaps w:val="false"/>
          <w:sz w:val="20"/>
        </w:rPr>
        <w:t xml:space="preserve">Prime World entered into a lease to include 54,086 square feet of the property which was previously excluded in the lease entered into on </w:t>
      </w:r>
      <w:r>
        <w:rPr>
          <w:rStyle w:val="Emphasis"/>
          <w:rFonts w:ascii="Times New Roman" w:hAnsi="Times New Roman"/>
          <w:caps w:val="false"/>
          <w:smallCaps w:val="false"/>
          <w:sz w:val="20"/>
        </w:rPr>
        <w:t>September 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September 19, 2025, </w:t>
      </w:r>
      <w:r>
        <w:rPr>
          <w:rFonts w:ascii="Times New Roman" w:hAnsi="Times New Roman"/>
          <w:caps w:val="false"/>
          <w:smallCaps w:val="false"/>
          <w:sz w:val="20"/>
        </w:rPr>
        <w:t xml:space="preserve">the Company entered into a Lease Agreement with Coleman Logistics Assets LLC (“Coleman”), pursuant to which the Company leases approximately 209,665 square feet of space located at </w:t>
      </w:r>
      <w:r>
        <w:rPr>
          <w:rStyle w:val="Emphasis"/>
          <w:rFonts w:ascii="Times New Roman" w:hAnsi="Times New Roman"/>
          <w:caps w:val="false"/>
          <w:smallCaps w:val="false"/>
          <w:sz w:val="20"/>
        </w:rPr>
        <w:t>1111</w:t>
      </w:r>
      <w:r>
        <w:rPr>
          <w:rFonts w:ascii="Times New Roman" w:hAnsi="Times New Roman"/>
          <w:caps w:val="false"/>
          <w:smallCaps w:val="false"/>
          <w:sz w:val="20"/>
        </w:rPr>
        <w:t xml:space="preserve"> Gillingham Lane, Sugar Land, Texas </w:t>
      </w:r>
      <w:r>
        <w:rPr>
          <w:rStyle w:val="Emphasis"/>
          <w:rFonts w:ascii="Times New Roman" w:hAnsi="Times New Roman"/>
          <w:caps w:val="false"/>
          <w:smallCaps w:val="false"/>
          <w:sz w:val="20"/>
        </w:rPr>
        <w:t>77478.</w:t>
      </w:r>
      <w:r>
        <w:rPr>
          <w:rFonts w:ascii="Times New Roman" w:hAnsi="Times New Roman"/>
          <w:caps w:val="false"/>
          <w:smallCaps w:val="false"/>
          <w:sz w:val="20"/>
        </w:rPr>
        <w:t xml:space="preserve"> The leased premises is used by the Company primarily for manufacturing and related operations. The lease has a term of 126 months, commencing on </w:t>
      </w:r>
      <w:r>
        <w:rPr>
          <w:rStyle w:val="Emphasis"/>
          <w:rFonts w:ascii="Times New Roman" w:hAnsi="Times New Roman"/>
          <w:caps w:val="false"/>
          <w:smallCaps w:val="false"/>
          <w:sz w:val="20"/>
        </w:rPr>
        <w:t xml:space="preserve">March 31, 2026, </w:t>
      </w:r>
      <w:r>
        <w:rPr>
          <w:rFonts w:ascii="Times New Roman" w:hAnsi="Times New Roman"/>
          <w:caps w:val="false"/>
          <w:smallCaps w:val="false"/>
          <w:sz w:val="20"/>
        </w:rPr>
        <w:t xml:space="preserve">and expiring approximately </w:t>
      </w:r>
      <w:r>
        <w:rPr>
          <w:rStyle w:val="Emphasis"/>
          <w:rFonts w:ascii="Times New Roman" w:hAnsi="Times New Roman"/>
          <w:caps w:val="false"/>
          <w:smallCaps w:val="false"/>
          <w:sz w:val="20"/>
        </w:rPr>
        <w:t>126</w:t>
      </w:r>
      <w:r>
        <w:rPr>
          <w:rFonts w:ascii="Times New Roman" w:hAnsi="Times New Roman"/>
          <w:caps w:val="false"/>
          <w:smallCaps w:val="false"/>
          <w:sz w:val="20"/>
        </w:rPr>
        <w:t xml:space="preserve"> months thereafter, unless earlier terminated in accordance with the lease. Coleman agreed to provide a construction allowance toward the cost of leasehold improvements in an amount equal to the lesser of (i) the actual aggregate cost of such improvements or (ii) $1,886,985. Base rent under the lease is abated for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seven</w:t>
      </w:r>
      <w:r>
        <w:rPr>
          <w:rFonts w:ascii="Times New Roman" w:hAnsi="Times New Roman"/>
          <w:caps w:val="false"/>
          <w:smallCaps w:val="false"/>
          <w:sz w:val="20"/>
        </w:rPr>
        <w:t xml:space="preserve"> months of the term and thereafter increases on a scheduled basis through the end of the term, reflecting an average annual escalation of approximately 3.5%. Beginning in the </w:t>
      </w:r>
      <w:r>
        <w:rPr>
          <w:rStyle w:val="Emphasis"/>
          <w:rFonts w:ascii="Times New Roman" w:hAnsi="Times New Roman"/>
          <w:caps w:val="false"/>
          <w:smallCaps w:val="false"/>
          <w:sz w:val="20"/>
        </w:rPr>
        <w:t>eighth</w:t>
      </w:r>
      <w:r>
        <w:rPr>
          <w:rFonts w:ascii="Times New Roman" w:hAnsi="Times New Roman"/>
          <w:caps w:val="false"/>
          <w:smallCaps w:val="false"/>
          <w:sz w:val="20"/>
        </w:rPr>
        <w:t xml:space="preserve"> month of the term, base rent will be $7.44 per rentable square foot on an annual basis (approximately $129,992 per month), escalating periodically to $10.49 per rentable square foot on an annual basis (approximately $183,367 per month) during the final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of the term. </w:t>
      </w:r>
      <w:r>
        <w:rPr>
          <w:rFonts w:ascii="Times New Roman" w:hAnsi="Times New Roman"/>
          <w:caps w:val="false"/>
          <w:smallCaps w:val="false"/>
          <w:sz w:val="20"/>
          <w:shd w:fill="FFFFFF" w:val="clear"/>
        </w:rPr>
        <w:t xml:space="preserve">The total undiscounted lease payments over the initial lease term are approximately $18.5 million. As of </w:t>
      </w:r>
      <w:r>
        <w:rPr>
          <w:rStyle w:val="Emphasis"/>
          <w:rFonts w:ascii="Times New Roman" w:hAnsi="Times New Roman"/>
          <w:caps w:val="false"/>
          <w:smallCaps w:val="false"/>
          <w:sz w:val="20"/>
          <w:shd w:fill="FFFFFF" w:val="clear"/>
        </w:rPr>
        <w:t xml:space="preserve">September 30, 2026, </w:t>
      </w:r>
      <w:r>
        <w:rPr>
          <w:rFonts w:ascii="Times New Roman" w:hAnsi="Times New Roman"/>
          <w:caps w:val="false"/>
          <w:smallCaps w:val="false"/>
          <w:sz w:val="20"/>
          <w:shd w:fill="FFFFFF" w:val="clear"/>
        </w:rPr>
        <w:t>we recorded an $11.1 million ROU asset and $12.4 million in lease liability related to this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February 23, 2026, </w:t>
      </w:r>
      <w:r>
        <w:rPr>
          <w:rFonts w:ascii="Times New Roman" w:hAnsi="Times New Roman"/>
          <w:caps w:val="false"/>
          <w:smallCaps w:val="false"/>
          <w:sz w:val="20"/>
        </w:rPr>
        <w:t xml:space="preserve">the Company entered into a Lease Agreement (the "Prior Lease") with Blue Ridge Commerce Center West LLC ("Blue Ridge"), pursuant to which the Company leased approximately 153,928 square feet of space in Building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located at </w:t>
      </w:r>
      <w:r>
        <w:rPr>
          <w:rStyle w:val="Emphasis"/>
          <w:rFonts w:ascii="Times New Roman" w:hAnsi="Times New Roman"/>
          <w:caps w:val="false"/>
          <w:smallCaps w:val="false"/>
          <w:sz w:val="20"/>
        </w:rPr>
        <w:t>16851</w:t>
      </w:r>
      <w:r>
        <w:rPr>
          <w:rFonts w:ascii="Times New Roman" w:hAnsi="Times New Roman"/>
          <w:caps w:val="false"/>
          <w:smallCaps w:val="false"/>
          <w:sz w:val="20"/>
        </w:rPr>
        <w:t xml:space="preserve"> Blue Ridge Commerce Drive, Houston, Texas </w:t>
      </w:r>
      <w:r>
        <w:rPr>
          <w:rStyle w:val="Emphasis"/>
          <w:rFonts w:ascii="Times New Roman" w:hAnsi="Times New Roman"/>
          <w:caps w:val="false"/>
          <w:smallCaps w:val="false"/>
          <w:sz w:val="20"/>
        </w:rPr>
        <w:t>77489.</w:t>
      </w:r>
      <w:r>
        <w:rPr>
          <w:rFonts w:ascii="Times New Roman" w:hAnsi="Times New Roman"/>
          <w:caps w:val="false"/>
          <w:smallCaps w:val="false"/>
          <w:sz w:val="20"/>
        </w:rPr>
        <w:t xml:space="preserve"> The leased premises were used for office, warehouse and light manufacturing and assembly purposes. The Prior Lease had a term of 130 months, commencing on </w:t>
      </w:r>
      <w:r>
        <w:rPr>
          <w:rStyle w:val="Emphasis"/>
          <w:rFonts w:ascii="Times New Roman" w:hAnsi="Times New Roman"/>
          <w:caps w:val="false"/>
          <w:smallCaps w:val="false"/>
          <w:sz w:val="20"/>
        </w:rPr>
        <w:t xml:space="preserve">February 10, 2026. </w:t>
      </w:r>
      <w:r>
        <w:rPr>
          <w:rFonts w:ascii="Times New Roman" w:hAnsi="Times New Roman"/>
          <w:caps w:val="false"/>
          <w:smallCaps w:val="false"/>
          <w:sz w:val="20"/>
        </w:rPr>
        <w:t xml:space="preserve">Blue Ridge agreed to provide an improvement allowance in the amount of $3,078,560. Base rent was abated for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five</w:t>
      </w:r>
      <w:r>
        <w:rPr>
          <w:rFonts w:ascii="Times New Roman" w:hAnsi="Times New Roman"/>
          <w:caps w:val="false"/>
          <w:smallCaps w:val="false"/>
          <w:sz w:val="20"/>
        </w:rPr>
        <w:t xml:space="preserve"> months of the term. For months </w:t>
      </w:r>
      <w:r>
        <w:rPr>
          <w:rStyle w:val="Emphasis"/>
          <w:rFonts w:ascii="Times New Roman" w:hAnsi="Times New Roman"/>
          <w:caps w:val="false"/>
          <w:smallCaps w:val="false"/>
          <w:sz w:val="20"/>
        </w:rPr>
        <w:t>6</w:t>
      </w:r>
      <w:r>
        <w:rPr>
          <w:rFonts w:ascii="Times New Roman" w:hAnsi="Times New Roman"/>
          <w:caps w:val="false"/>
          <w:smallCaps w:val="false"/>
          <w:sz w:val="20"/>
        </w:rPr>
        <w:t xml:space="preserve"> through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monthly base rent was $5.16 per rentable square foot on an annualized basis (approximately $66,189 per month). Beginning in month </w:t>
      </w:r>
      <w:r>
        <w:rPr>
          <w:rStyle w:val="Emphasis"/>
          <w:rFonts w:ascii="Times New Roman" w:hAnsi="Times New Roman"/>
          <w:caps w:val="false"/>
          <w:smallCaps w:val="false"/>
          <w:sz w:val="20"/>
        </w:rPr>
        <w:t>11,</w:t>
      </w:r>
      <w:r>
        <w:rPr>
          <w:rFonts w:ascii="Times New Roman" w:hAnsi="Times New Roman"/>
          <w:caps w:val="false"/>
          <w:smallCaps w:val="false"/>
          <w:sz w:val="20"/>
        </w:rPr>
        <w:t xml:space="preserve"> base rent would have increased to $10.32 per rentable square foot on an annualized basis (approximately $132,378 per month) and escalated periodically throughout the remainder of the term, reflecting an average annual increase of approximately 3.5%. These scheduled increases would have culminated in base rent of $14.56 per rentable square foot on an annualized basis (approximately $186,732 per month) during the final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months of the term (months </w:t>
      </w:r>
      <w:r>
        <w:rPr>
          <w:rStyle w:val="Emphasis"/>
          <w:rFonts w:ascii="Times New Roman" w:hAnsi="Times New Roman"/>
          <w:caps w:val="false"/>
          <w:smallCaps w:val="false"/>
          <w:sz w:val="20"/>
        </w:rPr>
        <w:t>121</w:t>
      </w:r>
      <w:r>
        <w:rPr>
          <w:rFonts w:ascii="Times New Roman" w:hAnsi="Times New Roman"/>
          <w:caps w:val="false"/>
          <w:smallCaps w:val="false"/>
          <w:sz w:val="20"/>
        </w:rPr>
        <w:t xml:space="preserve"> through </w:t>
      </w:r>
      <w:r>
        <w:rPr>
          <w:rStyle w:val="Emphasis"/>
          <w:rFonts w:ascii="Times New Roman" w:hAnsi="Times New Roman"/>
          <w:caps w:val="false"/>
          <w:smallCaps w:val="false"/>
          <w:sz w:val="20"/>
        </w:rPr>
        <w:t>130</w:t>
      </w:r>
      <w:r>
        <w:rPr>
          <w:rFonts w:ascii="Times New Roman" w:hAnsi="Times New Roman"/>
          <w:caps w:val="false"/>
          <w:smallCaps w:val="false"/>
          <w:sz w:val="20"/>
        </w:rPr>
        <w:t xml:space="preserve">). The Company was required to pay (i) prepaid rent of $163,164 to be applied against the </w:t>
      </w:r>
      <w:r>
        <w:rPr>
          <w:rStyle w:val="Emphasis"/>
          <w:rFonts w:ascii="Times New Roman" w:hAnsi="Times New Roman"/>
          <w:caps w:val="false"/>
          <w:smallCaps w:val="false"/>
          <w:sz w:val="20"/>
        </w:rPr>
        <w:t>eleventh</w:t>
      </w:r>
      <w:r>
        <w:rPr>
          <w:rFonts w:ascii="Times New Roman" w:hAnsi="Times New Roman"/>
          <w:caps w:val="false"/>
          <w:smallCaps w:val="false"/>
          <w:sz w:val="20"/>
        </w:rPr>
        <w:t xml:space="preserve"> month’s rent and (ii) an initial security deposit of $2 million, which accrued interest and was subject to partial reductions during the lease term if specified payment-performance conditions are satisfied. The Prior Lease provided for scheduled reductions of the security deposit of $0.5 million after </w:t>
      </w:r>
      <w:r>
        <w:rPr>
          <w:rStyle w:val="Emphasis"/>
          <w:rFonts w:ascii="Times New Roman" w:hAnsi="Times New Roman"/>
          <w:caps w:val="false"/>
          <w:smallCaps w:val="false"/>
          <w:sz w:val="20"/>
        </w:rPr>
        <w:t>40</w:t>
      </w:r>
      <w:r>
        <w:rPr>
          <w:rFonts w:ascii="Times New Roman" w:hAnsi="Times New Roman"/>
          <w:caps w:val="false"/>
          <w:smallCaps w:val="false"/>
          <w:sz w:val="20"/>
        </w:rPr>
        <w:t xml:space="preserve"> months, $0.5 million after </w:t>
      </w:r>
      <w:r>
        <w:rPr>
          <w:rStyle w:val="Emphasis"/>
          <w:rFonts w:ascii="Times New Roman" w:hAnsi="Times New Roman"/>
          <w:caps w:val="false"/>
          <w:smallCaps w:val="false"/>
          <w:sz w:val="20"/>
        </w:rPr>
        <w:t>70</w:t>
      </w:r>
      <w:r>
        <w:rPr>
          <w:rFonts w:ascii="Times New Roman" w:hAnsi="Times New Roman"/>
          <w:caps w:val="false"/>
          <w:smallCaps w:val="false"/>
          <w:sz w:val="20"/>
        </w:rPr>
        <w:t xml:space="preserve"> months, and $0.34 million after </w:t>
      </w:r>
      <w:r>
        <w:rPr>
          <w:rStyle w:val="Emphasis"/>
          <w:rFonts w:ascii="Times New Roman" w:hAnsi="Times New Roman"/>
          <w:caps w:val="false"/>
          <w:smallCaps w:val="false"/>
          <w:sz w:val="20"/>
        </w:rPr>
        <w:t>100</w:t>
      </w:r>
      <w:r>
        <w:rPr>
          <w:rFonts w:ascii="Times New Roman" w:hAnsi="Times New Roman"/>
          <w:caps w:val="false"/>
          <w:smallCaps w:val="false"/>
          <w:sz w:val="20"/>
        </w:rPr>
        <w:t xml:space="preserve"> months, subject to the Company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being in default and other conditions set forth in the Lease. The total undiscounted lease payments over the initial lease term are approximately $19.5 million. On </w:t>
      </w:r>
      <w:r>
        <w:rPr>
          <w:rStyle w:val="Emphasis"/>
          <w:rFonts w:ascii="Times New Roman" w:hAnsi="Times New Roman"/>
          <w:caps w:val="false"/>
          <w:smallCaps w:val="false"/>
          <w:sz w:val="20"/>
        </w:rPr>
        <w:t xml:space="preserve">September 4, 2026, </w:t>
      </w:r>
      <w:r>
        <w:rPr>
          <w:rFonts w:ascii="Times New Roman" w:hAnsi="Times New Roman"/>
          <w:caps w:val="false"/>
          <w:smallCaps w:val="false"/>
          <w:sz w:val="20"/>
        </w:rPr>
        <w:t>the Company exercised its purchase option under the Prior Lease and acquired the leased property, consisting of approximately 8.858 acres of land and the approximately 153,928 rentable-square-foot building, for an aggregate purchase price of approximately $26.8 million, paid in cash at closing. Prior to the purchase, the Company had recorded a $12.1 million ROU asset and $13.1 million in lease liability related to this agreement. Upon the acquisition, the lease was terminated and the related ROU asset and lease liability were derecognized.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May 8, 2026, </w:t>
      </w:r>
      <w:r>
        <w:rPr>
          <w:rFonts w:ascii="Times New Roman" w:hAnsi="Times New Roman"/>
          <w:caps w:val="false"/>
          <w:smallCaps w:val="false"/>
          <w:sz w:val="20"/>
        </w:rPr>
        <w:t xml:space="preserve">the Company entered into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separate Lease Agreements with Hightower Phase I Owner, LLC ("Hightower"), pursuant to which the Company will lease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industrial buildings, located at </w:t>
      </w:r>
      <w:r>
        <w:rPr>
          <w:rStyle w:val="Emphasis"/>
          <w:rFonts w:ascii="Times New Roman" w:hAnsi="Times New Roman"/>
          <w:caps w:val="false"/>
          <w:smallCaps w:val="false"/>
          <w:sz w:val="20"/>
        </w:rPr>
        <w:t>6000</w:t>
      </w:r>
      <w:r>
        <w:rPr>
          <w:rFonts w:ascii="Times New Roman" w:hAnsi="Times New Roman"/>
          <w:caps w:val="false"/>
          <w:smallCaps w:val="false"/>
          <w:sz w:val="20"/>
        </w:rPr>
        <w:t xml:space="preserve"> McHard Road, Houston, Texas </w:t>
      </w:r>
      <w:r>
        <w:rPr>
          <w:rStyle w:val="Emphasis"/>
          <w:rFonts w:ascii="Times New Roman" w:hAnsi="Times New Roman"/>
          <w:caps w:val="false"/>
          <w:smallCaps w:val="false"/>
          <w:sz w:val="20"/>
        </w:rPr>
        <w:t>77053</w:t>
      </w:r>
      <w:r>
        <w:rPr>
          <w:rFonts w:ascii="Times New Roman" w:hAnsi="Times New Roman"/>
          <w:caps w:val="false"/>
          <w:smallCaps w:val="false"/>
          <w:sz w:val="20"/>
        </w:rPr>
        <w:t xml:space="preserve"> ("Building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6100</w:t>
      </w:r>
      <w:r>
        <w:rPr>
          <w:rFonts w:ascii="Times New Roman" w:hAnsi="Times New Roman"/>
          <w:caps w:val="false"/>
          <w:smallCaps w:val="false"/>
          <w:sz w:val="20"/>
        </w:rPr>
        <w:t xml:space="preserve"> McHard Road, Houston, Texas </w:t>
      </w:r>
      <w:r>
        <w:rPr>
          <w:rStyle w:val="Emphasis"/>
          <w:rFonts w:ascii="Times New Roman" w:hAnsi="Times New Roman"/>
          <w:caps w:val="false"/>
          <w:smallCaps w:val="false"/>
          <w:sz w:val="20"/>
        </w:rPr>
        <w:t>77053</w:t>
      </w:r>
      <w:r>
        <w:rPr>
          <w:rFonts w:ascii="Times New Roman" w:hAnsi="Times New Roman"/>
          <w:caps w:val="false"/>
          <w:smallCaps w:val="false"/>
          <w:sz w:val="20"/>
        </w:rPr>
        <w:t xml:space="preserve"> ("Building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17255</w:t>
      </w:r>
      <w:r>
        <w:rPr>
          <w:rFonts w:ascii="Times New Roman" w:hAnsi="Times New Roman"/>
          <w:caps w:val="false"/>
          <w:smallCaps w:val="false"/>
          <w:sz w:val="20"/>
        </w:rPr>
        <w:t xml:space="preserve"> Chimney Rock Road, Houston, Texas </w:t>
      </w:r>
      <w:r>
        <w:rPr>
          <w:rStyle w:val="Emphasis"/>
          <w:rFonts w:ascii="Times New Roman" w:hAnsi="Times New Roman"/>
          <w:caps w:val="false"/>
          <w:smallCaps w:val="false"/>
          <w:sz w:val="20"/>
        </w:rPr>
        <w:t>77053</w:t>
      </w:r>
      <w:r>
        <w:rPr>
          <w:rFonts w:ascii="Times New Roman" w:hAnsi="Times New Roman"/>
          <w:caps w:val="false"/>
          <w:smallCaps w:val="false"/>
          <w:sz w:val="20"/>
        </w:rPr>
        <w:t xml:space="preserve"> ("Building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The leased premises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used for manufacturing, warehouse and office use. Each lease has a term of </w:t>
      </w:r>
      <w:r>
        <w:rPr>
          <w:rStyle w:val="Emphasis"/>
          <w:rFonts w:ascii="Times New Roman" w:hAnsi="Times New Roman"/>
          <w:caps w:val="false"/>
          <w:smallCaps w:val="false"/>
          <w:sz w:val="20"/>
        </w:rPr>
        <w:t>123</w:t>
      </w:r>
      <w:r>
        <w:rPr>
          <w:rFonts w:ascii="Times New Roman" w:hAnsi="Times New Roman"/>
          <w:caps w:val="false"/>
          <w:smallCaps w:val="false"/>
          <w:sz w:val="20"/>
        </w:rPr>
        <w:t xml:space="preserve"> full calendar months, plus any partial month from the commencement date to the end of the calendar month in which the commencement date occurs. The commencement date will be the earliest of: (i) the date on which the Company occupies any portion of the applicable premises and begins conducting business therein, (ii) the date on which Hightower’s work is substantially completed, or (iii) the date on which such work would have been substantially completed but for any tenant delay days. Under each lease agreement, the Company is entitled to an initial rent abatement period during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Commencing in the </w:t>
      </w:r>
      <w:r>
        <w:rPr>
          <w:rStyle w:val="Emphasis"/>
          <w:rFonts w:ascii="Times New Roman" w:hAnsi="Times New Roman"/>
          <w:caps w:val="false"/>
          <w:smallCaps w:val="false"/>
          <w:sz w:val="20"/>
        </w:rPr>
        <w:t>fourth</w:t>
      </w:r>
      <w:r>
        <w:rPr>
          <w:rFonts w:ascii="Times New Roman" w:hAnsi="Times New Roman"/>
          <w:caps w:val="false"/>
          <w:smallCaps w:val="false"/>
          <w:sz w:val="20"/>
        </w:rPr>
        <w:t xml:space="preserve"> month, base rent escalates periodically throughout the term. Building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consists of approximately 163,930 rentable square feet, together with approximately 3.34-acre adjacent unimproved tract. Monthly basic rent starts at $104,915.20 in month four, escalating periodically to $146,127.30 during months </w:t>
      </w:r>
      <w:r>
        <w:rPr>
          <w:rStyle w:val="Emphasis"/>
          <w:rFonts w:ascii="Times New Roman" w:hAnsi="Times New Roman"/>
          <w:caps w:val="false"/>
          <w:smallCaps w:val="false"/>
          <w:sz w:val="20"/>
        </w:rPr>
        <w:t>112</w:t>
      </w:r>
      <w:r>
        <w:rPr>
          <w:rFonts w:ascii="Times New Roman" w:hAnsi="Times New Roman"/>
          <w:caps w:val="false"/>
          <w:smallCaps w:val="false"/>
          <w:sz w:val="20"/>
        </w:rPr>
        <w:t xml:space="preserve"> through </w:t>
      </w:r>
      <w:r>
        <w:rPr>
          <w:rStyle w:val="Emphasis"/>
          <w:rFonts w:ascii="Times New Roman" w:hAnsi="Times New Roman"/>
          <w:caps w:val="false"/>
          <w:smallCaps w:val="false"/>
          <w:sz w:val="20"/>
        </w:rPr>
        <w:t>123.</w:t>
      </w:r>
      <w:r>
        <w:rPr>
          <w:rFonts w:ascii="Times New Roman" w:hAnsi="Times New Roman"/>
          <w:caps w:val="false"/>
          <w:smallCaps w:val="false"/>
          <w:sz w:val="20"/>
        </w:rPr>
        <w:t xml:space="preserve"> Monthly basic rent for the adjacent unimproved tract starts at $6,680.00 in month four, escalating periodically to $9,303.99 during months </w:t>
      </w:r>
      <w:r>
        <w:rPr>
          <w:rStyle w:val="Emphasis"/>
          <w:rFonts w:ascii="Times New Roman" w:hAnsi="Times New Roman"/>
          <w:caps w:val="false"/>
          <w:smallCaps w:val="false"/>
          <w:sz w:val="20"/>
        </w:rPr>
        <w:t>112</w:t>
      </w:r>
      <w:r>
        <w:rPr>
          <w:rFonts w:ascii="Times New Roman" w:hAnsi="Times New Roman"/>
          <w:caps w:val="false"/>
          <w:smallCaps w:val="false"/>
          <w:sz w:val="20"/>
        </w:rPr>
        <w:t xml:space="preserve"> through </w:t>
      </w:r>
      <w:r>
        <w:rPr>
          <w:rStyle w:val="Emphasis"/>
          <w:rFonts w:ascii="Times New Roman" w:hAnsi="Times New Roman"/>
          <w:caps w:val="false"/>
          <w:smallCaps w:val="false"/>
          <w:sz w:val="20"/>
        </w:rPr>
        <w:t>123.</w:t>
      </w:r>
      <w:r>
        <w:rPr>
          <w:rFonts w:ascii="Times New Roman" w:hAnsi="Times New Roman"/>
          <w:caps w:val="false"/>
          <w:smallCaps w:val="false"/>
          <w:sz w:val="20"/>
        </w:rPr>
        <w:t xml:space="preserve"> Building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consists of approximately 343,332 rentable square feet. Monthly basic rent starts at $205,999.20 in month four, escalating periodically to $286,918.45 during months </w:t>
      </w:r>
      <w:r>
        <w:rPr>
          <w:rStyle w:val="Emphasis"/>
          <w:rFonts w:ascii="Times New Roman" w:hAnsi="Times New Roman"/>
          <w:caps w:val="false"/>
          <w:smallCaps w:val="false"/>
          <w:sz w:val="20"/>
        </w:rPr>
        <w:t>112</w:t>
      </w:r>
      <w:r>
        <w:rPr>
          <w:rFonts w:ascii="Times New Roman" w:hAnsi="Times New Roman"/>
          <w:caps w:val="false"/>
          <w:smallCaps w:val="false"/>
          <w:sz w:val="20"/>
        </w:rPr>
        <w:t xml:space="preserve"> through </w:t>
      </w:r>
      <w:r>
        <w:rPr>
          <w:rStyle w:val="Emphasis"/>
          <w:rFonts w:ascii="Times New Roman" w:hAnsi="Times New Roman"/>
          <w:caps w:val="false"/>
          <w:smallCaps w:val="false"/>
          <w:sz w:val="20"/>
        </w:rPr>
        <w:t>123.</w:t>
      </w:r>
      <w:r>
        <w:rPr>
          <w:rFonts w:ascii="Times New Roman" w:hAnsi="Times New Roman"/>
          <w:caps w:val="false"/>
          <w:smallCaps w:val="false"/>
          <w:sz w:val="20"/>
        </w:rPr>
        <w:t xml:space="preserve"> Building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consists of approximately 228,954 rentable square feet. Monthly basic rent starts at $146,530.56 in month four, escalating periodically to $204,089.73 during months </w:t>
      </w:r>
      <w:r>
        <w:rPr>
          <w:rStyle w:val="Emphasis"/>
          <w:rFonts w:ascii="Times New Roman" w:hAnsi="Times New Roman"/>
          <w:caps w:val="false"/>
          <w:smallCaps w:val="false"/>
          <w:sz w:val="20"/>
        </w:rPr>
        <w:t>112</w:t>
      </w:r>
      <w:r>
        <w:rPr>
          <w:rFonts w:ascii="Times New Roman" w:hAnsi="Times New Roman"/>
          <w:caps w:val="false"/>
          <w:smallCaps w:val="false"/>
          <w:sz w:val="20"/>
        </w:rPr>
        <w:t xml:space="preserve"> through </w:t>
      </w:r>
      <w:r>
        <w:rPr>
          <w:rStyle w:val="Emphasis"/>
          <w:rFonts w:ascii="Times New Roman" w:hAnsi="Times New Roman"/>
          <w:caps w:val="false"/>
          <w:smallCaps w:val="false"/>
          <w:sz w:val="20"/>
        </w:rPr>
        <w:t>123.</w:t>
      </w:r>
      <w:r>
        <w:rPr>
          <w:rFonts w:ascii="Times New Roman" w:hAnsi="Times New Roman"/>
          <w:caps w:val="false"/>
          <w:smallCaps w:val="false"/>
          <w:sz w:val="20"/>
        </w:rPr>
        <w:t xml:space="preserve"> Each lease agreement includes a fair value purchase and sales agreement granting the Company an option to purchase Building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Building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and Building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together with the land on which such buildings are located. The purchase and sale agreements provide for an aggregate purchase price of $102,250,000 and require earnest money of $1,758,750. As of </w:t>
      </w:r>
      <w:r>
        <w:rPr>
          <w:rStyle w:val="Emphasis"/>
          <w:rFonts w:ascii="Times New Roman" w:hAnsi="Times New Roman"/>
          <w:caps w:val="false"/>
          <w:smallCaps w:val="false"/>
          <w:sz w:val="20"/>
        </w:rPr>
        <w:t xml:space="preserve">September 30, 2026, </w:t>
      </w:r>
      <w:r>
        <w:rPr>
          <w:rFonts w:ascii="Times New Roman" w:hAnsi="Times New Roman"/>
          <w:caps w:val="false"/>
          <w:smallCaps w:val="false"/>
          <w:sz w:val="20"/>
        </w:rPr>
        <w:t xml:space="preserve">the Company had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recorded any ROU asset nor lease liability related to this agreement as the Company has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met the commencement criteria.</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August 31, 2026, </w:t>
      </w:r>
      <w:r>
        <w:rPr>
          <w:rFonts w:ascii="Times New Roman" w:hAnsi="Times New Roman"/>
          <w:caps w:val="false"/>
          <w:smallCaps w:val="false"/>
          <w:sz w:val="20"/>
        </w:rPr>
        <w:t xml:space="preserve">the Company entered into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separate lease agreements with Hightower Phase II Owner, LLC ("Hightower II"), an affiliate of Hightower, for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industrial buildings to be constructed at </w:t>
      </w:r>
      <w:r>
        <w:rPr>
          <w:rStyle w:val="Emphasis"/>
          <w:rFonts w:ascii="Times New Roman" w:hAnsi="Times New Roman"/>
          <w:caps w:val="false"/>
          <w:smallCaps w:val="false"/>
          <w:sz w:val="20"/>
        </w:rPr>
        <w:t>17331</w:t>
      </w:r>
      <w:r>
        <w:rPr>
          <w:rFonts w:ascii="Times New Roman" w:hAnsi="Times New Roman"/>
          <w:caps w:val="false"/>
          <w:smallCaps w:val="false"/>
          <w:sz w:val="20"/>
        </w:rPr>
        <w:t xml:space="preserve"> Chimney Rock Road ("Building </w:t>
      </w:r>
      <w:r>
        <w:rPr>
          <w:rStyle w:val="Emphasis"/>
          <w:rFonts w:ascii="Times New Roman" w:hAnsi="Times New Roman"/>
          <w:caps w:val="false"/>
          <w:smallCaps w:val="false"/>
          <w:sz w:val="20"/>
        </w:rPr>
        <w:t>4"</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17433</w:t>
      </w:r>
      <w:r>
        <w:rPr>
          <w:rFonts w:ascii="Times New Roman" w:hAnsi="Times New Roman"/>
          <w:caps w:val="false"/>
          <w:smallCaps w:val="false"/>
          <w:sz w:val="20"/>
        </w:rPr>
        <w:t xml:space="preserve"> Chimney Rock Road ("Building </w:t>
      </w:r>
      <w:r>
        <w:rPr>
          <w:rStyle w:val="Emphasis"/>
          <w:rFonts w:ascii="Times New Roman" w:hAnsi="Times New Roman"/>
          <w:caps w:val="false"/>
          <w:smallCaps w:val="false"/>
          <w:sz w:val="20"/>
        </w:rPr>
        <w:t>5"</w:t>
      </w:r>
      <w:r>
        <w:rPr>
          <w:rFonts w:ascii="Times New Roman" w:hAnsi="Times New Roman"/>
          <w:caps w:val="false"/>
          <w:smallCaps w:val="false"/>
          <w:sz w:val="20"/>
        </w:rPr>
        <w:t xml:space="preserve">), Houston, Texas </w:t>
      </w:r>
      <w:r>
        <w:rPr>
          <w:rStyle w:val="Emphasis"/>
          <w:rFonts w:ascii="Times New Roman" w:hAnsi="Times New Roman"/>
          <w:caps w:val="false"/>
          <w:smallCaps w:val="false"/>
          <w:sz w:val="20"/>
        </w:rPr>
        <w:t>77053,</w:t>
      </w:r>
      <w:r>
        <w:rPr>
          <w:rFonts w:ascii="Times New Roman" w:hAnsi="Times New Roman"/>
          <w:caps w:val="false"/>
          <w:smallCaps w:val="false"/>
          <w:sz w:val="20"/>
        </w:rPr>
        <w:t xml:space="preserve"> consisting of approximately 356,186 and 737,621 rentable square feet, respectively. The leased premises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used for light manufacturing, warehouse and related uses. Substantial completion is anticipated approximately </w:t>
      </w:r>
      <w:r>
        <w:rPr>
          <w:rStyle w:val="Emphasis"/>
          <w:rFonts w:ascii="Times New Roman" w:hAnsi="Times New Roman"/>
          <w:caps w:val="false"/>
          <w:smallCaps w:val="false"/>
          <w:sz w:val="20"/>
        </w:rPr>
        <w:t>16</w:t>
      </w:r>
      <w:r>
        <w:rPr>
          <w:rFonts w:ascii="Times New Roman" w:hAnsi="Times New Roman"/>
          <w:caps w:val="false"/>
          <w:smallCaps w:val="false"/>
          <w:sz w:val="20"/>
        </w:rPr>
        <w:t xml:space="preserve"> months following the date of the leases. Each lease has an initial term of 120 months, plus any partial month, commencing on the earliest of (i) the date the Company occupies and begins conducting business in any portion of the applicable premises, (ii) substantial completion of the landlord's work, or (iii) the date substantial completion would have occurred but for tenant delay. Monthly basic rent starts at approximately $220,835 for Building </w:t>
      </w:r>
      <w:r>
        <w:rPr>
          <w:rStyle w:val="Emphasis"/>
          <w:rFonts w:ascii="Times New Roman" w:hAnsi="Times New Roman"/>
          <w:caps w:val="false"/>
          <w:smallCaps w:val="false"/>
          <w:sz w:val="20"/>
        </w:rPr>
        <w:t>4</w:t>
      </w:r>
      <w:r>
        <w:rPr>
          <w:rFonts w:ascii="Times New Roman" w:hAnsi="Times New Roman"/>
          <w:caps w:val="false"/>
          <w:smallCaps w:val="false"/>
          <w:sz w:val="20"/>
        </w:rPr>
        <w:t xml:space="preserve"> and $457,325 for Building </w:t>
      </w:r>
      <w:r>
        <w:rPr>
          <w:rStyle w:val="Emphasis"/>
          <w:rFonts w:ascii="Times New Roman" w:hAnsi="Times New Roman"/>
          <w:caps w:val="false"/>
          <w:smallCaps w:val="false"/>
          <w:sz w:val="20"/>
        </w:rPr>
        <w:t>5</w:t>
      </w:r>
      <w:r>
        <w:rPr>
          <w:rFonts w:ascii="Times New Roman" w:hAnsi="Times New Roman"/>
          <w:caps w:val="false"/>
          <w:smallCaps w:val="false"/>
          <w:sz w:val="20"/>
        </w:rPr>
        <w:t xml:space="preserve"> and increases annually to approximately $307,582 and $636,968, respectively, during the final lease year. The Company is also responsible for </w:t>
      </w:r>
      <w:r>
        <w:rPr>
          <w:rStyle w:val="Emphasis"/>
          <w:rFonts w:ascii="Times New Roman" w:hAnsi="Times New Roman"/>
          <w:caps w:val="false"/>
          <w:smallCaps w:val="false"/>
          <w:sz w:val="20"/>
        </w:rPr>
        <w:t>100%</w:t>
      </w:r>
      <w:r>
        <w:rPr>
          <w:rFonts w:ascii="Times New Roman" w:hAnsi="Times New Roman"/>
          <w:caps w:val="false"/>
          <w:smallCaps w:val="false"/>
          <w:sz w:val="20"/>
        </w:rPr>
        <w:t xml:space="preserve"> of the operating costs, taxes and insurance allocated to each building. The leases require aggregate security deposits of $11.3 million, subject to scheduled reductions, and grant the Company an option to purchase Buildings </w:t>
      </w:r>
      <w:r>
        <w:rPr>
          <w:rStyle w:val="Emphasis"/>
          <w:rFonts w:ascii="Times New Roman" w:hAnsi="Times New Roman"/>
          <w:caps w:val="false"/>
          <w:smallCaps w:val="false"/>
          <w:sz w:val="20"/>
        </w:rPr>
        <w:t>4</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5</w:t>
      </w:r>
      <w:r>
        <w:rPr>
          <w:rFonts w:ascii="Times New Roman" w:hAnsi="Times New Roman"/>
          <w:caps w:val="false"/>
          <w:smallCaps w:val="false"/>
          <w:sz w:val="20"/>
        </w:rPr>
        <w:t xml:space="preserve"> and the related land for an aggregate purchase price of approximately $146.6 million, subject to adjustment. Hightower II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terminate the leases if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timely exercise, or fails to close, its option to purchase Buildings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As of </w:t>
      </w:r>
      <w:r>
        <w:rPr>
          <w:rStyle w:val="Emphasis"/>
          <w:rFonts w:ascii="Times New Roman" w:hAnsi="Times New Roman"/>
          <w:caps w:val="false"/>
          <w:smallCaps w:val="false"/>
          <w:sz w:val="20"/>
        </w:rPr>
        <w:t xml:space="preserve">September 30, 2026, </w:t>
      </w:r>
      <w:r>
        <w:rPr>
          <w:rFonts w:ascii="Times New Roman" w:hAnsi="Times New Roman"/>
          <w:caps w:val="false"/>
          <w:smallCaps w:val="false"/>
          <w:sz w:val="20"/>
        </w:rPr>
        <w:t xml:space="preserve">the Company had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recorded any ROU asset nor lease liability related to these leases because the commencement criteria had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been met.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September 10, 2026, </w:t>
      </w:r>
      <w:r>
        <w:rPr>
          <w:rFonts w:ascii="Times New Roman" w:hAnsi="Times New Roman"/>
          <w:caps w:val="false"/>
          <w:smallCaps w:val="false"/>
          <w:sz w:val="20"/>
        </w:rPr>
        <w:t xml:space="preserve">Global entered into a Factory Premises Lease Agreement with Ningbo Yiduofu Industrial Co., Ltd., under which Global will lease a building of approximately 38,311.8 square meters (approximately 412,385 square feet) located in Haishu District, Ningbo, China. The lease term is ten years, commencing on </w:t>
      </w:r>
      <w:r>
        <w:rPr>
          <w:rStyle w:val="Emphasis"/>
          <w:rFonts w:ascii="Times New Roman" w:hAnsi="Times New Roman"/>
          <w:caps w:val="false"/>
          <w:smallCaps w:val="false"/>
          <w:sz w:val="20"/>
        </w:rPr>
        <w:t xml:space="preserve">September 16, 2026, </w:t>
      </w:r>
      <w:r>
        <w:rPr>
          <w:rFonts w:ascii="Times New Roman" w:hAnsi="Times New Roman"/>
          <w:caps w:val="false"/>
          <w:smallCaps w:val="false"/>
          <w:sz w:val="20"/>
        </w:rPr>
        <w:t xml:space="preserve">and ending on </w:t>
      </w:r>
      <w:r>
        <w:rPr>
          <w:rStyle w:val="Emphasis"/>
          <w:rFonts w:ascii="Times New Roman" w:hAnsi="Times New Roman"/>
          <w:caps w:val="false"/>
          <w:smallCaps w:val="false"/>
          <w:sz w:val="20"/>
        </w:rPr>
        <w:t xml:space="preserve">September 15, 2036, </w:t>
      </w:r>
      <w:r>
        <w:rPr>
          <w:rFonts w:ascii="Times New Roman" w:hAnsi="Times New Roman"/>
          <w:caps w:val="false"/>
          <w:smallCaps w:val="false"/>
          <w:sz w:val="20"/>
        </w:rPr>
        <w:t xml:space="preserve">and includes a three-month rent-free renovation period beginning upon delivery of the premises. Annual rent is RMB 6,896,124 (approximately $1.0 million), increasing by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percent (3%) every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years beginning in the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lease year. Global also has a right of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refusal to purchase the premises if the lessor elects to sell, and a right of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refusal to renew the lease. As of </w:t>
      </w:r>
      <w:r>
        <w:rPr>
          <w:rStyle w:val="Emphasis"/>
          <w:rFonts w:ascii="Times New Roman" w:hAnsi="Times New Roman"/>
          <w:caps w:val="false"/>
          <w:smallCaps w:val="false"/>
          <w:sz w:val="20"/>
        </w:rPr>
        <w:t xml:space="preserve">September 30, 2026, </w:t>
      </w:r>
      <w:r>
        <w:rPr>
          <w:rFonts w:ascii="Times New Roman" w:hAnsi="Times New Roman"/>
          <w:caps w:val="false"/>
          <w:smallCaps w:val="false"/>
          <w:sz w:val="20"/>
        </w:rPr>
        <w:t>the Company recorded an $8.3 million ROU asset and $8.4 million in lease liability related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pPr>
      <w:r>
        <w:rPr>
          <w:rStyle w:val="Emphasis"/>
          <w:rFonts w:ascii="Times New Roman" w:hAnsi="Times New Roman"/>
          <w:sz w:val="20"/>
        </w:rPr>
        <w:t>12</w:t>
      </w:r>
      <w:r>
        <w:rPr>
          <w:rFonts w:ascii="Times New Roman" w:hAnsi="Times New Roman"/>
          <w:sz w:val="20"/>
        </w:rPr>
        <w:t xml:space="preserve"> </w:t>
      </w:r>
    </w:p>
    <w:p>
      <w:pPr>
        <w:pStyle w:val="HorizontalLine"/>
        <w:pBdr>
          <w:bottom w:val="double" w:sz="2" w:space="0" w:color="808080"/>
        </w:pBdr>
        <w:bidi w:val="0"/>
        <w:spacing w:before="0" w:after="283"/>
        <w:jc w:val="left"/>
      </w:pPr>
      <w:r/>
    </w:p>
    <w:p>
      <w:pPr>
        <w:pStyle w:val="TextBody"/>
        <w:bidi w:val="0"/>
        <w:spacing w:before="0" w:after="0"/>
        <w:jc w:val="left"/>
      </w:pPr>
      <w:hyperlink w:anchor="toc">
        <w:r>
          <w:rPr>
            <w:rStyle w:val="InternetLink"/>
            <w:rFonts w:ascii="Times New Roman;Times;serif" w:hAnsi="Times New Roman;Times;serif"/>
            <w:sz w:val="20"/>
          </w:rPr>
          <w:t>Table of Contents</w:t>
        </w:r>
      </w:hyperlink>
      <w:r>
        <w:t xml:space="preserve"> </w:t>
      </w:r>
    </w:p>
    <w:p>
      <w:pPr>
        <w:pStyle w:val="TextBody"/>
        <w:bidi w:val="0"/>
        <w:spacing w:before="0" w:after="283"/>
        <w:jc w:val="left"/>
      </w:pPr>
      <w:r>
        <w:t xml:space="preserve">  </w:t>
      </w:r>
    </w:p>
    <w:p>
      <w:pPr>
        <w:pStyle w:val="TextBody"/>
        <w:bidi w:val="0"/>
        <w:spacing w:before="0" w:after="0"/>
        <w:ind w:left="0" w:right="0" w:firstLine="720"/>
        <w:jc w:val="left"/>
      </w:pPr>
      <w:r>
        <w:rPr>
          <w:rFonts w:ascii="Times New Roman" w:hAnsi="Times New Roman"/>
          <w:sz w:val="20"/>
        </w:rPr>
        <w:t xml:space="preserve">As most of the Company’s leases do </w:t>
      </w:r>
      <w:r>
        <w:rPr>
          <w:rStyle w:val="Emphasis"/>
          <w:rFonts w:ascii="Times New Roman" w:hAnsi="Times New Roman"/>
          <w:sz w:val="20"/>
        </w:rPr>
        <w:t>not</w:t>
      </w:r>
      <w:r>
        <w:rPr>
          <w:rFonts w:ascii="Times New Roman" w:hAnsi="Times New Roman"/>
          <w:sz w:val="20"/>
        </w:rPr>
        <w:t xml:space="preserve"> provide an implicit rate, the Company uses its incremental borrowing rate, which is the rate incurred to borrow on a collateralized basis over a similar term an amount equal to the lease payments in a similar economic environment. Based on the applicable lease terms and current economic environment, the Company applies a location approach for determining the incremental borrowing rate.</w:t>
      </w:r>
    </w:p>
    <w:p>
      <w:pPr>
        <w:pStyle w:val="TextBody"/>
        <w:bidi w:val="0"/>
        <w:spacing w:before="0" w:after="0"/>
        <w:ind w:left="0" w:right="0" w:hanging="0"/>
        <w:jc w:val="left"/>
      </w:pPr>
      <w:r>
        <w:t> </w:t>
      </w:r>
    </w:p>
    <w:p>
      <w:pPr>
        <w:pStyle w:val="TextBody"/>
        <w:bidi w:val="0"/>
        <w:spacing w:before="0" w:after="0"/>
        <w:ind w:left="0" w:right="0" w:firstLine="720"/>
        <w:jc w:val="left"/>
      </w:pPr>
      <w:r>
        <w:rPr>
          <w:rFonts w:ascii="Times New Roman;Times;serif" w:hAnsi="Times New Roman;Times;serif"/>
          <w:b w:val="false"/>
          <w:sz w:val="20"/>
        </w:rPr>
        <w:t xml:space="preserve">Lease expense was included in general and administrative expenses and totaled $2.6 million and $1.1 million for the </w:t>
      </w:r>
      <w:r>
        <w:rPr>
          <w:rStyle w:val="Emphasis"/>
          <w:rFonts w:ascii="Times New Roman;Times;serif" w:hAnsi="Times New Roman;Times;serif"/>
          <w:b w:val="false"/>
          <w:sz w:val="20"/>
        </w:rPr>
        <w:t>three</w:t>
      </w:r>
      <w:r>
        <w:rPr>
          <w:rFonts w:ascii="Times New Roman;Times;serif" w:hAnsi="Times New Roman;Times;serif"/>
          <w:b w:val="false"/>
          <w:sz w:val="20"/>
        </w:rPr>
        <w:t xml:space="preserve"> months ended </w:t>
      </w:r>
      <w:r>
        <w:rPr>
          <w:rStyle w:val="Emphasis"/>
          <w:rFonts w:ascii="Times New Roman;Times;serif" w:hAnsi="Times New Roman;Times;serif"/>
          <w:b w:val="false"/>
          <w:sz w:val="20"/>
        </w:rPr>
        <w:t xml:space="preserve">September 30, 2026 </w:t>
      </w:r>
      <w:r>
        <w:rPr>
          <w:rFonts w:ascii="Times New Roman;Times;serif" w:hAnsi="Times New Roman;Times;serif"/>
          <w:b w:val="false"/>
          <w:sz w:val="20"/>
        </w:rPr>
        <w:t xml:space="preserve">and </w:t>
      </w:r>
      <w:r>
        <w:rPr>
          <w:rStyle w:val="Emphasis"/>
          <w:rFonts w:ascii="Times New Roman;Times;serif" w:hAnsi="Times New Roman;Times;serif"/>
          <w:b w:val="false"/>
          <w:sz w:val="20"/>
        </w:rPr>
        <w:t>2025</w:t>
      </w:r>
      <w:r>
        <w:rPr>
          <w:rFonts w:ascii="Times New Roman;Times;serif" w:hAnsi="Times New Roman;Times;serif"/>
          <w:b w:val="false"/>
          <w:sz w:val="20"/>
        </w:rPr>
        <w:t xml:space="preserve">, respectively. Total lease expense was $7.3 million and $2.4 million for the </w:t>
      </w:r>
      <w:r>
        <w:rPr>
          <w:rStyle w:val="Emphasis"/>
          <w:rFonts w:ascii="Times New Roman;Times;serif" w:hAnsi="Times New Roman;Times;serif"/>
          <w:b w:val="false"/>
          <w:sz w:val="20"/>
        </w:rPr>
        <w:t>nine</w:t>
      </w:r>
      <w:r>
        <w:rPr>
          <w:rFonts w:ascii="Times New Roman;Times;serif" w:hAnsi="Times New Roman;Times;serif"/>
          <w:b w:val="false"/>
          <w:sz w:val="20"/>
        </w:rPr>
        <w:t xml:space="preserve"> months ended </w:t>
      </w:r>
      <w:r>
        <w:rPr>
          <w:rStyle w:val="Emphasis"/>
          <w:rFonts w:ascii="Times New Roman;Times;serif" w:hAnsi="Times New Roman;Times;serif"/>
          <w:b w:val="false"/>
          <w:sz w:val="20"/>
        </w:rPr>
        <w:t xml:space="preserve">September 30, 2026 </w:t>
      </w:r>
      <w:r>
        <w:rPr>
          <w:rFonts w:ascii="Times New Roman;Times;serif" w:hAnsi="Times New Roman;Times;serif"/>
          <w:b w:val="false"/>
          <w:sz w:val="20"/>
        </w:rPr>
        <w:t xml:space="preserve">and </w:t>
      </w:r>
      <w:r>
        <w:rPr>
          <w:rStyle w:val="Emphasis"/>
          <w:rFonts w:ascii="Times New Roman;Times;serif" w:hAnsi="Times New Roman;Times;serif"/>
          <w:b w:val="false"/>
          <w:sz w:val="20"/>
        </w:rPr>
        <w:t>2025</w:t>
      </w:r>
      <w:r>
        <w:rPr>
          <w:rFonts w:ascii="Times New Roman;Times;serif" w:hAnsi="Times New Roman;Times;serif"/>
          <w:b w:val="false"/>
          <w:sz w:val="20"/>
        </w:rPr>
        <w:t>, respectively. The components of lease expense were as follows for the periods indicated (in thousands):</w:t>
      </w:r>
    </w:p>
    <w:p>
      <w:pPr>
        <w:pStyle w:val="TextBody"/>
        <w:bidi w:val="0"/>
        <w:spacing w:before="0" w:after="0"/>
        <w:ind w:left="0" w:right="0" w:firstLine="720"/>
        <w:jc w:val="left"/>
      </w:pPr>
      <w:r>
        <w:t> </w:t>
      </w:r>
    </w:p>
    <w:tbl>
      <w:tblPr>
        <w:tblW w:w="8019" w:type="dxa"/>
        <w:jc w:val="left"/>
        <w:tblInd w:w="0" w:type="dxa"/>
        <w:tblLayout w:type="fixed"/>
        <w:tblCellMar>
          <w:top w:w="0" w:type="dxa"/>
          <w:left w:w="0" w:type="dxa"/>
          <w:bottom w:w="0" w:type="dxa"/>
          <w:right w:w="0" w:type="dxa"/>
        </w:tblCellMar>
      </w:tblPr>
      <w:tblGrid>
        <w:gridCol w:w="2075"/>
        <w:gridCol w:w="60"/>
        <w:gridCol w:w="270"/>
        <w:gridCol w:w="1049"/>
        <w:gridCol w:w="129"/>
        <w:gridCol w:w="129"/>
        <w:gridCol w:w="270"/>
        <w:gridCol w:w="1049"/>
        <w:gridCol w:w="60"/>
        <w:gridCol w:w="60"/>
        <w:gridCol w:w="262"/>
        <w:gridCol w:w="1017"/>
        <w:gridCol w:w="125"/>
        <w:gridCol w:w="125"/>
        <w:gridCol w:w="262"/>
        <w:gridCol w:w="1017"/>
        <w:gridCol w:w="60"/>
      </w:tblGrid>
      <w:tr>
        <w:tc>
          <w:tcPr>
            <w:tcW w:w="207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89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Three months ended September 30,</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80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Nine months ended September 30,</w:t>
            </w:r>
          </w:p>
        </w:tc>
        <w:tc>
          <w:tcPr>
            <w:tcW w:w="60" w:type="dxa"/>
            <w:tcBorders/>
            <w:shd w:fill="FFFFFF" w:val="clear"/>
            <w:vAlign w:val="center"/>
          </w:tcPr>
          <w:p>
            <w:pPr>
              <w:pStyle w:val="TableContents"/>
              <w:bidi w:val="0"/>
              <w:spacing w:before="0" w:after="283"/>
              <w:jc w:val="left"/>
            </w:pPr>
            <w:r>
              <w:t> </w:t>
            </w:r>
          </w:p>
        </w:tc>
      </w:tr>
      <w:tr>
        <w:tc>
          <w:tcPr>
            <w:tcW w:w="207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3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2026</w:t>
            </w:r>
          </w:p>
        </w:tc>
        <w:tc>
          <w:tcPr>
            <w:tcW w:w="129" w:type="dxa"/>
            <w:tcBorders/>
            <w:shd w:fill="FFFFFF" w:val="clear"/>
            <w:vAlign w:val="center"/>
          </w:tcPr>
          <w:p>
            <w:pPr>
              <w:pStyle w:val="TableContents"/>
              <w:bidi w:val="0"/>
              <w:spacing w:before="0" w:after="283"/>
              <w:jc w:val="left"/>
            </w:pPr>
            <w:r>
              <w:t> </w:t>
            </w:r>
          </w:p>
        </w:tc>
        <w:tc>
          <w:tcPr>
            <w:tcW w:w="129" w:type="dxa"/>
            <w:tcBorders/>
            <w:shd w:fill="FFFFFF" w:val="clear"/>
            <w:vAlign w:val="center"/>
          </w:tcPr>
          <w:p>
            <w:pPr>
              <w:pStyle w:val="TableContents"/>
              <w:bidi w:val="0"/>
              <w:spacing w:before="0" w:after="283"/>
              <w:ind w:left="0" w:right="0" w:hanging="0"/>
              <w:jc w:val="left"/>
            </w:pPr>
            <w:r>
              <w:t> </w:t>
            </w:r>
          </w:p>
        </w:tc>
        <w:tc>
          <w:tcPr>
            <w:tcW w:w="13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7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2026</w:t>
            </w:r>
          </w:p>
        </w:tc>
        <w:tc>
          <w:tcPr>
            <w:tcW w:w="125"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127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pPr>
            <w:r>
              <w:t> </w:t>
            </w:r>
          </w:p>
        </w:tc>
      </w:tr>
      <w:tr>
        <w:tc>
          <w:tcPr>
            <w:tcW w:w="20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expense</w:t>
            </w:r>
          </w:p>
        </w:tc>
        <w:tc>
          <w:tcPr>
            <w:tcW w:w="60" w:type="dxa"/>
            <w:tcBorders/>
            <w:shd w:fill="CCEEFF" w:val="clear"/>
            <w:vAlign w:val="center"/>
          </w:tcPr>
          <w:p>
            <w:pPr>
              <w:pStyle w:val="TableContents"/>
              <w:bidi w:val="0"/>
              <w:spacing w:before="0" w:after="283"/>
              <w:jc w:val="left"/>
            </w:pPr>
            <w:r>
              <w:t> </w:t>
            </w:r>
          </w:p>
        </w:tc>
        <w:tc>
          <w:tcPr>
            <w:tcW w:w="2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4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2,266</w:t>
            </w:r>
          </w:p>
        </w:tc>
        <w:tc>
          <w:tcPr>
            <w:tcW w:w="129" w:type="dxa"/>
            <w:tcBorders/>
            <w:shd w:fill="CCEEFF" w:val="clear"/>
            <w:vAlign w:val="center"/>
          </w:tcPr>
          <w:p>
            <w:pPr>
              <w:pStyle w:val="TableContents"/>
              <w:bidi w:val="0"/>
              <w:spacing w:before="0" w:after="283"/>
              <w:jc w:val="left"/>
            </w:pPr>
            <w:r>
              <w:t> </w:t>
            </w:r>
          </w:p>
        </w:tc>
        <w:tc>
          <w:tcPr>
            <w:tcW w:w="129" w:type="dxa"/>
            <w:tcBorders/>
            <w:shd w:fill="CCEEFF" w:val="clear"/>
            <w:vAlign w:val="center"/>
          </w:tcPr>
          <w:p>
            <w:pPr>
              <w:pStyle w:val="TableContents"/>
              <w:bidi w:val="0"/>
              <w:spacing w:before="0" w:after="283"/>
              <w:jc w:val="left"/>
            </w:pPr>
            <w:r>
              <w:t> </w:t>
            </w:r>
          </w:p>
        </w:tc>
        <w:tc>
          <w:tcPr>
            <w:tcW w:w="2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4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840</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6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1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6,666</w:t>
            </w:r>
          </w:p>
        </w:tc>
        <w:tc>
          <w:tcPr>
            <w:tcW w:w="125"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26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1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1,771</w:t>
            </w:r>
          </w:p>
        </w:tc>
        <w:tc>
          <w:tcPr>
            <w:tcW w:w="60" w:type="dxa"/>
            <w:tcBorders/>
            <w:shd w:fill="CCEEFF" w:val="clear"/>
            <w:vAlign w:val="center"/>
          </w:tcPr>
          <w:p>
            <w:pPr>
              <w:pStyle w:val="TableContents"/>
              <w:bidi w:val="0"/>
              <w:spacing w:before="0" w:after="283"/>
              <w:ind w:left="0" w:right="0" w:hanging="0"/>
              <w:jc w:val="left"/>
            </w:pPr>
            <w:r>
              <w:t> </w:t>
            </w:r>
          </w:p>
        </w:tc>
      </w:tr>
      <w:tr>
        <w:tc>
          <w:tcPr>
            <w:tcW w:w="20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Short Term lease expense</w:t>
            </w:r>
          </w:p>
        </w:tc>
        <w:tc>
          <w:tcPr>
            <w:tcW w:w="60" w:type="dxa"/>
            <w:tcBorders/>
            <w:shd w:fill="FFFFFF" w:val="clear"/>
            <w:vAlign w:val="center"/>
          </w:tcPr>
          <w:p>
            <w:pPr>
              <w:pStyle w:val="TableContents"/>
              <w:bidi w:val="0"/>
              <w:spacing w:before="0" w:after="0"/>
              <w:ind w:left="0" w:right="0" w:hanging="0"/>
              <w:jc w:val="left"/>
            </w:pPr>
            <w:r>
              <w:t> </w:t>
            </w:r>
          </w:p>
        </w:tc>
        <w:tc>
          <w:tcPr>
            <w:tcW w:w="2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104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w:t>
            </w:r>
          </w:p>
        </w:tc>
        <w:tc>
          <w:tcPr>
            <w:tcW w:w="129" w:type="dxa"/>
            <w:tcBorders/>
            <w:shd w:fill="FFFFFF" w:val="clear"/>
            <w:vAlign w:val="center"/>
          </w:tcPr>
          <w:p>
            <w:pPr>
              <w:pStyle w:val="TableContents"/>
              <w:bidi w:val="0"/>
              <w:spacing w:before="0" w:after="0"/>
              <w:ind w:left="0" w:right="0" w:hanging="0"/>
              <w:jc w:val="left"/>
            </w:pPr>
            <w:r>
              <w:t> </w:t>
            </w:r>
          </w:p>
        </w:tc>
        <w:tc>
          <w:tcPr>
            <w:tcW w:w="129" w:type="dxa"/>
            <w:tcBorders/>
            <w:shd w:fill="FFFFFF" w:val="clear"/>
            <w:vAlign w:val="center"/>
          </w:tcPr>
          <w:p>
            <w:pPr>
              <w:pStyle w:val="TableContents"/>
              <w:bidi w:val="0"/>
              <w:spacing w:before="0" w:after="0"/>
              <w:ind w:left="0" w:right="0" w:hanging="0"/>
              <w:jc w:val="left"/>
            </w:pPr>
            <w:r>
              <w:t> </w:t>
            </w:r>
          </w:p>
        </w:tc>
        <w:tc>
          <w:tcPr>
            <w:tcW w:w="2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104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w:t>
            </w:r>
          </w:p>
        </w:tc>
        <w:tc>
          <w:tcPr>
            <w:tcW w:w="60" w:type="dxa"/>
            <w:tcBorders/>
            <w:shd w:fill="FFFFFF" w:val="clear"/>
            <w:vAlign w:val="center"/>
          </w:tcPr>
          <w:p>
            <w:pPr>
              <w:pStyle w:val="TableContents"/>
              <w:bidi w:val="0"/>
              <w:spacing w:before="0" w:after="0"/>
              <w:ind w:left="0" w:right="0" w:hanging="0"/>
              <w:jc w:val="left"/>
            </w:pPr>
            <w:r>
              <w:t> </w:t>
            </w:r>
          </w:p>
        </w:tc>
        <w:tc>
          <w:tcPr>
            <w:tcW w:w="60" w:type="dxa"/>
            <w:tcBorders/>
            <w:shd w:fill="FFFFFF" w:val="clear"/>
            <w:vAlign w:val="center"/>
          </w:tcPr>
          <w:p>
            <w:pPr>
              <w:pStyle w:val="TableContents"/>
              <w:bidi w:val="0"/>
              <w:spacing w:before="0" w:after="0"/>
              <w:ind w:left="0" w:right="0" w:hanging="0"/>
              <w:jc w:val="left"/>
            </w:pPr>
            <w:r>
              <w:t> </w:t>
            </w:r>
          </w:p>
        </w:tc>
        <w:tc>
          <w:tcPr>
            <w:tcW w:w="26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101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641</w:t>
            </w:r>
          </w:p>
        </w:tc>
        <w:tc>
          <w:tcPr>
            <w:tcW w:w="125" w:type="dxa"/>
            <w:tcBorders/>
            <w:shd w:fill="FFFFFF" w:val="clear"/>
            <w:vAlign w:val="center"/>
          </w:tcPr>
          <w:p>
            <w:pPr>
              <w:pStyle w:val="TableContents"/>
              <w:bidi w:val="0"/>
              <w:spacing w:before="0" w:after="0"/>
              <w:ind w:left="0" w:right="0" w:hanging="0"/>
              <w:jc w:val="left"/>
            </w:pPr>
            <w:r>
              <w:t> </w:t>
            </w:r>
          </w:p>
        </w:tc>
        <w:tc>
          <w:tcPr>
            <w:tcW w:w="125" w:type="dxa"/>
            <w:tcBorders/>
            <w:shd w:fill="FFFFFF" w:val="clear"/>
            <w:vAlign w:val="center"/>
          </w:tcPr>
          <w:p>
            <w:pPr>
              <w:pStyle w:val="TableContents"/>
              <w:bidi w:val="0"/>
              <w:spacing w:before="0" w:after="0"/>
              <w:ind w:left="0" w:right="0" w:hanging="0"/>
              <w:jc w:val="left"/>
            </w:pPr>
            <w:r>
              <w:t> </w:t>
            </w:r>
          </w:p>
        </w:tc>
        <w:tc>
          <w:tcPr>
            <w:tcW w:w="26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101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614</w:t>
            </w:r>
          </w:p>
        </w:tc>
        <w:tc>
          <w:tcPr>
            <w:tcW w:w="60" w:type="dxa"/>
            <w:tcBorders/>
            <w:shd w:fill="FFFFFF" w:val="clear"/>
            <w:vAlign w:val="center"/>
          </w:tcPr>
          <w:p>
            <w:pPr>
              <w:pStyle w:val="TableContents"/>
              <w:bidi w:val="0"/>
              <w:spacing w:before="0" w:after="0"/>
              <w:jc w:val="left"/>
            </w:pPr>
            <w:r>
              <w:t> </w:t>
            </w:r>
          </w:p>
        </w:tc>
      </w:tr>
      <w:tr>
        <w:tc>
          <w:tcPr>
            <w:tcW w:w="20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lease expense</w:t>
            </w:r>
          </w:p>
        </w:tc>
        <w:tc>
          <w:tcPr>
            <w:tcW w:w="60" w:type="dxa"/>
            <w:tcBorders/>
            <w:shd w:fill="CCEEFF" w:val="clear"/>
            <w:vAlign w:val="center"/>
          </w:tcPr>
          <w:p>
            <w:pPr>
              <w:pStyle w:val="TableContents"/>
              <w:bidi w:val="0"/>
              <w:spacing w:before="0" w:after="283"/>
              <w:ind w:left="0" w:right="0" w:hanging="0"/>
              <w:jc w:val="left"/>
            </w:pPr>
            <w:r>
              <w:t> </w:t>
            </w:r>
          </w:p>
        </w:tc>
        <w:tc>
          <w:tcPr>
            <w:tcW w:w="27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2,565</w:t>
            </w:r>
          </w:p>
        </w:tc>
        <w:tc>
          <w:tcPr>
            <w:tcW w:w="129" w:type="dxa"/>
            <w:tcBorders/>
            <w:shd w:fill="CCEEFF" w:val="clear"/>
            <w:vAlign w:val="center"/>
          </w:tcPr>
          <w:p>
            <w:pPr>
              <w:pStyle w:val="TableContents"/>
              <w:bidi w:val="0"/>
              <w:spacing w:before="0" w:after="283"/>
              <w:jc w:val="left"/>
            </w:pPr>
            <w:r>
              <w:t> </w:t>
            </w:r>
          </w:p>
        </w:tc>
        <w:tc>
          <w:tcPr>
            <w:tcW w:w="129" w:type="dxa"/>
            <w:tcBorders/>
            <w:shd w:fill="CCEEFF" w:val="clear"/>
            <w:vAlign w:val="center"/>
          </w:tcPr>
          <w:p>
            <w:pPr>
              <w:pStyle w:val="TableContents"/>
              <w:bidi w:val="0"/>
              <w:spacing w:before="0" w:after="283"/>
              <w:ind w:left="0" w:right="0" w:hanging="0"/>
              <w:jc w:val="left"/>
            </w:pPr>
            <w:r>
              <w:t> </w:t>
            </w:r>
          </w:p>
        </w:tc>
        <w:tc>
          <w:tcPr>
            <w:tcW w:w="27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1,097</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26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7,307</w:t>
            </w:r>
          </w:p>
        </w:tc>
        <w:tc>
          <w:tcPr>
            <w:tcW w:w="125"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26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2,385</w:t>
            </w:r>
          </w:p>
        </w:tc>
        <w:tc>
          <w:tcPr>
            <w:tcW w:w="60" w:type="dxa"/>
            <w:tcBorders/>
            <w:shd w:fill="CCEEFF" w:val="clear"/>
            <w:vAlign w:val="center"/>
          </w:tcPr>
          <w:p>
            <w:pPr>
              <w:pStyle w:val="TableContents"/>
              <w:bidi w:val="0"/>
              <w:spacing w:before="0" w:after="283"/>
              <w:jc w:val="left"/>
            </w:pPr>
            <w:r>
              <w:t> </w:t>
            </w:r>
          </w:p>
        </w:tc>
      </w:tr>
    </w:tbl>
    <w:p>
      <w:pPr>
        <w:pStyle w:val="TextBody"/>
        <w:bidi w:val="0"/>
        <w:spacing w:before="0" w:after="0"/>
        <w:ind w:left="0" w:right="0" w:firstLine="720"/>
        <w:jc w:val="left"/>
      </w:pPr>
      <w:r>
        <w:t> </w:t>
      </w:r>
    </w:p>
    <w:p>
      <w:pPr>
        <w:pStyle w:val="TextBody"/>
        <w:bidi w:val="0"/>
        <w:spacing w:before="0" w:after="0"/>
        <w:ind w:left="0" w:right="0" w:firstLine="720"/>
        <w:jc w:val="left"/>
      </w:pPr>
      <w:r>
        <w:rPr>
          <w:rFonts w:ascii="Times New Roman" w:hAnsi="Times New Roman"/>
          <w:sz w:val="20"/>
        </w:rPr>
        <w:t xml:space="preserve">Maturities of lease liabilities are as follows for the future </w:t>
      </w:r>
      <w:r>
        <w:rPr>
          <w:rStyle w:val="Emphasis"/>
          <w:rFonts w:ascii="Times New Roman" w:hAnsi="Times New Roman"/>
          <w:sz w:val="20"/>
        </w:rPr>
        <w:t>one</w:t>
      </w:r>
      <w:r>
        <w:rPr>
          <w:rFonts w:ascii="Times New Roman" w:hAnsi="Times New Roman"/>
          <w:sz w:val="20"/>
        </w:rPr>
        <w:t>-year fiscal year periods (in thousands):</w:t>
      </w:r>
    </w:p>
    <w:p>
      <w:pPr>
        <w:pStyle w:val="TextBody"/>
        <w:bidi w:val="0"/>
        <w:spacing w:before="0" w:after="0"/>
        <w:ind w:left="0" w:right="0" w:firstLine="720"/>
        <w:jc w:val="left"/>
      </w:pPr>
      <w:r>
        <w:t>​</w:t>
      </w:r>
    </w:p>
    <w:tbl>
      <w:tblPr>
        <w:tblW w:w="3225" w:type="dxa"/>
        <w:jc w:val="left"/>
        <w:tblInd w:w="0" w:type="dxa"/>
        <w:tblLayout w:type="fixed"/>
        <w:tblCellMar>
          <w:top w:w="0" w:type="dxa"/>
          <w:left w:w="0" w:type="dxa"/>
          <w:bottom w:w="0" w:type="dxa"/>
          <w:right w:w="0" w:type="dxa"/>
        </w:tblCellMar>
      </w:tblPr>
      <w:tblGrid>
        <w:gridCol w:w="2225"/>
        <w:gridCol w:w="60"/>
        <w:gridCol w:w="138"/>
        <w:gridCol w:w="722"/>
        <w:gridCol w:w="80"/>
      </w:tblGrid>
      <w:tr>
        <w:tc>
          <w:tcPr>
            <w:tcW w:w="22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Fiscal years:</w:t>
            </w:r>
          </w:p>
        </w:tc>
        <w:tc>
          <w:tcPr>
            <w:tcW w:w="60" w:type="dxa"/>
            <w:tcBorders/>
            <w:shd w:fill="FFFFFF" w:val="clear"/>
            <w:vAlign w:val="center"/>
          </w:tcPr>
          <w:p>
            <w:pPr>
              <w:pStyle w:val="TableContents"/>
              <w:bidi w:val="0"/>
              <w:spacing w:before="0" w:after="283"/>
              <w:ind w:left="0" w:right="0" w:hanging="0"/>
              <w:jc w:val="left"/>
            </w:pPr>
            <w:r>
              <w:t> </w:t>
            </w:r>
          </w:p>
        </w:tc>
        <w:tc>
          <w:tcPr>
            <w:tcW w:w="8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Operating</w:t>
            </w:r>
          </w:p>
        </w:tc>
        <w:tc>
          <w:tcPr>
            <w:tcW w:w="80" w:type="dxa"/>
            <w:tcBorders/>
            <w:shd w:fill="FFFFFF" w:val="clear"/>
            <w:vAlign w:val="center"/>
          </w:tcPr>
          <w:p>
            <w:pPr>
              <w:pStyle w:val="TableContents"/>
              <w:bidi w:val="0"/>
              <w:spacing w:before="0" w:after="283"/>
              <w:jc w:val="left"/>
            </w:pPr>
            <w:r>
              <w:t> </w:t>
            </w:r>
          </w:p>
        </w:tc>
      </w:tr>
      <w:tr>
        <w:tc>
          <w:tcPr>
            <w:tcW w:w="22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 (remaining 3 months)</w:t>
            </w:r>
          </w:p>
        </w:tc>
        <w:tc>
          <w:tcPr>
            <w:tcW w:w="60" w:type="dxa"/>
            <w:tcBorders/>
            <w:shd w:fill="CCEEFF" w:val="clear"/>
            <w:vAlign w:val="center"/>
          </w:tcPr>
          <w:p>
            <w:pPr>
              <w:pStyle w:val="TableContents"/>
              <w:bidi w:val="0"/>
              <w:spacing w:before="0" w:after="283"/>
              <w:jc w:val="left"/>
            </w:pPr>
            <w:r>
              <w:t> </w:t>
            </w:r>
          </w:p>
        </w:tc>
        <w:tc>
          <w:tcPr>
            <w:tcW w:w="13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2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2,149</w:t>
            </w:r>
          </w:p>
        </w:tc>
        <w:tc>
          <w:tcPr>
            <w:tcW w:w="80" w:type="dxa"/>
            <w:tcBorders/>
            <w:shd w:fill="CCEEFF" w:val="clear"/>
            <w:vAlign w:val="center"/>
          </w:tcPr>
          <w:p>
            <w:pPr>
              <w:pStyle w:val="TableContents"/>
              <w:bidi w:val="0"/>
              <w:spacing w:before="0" w:after="283"/>
              <w:jc w:val="left"/>
            </w:pPr>
            <w:r>
              <w:t> </w:t>
            </w:r>
          </w:p>
        </w:tc>
      </w:tr>
      <w:tr>
        <w:tc>
          <w:tcPr>
            <w:tcW w:w="222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60" w:type="dxa"/>
            <w:tcBorders/>
            <w:shd w:fill="FFFFFF" w:val="clear"/>
            <w:vAlign w:val="center"/>
          </w:tcPr>
          <w:p>
            <w:pPr>
              <w:pStyle w:val="TableContents"/>
              <w:bidi w:val="0"/>
              <w:spacing w:before="0" w:after="283"/>
              <w:jc w:val="left"/>
            </w:pPr>
            <w:r>
              <w:t> </w:t>
            </w:r>
          </w:p>
        </w:tc>
        <w:tc>
          <w:tcPr>
            <w:tcW w:w="138" w:type="dxa"/>
            <w:tcBorders/>
            <w:shd w:fill="FFFFFF" w:val="clear"/>
            <w:vAlign w:val="center"/>
          </w:tcPr>
          <w:p>
            <w:pPr>
              <w:pStyle w:val="TableContents"/>
              <w:bidi w:val="0"/>
              <w:spacing w:before="0" w:after="283"/>
              <w:jc w:val="left"/>
            </w:pPr>
            <w:r>
              <w:t> </w:t>
            </w:r>
          </w:p>
        </w:tc>
        <w:tc>
          <w:tcPr>
            <w:tcW w:w="72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8,633</w:t>
            </w:r>
          </w:p>
        </w:tc>
        <w:tc>
          <w:tcPr>
            <w:tcW w:w="80" w:type="dxa"/>
            <w:tcBorders/>
            <w:shd w:fill="FFFFFF" w:val="clear"/>
            <w:vAlign w:val="center"/>
          </w:tcPr>
          <w:p>
            <w:pPr>
              <w:pStyle w:val="TableContents"/>
              <w:bidi w:val="0"/>
              <w:spacing w:before="0" w:after="283"/>
              <w:jc w:val="left"/>
            </w:pPr>
            <w:r>
              <w:t> </w:t>
            </w:r>
          </w:p>
        </w:tc>
      </w:tr>
      <w:tr>
        <w:tc>
          <w:tcPr>
            <w:tcW w:w="22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60" w:type="dxa"/>
            <w:tcBorders/>
            <w:shd w:fill="CCEEFF" w:val="clear"/>
            <w:vAlign w:val="center"/>
          </w:tcPr>
          <w:p>
            <w:pPr>
              <w:pStyle w:val="TableContents"/>
              <w:bidi w:val="0"/>
              <w:spacing w:before="0" w:after="283"/>
              <w:jc w:val="left"/>
            </w:pPr>
            <w:r>
              <w:t> </w:t>
            </w:r>
          </w:p>
        </w:tc>
        <w:tc>
          <w:tcPr>
            <w:tcW w:w="138" w:type="dxa"/>
            <w:tcBorders/>
            <w:shd w:fill="CCEEFF" w:val="clear"/>
            <w:vAlign w:val="center"/>
          </w:tcPr>
          <w:p>
            <w:pPr>
              <w:pStyle w:val="TableContents"/>
              <w:bidi w:val="0"/>
              <w:spacing w:before="0" w:after="283"/>
              <w:jc w:val="left"/>
            </w:pPr>
            <w:r>
              <w:t> </w:t>
            </w:r>
          </w:p>
        </w:tc>
        <w:tc>
          <w:tcPr>
            <w:tcW w:w="72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8,629</w:t>
            </w:r>
          </w:p>
        </w:tc>
        <w:tc>
          <w:tcPr>
            <w:tcW w:w="80" w:type="dxa"/>
            <w:tcBorders/>
            <w:shd w:fill="CCEEFF" w:val="clear"/>
            <w:vAlign w:val="center"/>
          </w:tcPr>
          <w:p>
            <w:pPr>
              <w:pStyle w:val="TableContents"/>
              <w:bidi w:val="0"/>
              <w:spacing w:before="0" w:after="283"/>
              <w:jc w:val="left"/>
            </w:pPr>
            <w:r>
              <w:t> </w:t>
            </w:r>
          </w:p>
        </w:tc>
      </w:tr>
      <w:tr>
        <w:tc>
          <w:tcPr>
            <w:tcW w:w="222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60" w:type="dxa"/>
            <w:tcBorders/>
            <w:shd w:fill="FFFFFF" w:val="clear"/>
            <w:vAlign w:val="center"/>
          </w:tcPr>
          <w:p>
            <w:pPr>
              <w:pStyle w:val="TableContents"/>
              <w:bidi w:val="0"/>
              <w:spacing w:before="0" w:after="283"/>
              <w:jc w:val="left"/>
            </w:pPr>
            <w:r>
              <w:t> </w:t>
            </w:r>
          </w:p>
        </w:tc>
        <w:tc>
          <w:tcPr>
            <w:tcW w:w="138" w:type="dxa"/>
            <w:tcBorders/>
            <w:shd w:fill="FFFFFF" w:val="clear"/>
            <w:vAlign w:val="center"/>
          </w:tcPr>
          <w:p>
            <w:pPr>
              <w:pStyle w:val="TableContents"/>
              <w:bidi w:val="0"/>
              <w:spacing w:before="0" w:after="283"/>
              <w:jc w:val="left"/>
            </w:pPr>
            <w:r>
              <w:t> </w:t>
            </w:r>
          </w:p>
        </w:tc>
        <w:tc>
          <w:tcPr>
            <w:tcW w:w="72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8,066</w:t>
            </w:r>
          </w:p>
        </w:tc>
        <w:tc>
          <w:tcPr>
            <w:tcW w:w="80" w:type="dxa"/>
            <w:tcBorders/>
            <w:shd w:fill="FFFFFF" w:val="clear"/>
            <w:vAlign w:val="center"/>
          </w:tcPr>
          <w:p>
            <w:pPr>
              <w:pStyle w:val="TableContents"/>
              <w:bidi w:val="0"/>
              <w:spacing w:before="0" w:after="283"/>
              <w:jc w:val="left"/>
            </w:pPr>
            <w:r>
              <w:t> </w:t>
            </w:r>
          </w:p>
        </w:tc>
      </w:tr>
      <w:tr>
        <w:tc>
          <w:tcPr>
            <w:tcW w:w="22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w:t>
            </w:r>
          </w:p>
        </w:tc>
        <w:tc>
          <w:tcPr>
            <w:tcW w:w="60" w:type="dxa"/>
            <w:tcBorders/>
            <w:shd w:fill="CCEEFF" w:val="clear"/>
            <w:vAlign w:val="center"/>
          </w:tcPr>
          <w:p>
            <w:pPr>
              <w:pStyle w:val="TableContents"/>
              <w:bidi w:val="0"/>
              <w:spacing w:before="0" w:after="283"/>
              <w:jc w:val="left"/>
            </w:pPr>
            <w:r>
              <w:t> </w:t>
            </w:r>
          </w:p>
        </w:tc>
        <w:tc>
          <w:tcPr>
            <w:tcW w:w="138" w:type="dxa"/>
            <w:tcBorders/>
            <w:shd w:fill="CCEEFF" w:val="clear"/>
            <w:vAlign w:val="center"/>
          </w:tcPr>
          <w:p>
            <w:pPr>
              <w:pStyle w:val="TableContents"/>
              <w:bidi w:val="0"/>
              <w:spacing w:before="0" w:after="283"/>
              <w:jc w:val="left"/>
            </w:pPr>
            <w:r>
              <w:t> </w:t>
            </w:r>
          </w:p>
        </w:tc>
        <w:tc>
          <w:tcPr>
            <w:tcW w:w="72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7,553</w:t>
            </w:r>
          </w:p>
        </w:tc>
        <w:tc>
          <w:tcPr>
            <w:tcW w:w="80" w:type="dxa"/>
            <w:tcBorders/>
            <w:shd w:fill="CCEEFF" w:val="clear"/>
            <w:vAlign w:val="center"/>
          </w:tcPr>
          <w:p>
            <w:pPr>
              <w:pStyle w:val="TableContents"/>
              <w:bidi w:val="0"/>
              <w:spacing w:before="0" w:after="283"/>
              <w:jc w:val="left"/>
            </w:pPr>
            <w:r>
              <w:t> </w:t>
            </w:r>
          </w:p>
        </w:tc>
      </w:tr>
      <w:tr>
        <w:tc>
          <w:tcPr>
            <w:tcW w:w="222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2031 and thereafter</w:t>
            </w:r>
          </w:p>
        </w:tc>
        <w:tc>
          <w:tcPr>
            <w:tcW w:w="60" w:type="dxa"/>
            <w:tcBorders/>
            <w:shd w:fill="FFFFFF" w:val="clear"/>
            <w:vAlign w:val="center"/>
          </w:tcPr>
          <w:p>
            <w:pPr>
              <w:pStyle w:val="TableContents"/>
              <w:bidi w:val="0"/>
              <w:spacing w:before="0" w:after="283"/>
              <w:ind w:left="0" w:right="0" w:hanging="0"/>
              <w:jc w:val="left"/>
            </w:pPr>
            <w:r>
              <w:t> </w:t>
            </w:r>
          </w:p>
        </w:tc>
        <w:tc>
          <w:tcPr>
            <w:tcW w:w="13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722"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54,175</w:t>
            </w:r>
          </w:p>
        </w:tc>
        <w:tc>
          <w:tcPr>
            <w:tcW w:w="80" w:type="dxa"/>
            <w:tcBorders/>
            <w:shd w:fill="FFFFFF" w:val="clear"/>
            <w:vAlign w:val="center"/>
          </w:tcPr>
          <w:p>
            <w:pPr>
              <w:pStyle w:val="TableContents"/>
              <w:bidi w:val="0"/>
              <w:spacing w:before="0" w:after="283"/>
              <w:jc w:val="left"/>
            </w:pPr>
            <w:r>
              <w:t> </w:t>
            </w:r>
          </w:p>
        </w:tc>
      </w:tr>
      <w:tr>
        <w:tc>
          <w:tcPr>
            <w:tcW w:w="22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lease payments</w:t>
            </w:r>
          </w:p>
        </w:tc>
        <w:tc>
          <w:tcPr>
            <w:tcW w:w="60" w:type="dxa"/>
            <w:tcBorders/>
            <w:shd w:fill="CCEEFF" w:val="clear"/>
            <w:vAlign w:val="center"/>
          </w:tcPr>
          <w:p>
            <w:pPr>
              <w:pStyle w:val="TableContents"/>
              <w:bidi w:val="0"/>
              <w:spacing w:before="0" w:after="283"/>
              <w:jc w:val="left"/>
            </w:pPr>
            <w:r>
              <w:t> </w:t>
            </w:r>
          </w:p>
        </w:tc>
        <w:tc>
          <w:tcPr>
            <w:tcW w:w="138" w:type="dxa"/>
            <w:tcBorders/>
            <w:shd w:fill="CCEEFF" w:val="clear"/>
            <w:vAlign w:val="center"/>
          </w:tcPr>
          <w:p>
            <w:pPr>
              <w:pStyle w:val="TableContents"/>
              <w:bidi w:val="0"/>
              <w:spacing w:before="0" w:after="283"/>
              <w:ind w:left="0" w:right="0" w:hanging="0"/>
              <w:jc w:val="left"/>
            </w:pPr>
            <w:r>
              <w:t> </w:t>
            </w:r>
          </w:p>
        </w:tc>
        <w:tc>
          <w:tcPr>
            <w:tcW w:w="7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89,205</w:t>
            </w:r>
          </w:p>
        </w:tc>
        <w:tc>
          <w:tcPr>
            <w:tcW w:w="80" w:type="dxa"/>
            <w:tcBorders/>
            <w:shd w:fill="CCEEFF" w:val="clear"/>
            <w:vAlign w:val="center"/>
          </w:tcPr>
          <w:p>
            <w:pPr>
              <w:pStyle w:val="TableContents"/>
              <w:bidi w:val="0"/>
              <w:spacing w:before="0" w:after="283"/>
              <w:jc w:val="left"/>
            </w:pPr>
            <w:r>
              <w:t> </w:t>
            </w:r>
          </w:p>
        </w:tc>
      </w:tr>
      <w:tr>
        <w:tc>
          <w:tcPr>
            <w:tcW w:w="222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imputed interest</w:t>
            </w:r>
          </w:p>
        </w:tc>
        <w:tc>
          <w:tcPr>
            <w:tcW w:w="60" w:type="dxa"/>
            <w:tcBorders/>
            <w:shd w:fill="FFFFFF" w:val="clear"/>
            <w:vAlign w:val="center"/>
          </w:tcPr>
          <w:p>
            <w:pPr>
              <w:pStyle w:val="TableContents"/>
              <w:bidi w:val="0"/>
              <w:spacing w:before="0" w:after="283"/>
              <w:ind w:left="0" w:right="0" w:hanging="0"/>
              <w:jc w:val="left"/>
            </w:pPr>
            <w:r>
              <w:t> </w:t>
            </w:r>
          </w:p>
        </w:tc>
        <w:tc>
          <w:tcPr>
            <w:tcW w:w="13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722"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(15,921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22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Present value</w:t>
            </w:r>
          </w:p>
        </w:tc>
        <w:tc>
          <w:tcPr>
            <w:tcW w:w="60" w:type="dxa"/>
            <w:tcBorders/>
            <w:shd w:fill="CCEEFF" w:val="clear"/>
            <w:vAlign w:val="center"/>
          </w:tcPr>
          <w:p>
            <w:pPr>
              <w:pStyle w:val="TableContents"/>
              <w:bidi w:val="0"/>
              <w:spacing w:before="0" w:after="283"/>
              <w:ind w:left="0" w:right="0" w:hanging="0"/>
              <w:jc w:val="left"/>
            </w:pPr>
            <w:r>
              <w:t> </w:t>
            </w:r>
          </w:p>
        </w:tc>
        <w:tc>
          <w:tcPr>
            <w:tcW w:w="13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73,284</w:t>
            </w:r>
          </w:p>
        </w:tc>
        <w:tc>
          <w:tcPr>
            <w:tcW w:w="80" w:type="dxa"/>
            <w:tcBorders/>
            <w:shd w:fill="CCEEFF" w:val="clear"/>
            <w:vAlign w:val="center"/>
          </w:tcPr>
          <w:p>
            <w:pPr>
              <w:pStyle w:val="TableContents"/>
              <w:bidi w:val="0"/>
              <w:spacing w:before="0" w:after="283"/>
              <w:jc w:val="left"/>
            </w:pPr>
            <w:r>
              <w:t> </w:t>
            </w:r>
          </w:p>
        </w:tc>
      </w:tr>
    </w:tbl>
    <w:p>
      <w:pPr>
        <w:pStyle w:val="TextBody"/>
        <w:bidi w:val="0"/>
        <w:spacing w:before="0" w:after="0"/>
        <w:ind w:left="0" w:right="0" w:firstLine="720"/>
        <w:jc w:val="left"/>
      </w:pPr>
      <w:r>
        <w:t>​</w:t>
      </w:r>
    </w:p>
    <w:p>
      <w:pPr>
        <w:pStyle w:val="TextBody"/>
        <w:bidi w:val="0"/>
        <w:spacing w:before="0" w:after="0"/>
        <w:ind w:left="0" w:right="0" w:firstLine="720"/>
        <w:jc w:val="left"/>
        <w:rPr>
          <w:rFonts w:ascii="Times New Roman" w:hAnsi="Times New Roman"/>
          <w:sz w:val="20"/>
        </w:rPr>
      </w:pPr>
      <w:r>
        <w:rPr>
          <w:rFonts w:ascii="Times New Roman" w:hAnsi="Times New Roman"/>
          <w:sz w:val="20"/>
        </w:rPr>
        <w:t>The weighted average remaining lease term and discount rate for the leases were as follows for the periods indicated:</w:t>
      </w:r>
    </w:p>
    <w:p>
      <w:pPr>
        <w:pStyle w:val="TextBody"/>
        <w:bidi w:val="0"/>
        <w:spacing w:before="0" w:after="0"/>
        <w:ind w:left="0" w:right="0" w:hanging="0"/>
        <w:jc w:val="left"/>
      </w:pPr>
      <w:r>
        <w:t>​</w:t>
      </w:r>
    </w:p>
    <w:tbl>
      <w:tblPr>
        <w:tblW w:w="8307" w:type="dxa"/>
        <w:jc w:val="left"/>
        <w:tblInd w:w="0" w:type="dxa"/>
        <w:tblLayout w:type="fixed"/>
        <w:tblCellMar>
          <w:top w:w="0" w:type="dxa"/>
          <w:left w:w="0" w:type="dxa"/>
          <w:bottom w:w="0" w:type="dxa"/>
          <w:right w:w="0" w:type="dxa"/>
        </w:tblCellMar>
      </w:tblPr>
      <w:tblGrid>
        <w:gridCol w:w="5255"/>
        <w:gridCol w:w="60"/>
        <w:gridCol w:w="126"/>
        <w:gridCol w:w="1020"/>
        <w:gridCol w:w="389"/>
        <w:gridCol w:w="126"/>
        <w:gridCol w:w="126"/>
        <w:gridCol w:w="1020"/>
        <w:gridCol w:w="185"/>
      </w:tblGrid>
      <w:tr>
        <w:tc>
          <w:tcPr>
            <w:tcW w:w="525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80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Nine months ended September 30,</w:t>
            </w:r>
          </w:p>
        </w:tc>
        <w:tc>
          <w:tcPr>
            <w:tcW w:w="185" w:type="dxa"/>
            <w:tcBorders/>
            <w:shd w:fill="FFFFFF" w:val="clear"/>
            <w:vAlign w:val="center"/>
          </w:tcPr>
          <w:p>
            <w:pPr>
              <w:pStyle w:val="TableContents"/>
              <w:bidi w:val="0"/>
              <w:spacing w:before="0" w:after="283"/>
              <w:jc w:val="left"/>
            </w:pPr>
            <w:r>
              <w:t> </w:t>
            </w:r>
          </w:p>
        </w:tc>
      </w:tr>
      <w:tr>
        <w:tc>
          <w:tcPr>
            <w:tcW w:w="525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4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2026</w:t>
            </w:r>
          </w:p>
        </w:tc>
        <w:tc>
          <w:tcPr>
            <w:tcW w:w="389" w:type="dxa"/>
            <w:tcBorders/>
            <w:shd w:fill="FFFFFF" w:val="clear"/>
            <w:vAlign w:val="center"/>
          </w:tcPr>
          <w:p>
            <w:pPr>
              <w:pStyle w:val="TableContents"/>
              <w:bidi w:val="0"/>
              <w:spacing w:before="0" w:after="283"/>
              <w:jc w:val="left"/>
            </w:pPr>
            <w:r>
              <w:t> </w:t>
            </w:r>
          </w:p>
        </w:tc>
        <w:tc>
          <w:tcPr>
            <w:tcW w:w="126" w:type="dxa"/>
            <w:tcBorders/>
            <w:shd w:fill="FFFFFF" w:val="clear"/>
            <w:vAlign w:val="center"/>
          </w:tcPr>
          <w:p>
            <w:pPr>
              <w:pStyle w:val="TableContents"/>
              <w:bidi w:val="0"/>
              <w:spacing w:before="0" w:after="283"/>
              <w:ind w:left="0" w:right="0" w:hanging="0"/>
              <w:jc w:val="left"/>
            </w:pPr>
            <w:r>
              <w:t> </w:t>
            </w:r>
          </w:p>
        </w:tc>
        <w:tc>
          <w:tcPr>
            <w:tcW w:w="114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2025</w:t>
            </w:r>
          </w:p>
        </w:tc>
        <w:tc>
          <w:tcPr>
            <w:tcW w:w="185" w:type="dxa"/>
            <w:tcBorders/>
            <w:shd w:fill="FFFFFF" w:val="clear"/>
            <w:vAlign w:val="center"/>
          </w:tcPr>
          <w:p>
            <w:pPr>
              <w:pStyle w:val="TableContents"/>
              <w:bidi w:val="0"/>
              <w:spacing w:before="0" w:after="283"/>
              <w:jc w:val="left"/>
            </w:pPr>
            <w:r>
              <w:t> </w:t>
            </w:r>
          </w:p>
        </w:tc>
      </w:tr>
      <w:tr>
        <w:tc>
          <w:tcPr>
            <w:tcW w:w="52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remaining lease term (years) - operating leases</w:t>
            </w:r>
          </w:p>
        </w:tc>
        <w:tc>
          <w:tcPr>
            <w:tcW w:w="60" w:type="dxa"/>
            <w:tcBorders/>
            <w:shd w:fill="CCEEFF" w:val="clear"/>
            <w:vAlign w:val="center"/>
          </w:tcPr>
          <w:p>
            <w:pPr>
              <w:pStyle w:val="TableContents"/>
              <w:bidi w:val="0"/>
              <w:spacing w:before="0" w:after="283"/>
              <w:jc w:val="left"/>
            </w:pPr>
            <w:r>
              <w:t> </w:t>
            </w:r>
          </w:p>
        </w:tc>
        <w:tc>
          <w:tcPr>
            <w:tcW w:w="126" w:type="dxa"/>
            <w:tcBorders/>
            <w:shd w:fill="CCEEFF" w:val="clear"/>
            <w:vAlign w:val="center"/>
          </w:tcPr>
          <w:p>
            <w:pPr>
              <w:pStyle w:val="TableContents"/>
              <w:bidi w:val="0"/>
              <w:spacing w:before="0" w:after="283"/>
              <w:ind w:left="0" w:right="0" w:hanging="0"/>
              <w:jc w:val="left"/>
            </w:pPr>
            <w:r>
              <w:t> </w:t>
            </w:r>
          </w:p>
        </w:tc>
        <w:tc>
          <w:tcPr>
            <w:tcW w:w="10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11.73</w:t>
            </w:r>
          </w:p>
        </w:tc>
        <w:tc>
          <w:tcPr>
            <w:tcW w:w="389" w:type="dxa"/>
            <w:tcBorders/>
            <w:shd w:fill="CCEEFF" w:val="clear"/>
            <w:vAlign w:val="center"/>
          </w:tcPr>
          <w:p>
            <w:pPr>
              <w:pStyle w:val="TableContents"/>
              <w:bidi w:val="0"/>
              <w:spacing w:before="0" w:after="283"/>
              <w:jc w:val="left"/>
            </w:pPr>
            <w:r>
              <w:t> </w:t>
            </w:r>
          </w:p>
        </w:tc>
        <w:tc>
          <w:tcPr>
            <w:tcW w:w="126" w:type="dxa"/>
            <w:tcBorders/>
            <w:shd w:fill="CCEEFF" w:val="clear"/>
            <w:vAlign w:val="center"/>
          </w:tcPr>
          <w:p>
            <w:pPr>
              <w:pStyle w:val="TableContents"/>
              <w:bidi w:val="0"/>
              <w:spacing w:before="0" w:after="283"/>
              <w:jc w:val="left"/>
            </w:pPr>
            <w:r>
              <w:t> </w:t>
            </w:r>
          </w:p>
        </w:tc>
        <w:tc>
          <w:tcPr>
            <w:tcW w:w="126" w:type="dxa"/>
            <w:tcBorders/>
            <w:shd w:fill="CCEEFF" w:val="clear"/>
            <w:vAlign w:val="center"/>
          </w:tcPr>
          <w:p>
            <w:pPr>
              <w:pStyle w:val="TableContents"/>
              <w:bidi w:val="0"/>
              <w:spacing w:before="0" w:after="283"/>
              <w:ind w:left="0" w:right="0" w:hanging="0"/>
              <w:jc w:val="left"/>
            </w:pPr>
            <w:r>
              <w:t> </w:t>
            </w:r>
          </w:p>
        </w:tc>
        <w:tc>
          <w:tcPr>
            <w:tcW w:w="10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13.91</w:t>
            </w:r>
          </w:p>
        </w:tc>
        <w:tc>
          <w:tcPr>
            <w:tcW w:w="185" w:type="dxa"/>
            <w:tcBorders/>
            <w:shd w:fill="CCEEFF" w:val="clear"/>
            <w:vAlign w:val="center"/>
          </w:tcPr>
          <w:p>
            <w:pPr>
              <w:pStyle w:val="TableContents"/>
              <w:bidi w:val="0"/>
              <w:spacing w:before="0" w:after="283"/>
              <w:jc w:val="left"/>
            </w:pPr>
            <w:r>
              <w:t> </w:t>
            </w:r>
          </w:p>
        </w:tc>
      </w:tr>
      <w:tr>
        <w:tc>
          <w:tcPr>
            <w:tcW w:w="52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discount rate - operating leases</w:t>
            </w:r>
          </w:p>
        </w:tc>
        <w:tc>
          <w:tcPr>
            <w:tcW w:w="60" w:type="dxa"/>
            <w:tcBorders/>
            <w:shd w:fill="FFFFFF" w:val="clear"/>
            <w:vAlign w:val="center"/>
          </w:tcPr>
          <w:p>
            <w:pPr>
              <w:pStyle w:val="TableContents"/>
              <w:bidi w:val="0"/>
              <w:spacing w:before="0" w:after="283"/>
              <w:jc w:val="left"/>
            </w:pPr>
            <w:r>
              <w:t> </w:t>
            </w:r>
          </w:p>
        </w:tc>
        <w:tc>
          <w:tcPr>
            <w:tcW w:w="126" w:type="dxa"/>
            <w:tcBorders/>
            <w:shd w:fill="FFFFFF" w:val="clear"/>
            <w:vAlign w:val="center"/>
          </w:tcPr>
          <w:p>
            <w:pPr>
              <w:pStyle w:val="TableContents"/>
              <w:bidi w:val="0"/>
              <w:spacing w:before="0" w:after="283"/>
              <w:ind w:left="0" w:right="0" w:hanging="0"/>
              <w:jc w:val="left"/>
            </w:pPr>
            <w:r>
              <w:t> </w:t>
            </w:r>
          </w:p>
        </w:tc>
        <w:tc>
          <w:tcPr>
            <w:tcW w:w="10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4.06</w:t>
            </w:r>
          </w:p>
        </w:tc>
        <w:tc>
          <w:tcPr>
            <w:tcW w:w="38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6" w:type="dxa"/>
            <w:tcBorders/>
            <w:shd w:fill="FFFFFF" w:val="clear"/>
            <w:vAlign w:val="center"/>
          </w:tcPr>
          <w:p>
            <w:pPr>
              <w:pStyle w:val="TableContents"/>
              <w:bidi w:val="0"/>
              <w:spacing w:before="0" w:after="283"/>
              <w:jc w:val="left"/>
            </w:pPr>
            <w:r>
              <w:t> </w:t>
            </w:r>
          </w:p>
        </w:tc>
        <w:tc>
          <w:tcPr>
            <w:tcW w:w="126" w:type="dxa"/>
            <w:tcBorders/>
            <w:shd w:fill="FFFFFF" w:val="clear"/>
            <w:vAlign w:val="center"/>
          </w:tcPr>
          <w:p>
            <w:pPr>
              <w:pStyle w:val="TableContents"/>
              <w:bidi w:val="0"/>
              <w:spacing w:before="0" w:after="283"/>
              <w:ind w:left="0" w:right="0" w:hanging="0"/>
              <w:jc w:val="left"/>
            </w:pPr>
            <w:r>
              <w:t> </w:t>
            </w:r>
          </w:p>
        </w:tc>
        <w:tc>
          <w:tcPr>
            <w:tcW w:w="10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3.11</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pPr>
      <w:r>
        <w:t> </w:t>
      </w:r>
    </w:p>
    <w:p>
      <w:pPr>
        <w:pStyle w:val="TextBody"/>
        <w:bidi w:val="0"/>
        <w:spacing w:before="0" w:after="0"/>
        <w:ind w:left="0" w:right="0" w:firstLine="720"/>
        <w:jc w:val="left"/>
        <w:rPr>
          <w:rFonts w:ascii="Times New Roman" w:hAnsi="Times New Roman"/>
          <w:sz w:val="20"/>
        </w:rPr>
      </w:pPr>
      <w:r>
        <w:rPr>
          <w:rFonts w:ascii="Times New Roman" w:hAnsi="Times New Roman"/>
          <w:sz w:val="20"/>
        </w:rPr>
        <w:t>Supplemental cash flow information related to the leases was as follows for the periods indicated (in thousands):</w:t>
      </w:r>
    </w:p>
    <w:p>
      <w:pPr>
        <w:pStyle w:val="TextBody"/>
        <w:bidi w:val="0"/>
        <w:spacing w:before="0" w:after="0"/>
        <w:ind w:left="0" w:right="0" w:firstLine="720"/>
        <w:jc w:val="left"/>
      </w:pPr>
      <w:r>
        <w:t> </w:t>
      </w:r>
    </w:p>
    <w:tbl>
      <w:tblPr>
        <w:tblW w:w="9203" w:type="dxa"/>
        <w:jc w:val="left"/>
        <w:tblInd w:w="0" w:type="dxa"/>
        <w:tblLayout w:type="fixed"/>
        <w:tblCellMar>
          <w:top w:w="0" w:type="dxa"/>
          <w:left w:w="0" w:type="dxa"/>
          <w:bottom w:w="0" w:type="dxa"/>
          <w:right w:w="0" w:type="dxa"/>
        </w:tblCellMar>
      </w:tblPr>
      <w:tblGrid>
        <w:gridCol w:w="6275"/>
        <w:gridCol w:w="60"/>
        <w:gridCol w:w="243"/>
        <w:gridCol w:w="943"/>
        <w:gridCol w:w="116"/>
        <w:gridCol w:w="116"/>
        <w:gridCol w:w="243"/>
        <w:gridCol w:w="1147"/>
        <w:gridCol w:w="60"/>
      </w:tblGrid>
      <w:tr>
        <w:tc>
          <w:tcPr>
            <w:tcW w:w="627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80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Nine months ended September 30,</w:t>
            </w:r>
          </w:p>
        </w:tc>
        <w:tc>
          <w:tcPr>
            <w:tcW w:w="60" w:type="dxa"/>
            <w:tcBorders/>
            <w:shd w:fill="FFFFFF" w:val="clear"/>
            <w:vAlign w:val="center"/>
          </w:tcPr>
          <w:p>
            <w:pPr>
              <w:pStyle w:val="TableContents"/>
              <w:bidi w:val="0"/>
              <w:spacing w:before="0" w:after="283"/>
              <w:jc w:val="left"/>
            </w:pPr>
            <w:r>
              <w:t> </w:t>
            </w:r>
          </w:p>
        </w:tc>
      </w:tr>
      <w:tr>
        <w:tc>
          <w:tcPr>
            <w:tcW w:w="627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8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2026</w:t>
            </w:r>
          </w:p>
        </w:tc>
        <w:tc>
          <w:tcPr>
            <w:tcW w:w="116" w:type="dxa"/>
            <w:tcBorders/>
            <w:shd w:fill="FFFFFF" w:val="clear"/>
            <w:vAlign w:val="center"/>
          </w:tcPr>
          <w:p>
            <w:pPr>
              <w:pStyle w:val="TableContents"/>
              <w:bidi w:val="0"/>
              <w:spacing w:before="0" w:after="283"/>
              <w:jc w:val="left"/>
            </w:pPr>
            <w:r>
              <w:t> </w:t>
            </w:r>
          </w:p>
        </w:tc>
        <w:tc>
          <w:tcPr>
            <w:tcW w:w="116" w:type="dxa"/>
            <w:tcBorders/>
            <w:shd w:fill="FFFFFF" w:val="clear"/>
            <w:vAlign w:val="center"/>
          </w:tcPr>
          <w:p>
            <w:pPr>
              <w:pStyle w:val="TableContents"/>
              <w:bidi w:val="0"/>
              <w:spacing w:before="0" w:after="283"/>
              <w:ind w:left="0" w:right="0" w:hanging="0"/>
              <w:jc w:val="left"/>
            </w:pPr>
            <w:r>
              <w:t> </w:t>
            </w:r>
          </w:p>
        </w:tc>
        <w:tc>
          <w:tcPr>
            <w:tcW w:w="139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pPr>
            <w:r>
              <w:t> </w:t>
            </w:r>
          </w:p>
        </w:tc>
      </w:tr>
      <w:tr>
        <w:tc>
          <w:tcPr>
            <w:tcW w:w="62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paid for amounts included in the measurement of lease liabilities</w:t>
            </w:r>
          </w:p>
        </w:tc>
        <w:tc>
          <w:tcPr>
            <w:tcW w:w="60" w:type="dxa"/>
            <w:tcBorders/>
            <w:shd w:fill="CCEEFF" w:val="clear"/>
            <w:vAlign w:val="center"/>
          </w:tcPr>
          <w:p>
            <w:pPr>
              <w:pStyle w:val="TableContents"/>
              <w:bidi w:val="0"/>
              <w:spacing w:before="0" w:after="283"/>
              <w:ind w:left="0" w:right="0" w:hanging="0"/>
              <w:jc w:val="left"/>
            </w:pPr>
            <w:r>
              <w:t> </w:t>
            </w:r>
          </w:p>
        </w:tc>
        <w:tc>
          <w:tcPr>
            <w:tcW w:w="1186" w:type="dxa"/>
            <w:gridSpan w:val="2"/>
            <w:tcBorders/>
            <w:shd w:fill="CCEEFF" w:val="clear"/>
            <w:vAlign w:val="center"/>
          </w:tcPr>
          <w:p>
            <w:pPr>
              <w:pStyle w:val="TableContents"/>
              <w:bidi w:val="0"/>
              <w:spacing w:before="0" w:after="283"/>
              <w:jc w:val="left"/>
            </w:pPr>
            <w:r>
              <w:t> </w:t>
            </w:r>
          </w:p>
        </w:tc>
        <w:tc>
          <w:tcPr>
            <w:tcW w:w="116" w:type="dxa"/>
            <w:tcBorders/>
            <w:shd w:fill="CCEEFF" w:val="clear"/>
            <w:vAlign w:val="center"/>
          </w:tcPr>
          <w:p>
            <w:pPr>
              <w:pStyle w:val="TableContents"/>
              <w:bidi w:val="0"/>
              <w:spacing w:before="0" w:after="283"/>
              <w:jc w:val="left"/>
            </w:pPr>
            <w:r>
              <w:t> </w:t>
            </w:r>
          </w:p>
        </w:tc>
        <w:tc>
          <w:tcPr>
            <w:tcW w:w="116" w:type="dxa"/>
            <w:tcBorders/>
            <w:shd w:fill="CCEEFF" w:val="clear"/>
            <w:vAlign w:val="center"/>
          </w:tcPr>
          <w:p>
            <w:pPr>
              <w:pStyle w:val="TableContents"/>
              <w:bidi w:val="0"/>
              <w:spacing w:before="0" w:after="283"/>
              <w:ind w:left="0" w:right="0" w:hanging="0"/>
              <w:jc w:val="left"/>
            </w:pPr>
            <w:r>
              <w:t> </w:t>
            </w:r>
          </w:p>
        </w:tc>
        <w:tc>
          <w:tcPr>
            <w:tcW w:w="1390" w:type="dxa"/>
            <w:gridSpan w:val="2"/>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r>
      <w:tr>
        <w:tc>
          <w:tcPr>
            <w:tcW w:w="627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cash flows from operating leases</w:t>
            </w:r>
          </w:p>
        </w:tc>
        <w:tc>
          <w:tcPr>
            <w:tcW w:w="60" w:type="dxa"/>
            <w:tcBorders/>
            <w:shd w:fill="FFFFFF" w:val="clear"/>
            <w:vAlign w:val="center"/>
          </w:tcPr>
          <w:p>
            <w:pPr>
              <w:pStyle w:val="TableContents"/>
              <w:bidi w:val="0"/>
              <w:spacing w:before="0" w:after="283"/>
              <w:ind w:left="0" w:right="0" w:hanging="0"/>
              <w:jc w:val="left"/>
            </w:pPr>
            <w:r>
              <w:t> </w:t>
            </w:r>
          </w:p>
        </w:tc>
        <w:tc>
          <w:tcPr>
            <w:tcW w:w="24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4,942</w:t>
            </w:r>
          </w:p>
        </w:tc>
        <w:tc>
          <w:tcPr>
            <w:tcW w:w="116" w:type="dxa"/>
            <w:tcBorders/>
            <w:shd w:fill="FFFFFF" w:val="clear"/>
            <w:vAlign w:val="center"/>
          </w:tcPr>
          <w:p>
            <w:pPr>
              <w:pStyle w:val="TableContents"/>
              <w:bidi w:val="0"/>
              <w:spacing w:before="0" w:after="283"/>
              <w:jc w:val="left"/>
            </w:pPr>
            <w:r>
              <w:t> </w:t>
            </w:r>
          </w:p>
        </w:tc>
        <w:tc>
          <w:tcPr>
            <w:tcW w:w="116" w:type="dxa"/>
            <w:tcBorders/>
            <w:shd w:fill="FFFFFF" w:val="clear"/>
            <w:vAlign w:val="center"/>
          </w:tcPr>
          <w:p>
            <w:pPr>
              <w:pStyle w:val="TableContents"/>
              <w:bidi w:val="0"/>
              <w:spacing w:before="0" w:after="283"/>
              <w:ind w:left="0" w:right="0" w:hanging="0"/>
              <w:jc w:val="left"/>
            </w:pPr>
            <w:r>
              <w:t> </w:t>
            </w:r>
          </w:p>
        </w:tc>
        <w:tc>
          <w:tcPr>
            <w:tcW w:w="24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2,652</w:t>
            </w:r>
          </w:p>
        </w:tc>
        <w:tc>
          <w:tcPr>
            <w:tcW w:w="60" w:type="dxa"/>
            <w:tcBorders/>
            <w:shd w:fill="FFFFFF" w:val="clear"/>
            <w:vAlign w:val="center"/>
          </w:tcPr>
          <w:p>
            <w:pPr>
              <w:pStyle w:val="TableContents"/>
              <w:bidi w:val="0"/>
              <w:spacing w:before="0" w:after="283"/>
              <w:jc w:val="left"/>
            </w:pPr>
            <w:r>
              <w:t> </w:t>
            </w:r>
          </w:p>
        </w:tc>
      </w:tr>
      <w:tr>
        <w:tc>
          <w:tcPr>
            <w:tcW w:w="6275" w:type="dxa"/>
            <w:tcBorders/>
            <w:shd w:fill="CCEE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Right-of-use assets obtained in exchange for new operating lease liabilities</w:t>
            </w:r>
          </w:p>
        </w:tc>
        <w:tc>
          <w:tcPr>
            <w:tcW w:w="60" w:type="dxa"/>
            <w:tcBorders/>
            <w:shd w:fill="CCEEFF" w:val="clear"/>
            <w:vAlign w:val="center"/>
          </w:tcPr>
          <w:p>
            <w:pPr>
              <w:pStyle w:val="TableContents"/>
              <w:bidi w:val="0"/>
              <w:spacing w:before="0" w:after="283"/>
              <w:jc w:val="left"/>
            </w:pPr>
            <w:r>
              <w:t> </w:t>
            </w:r>
          </w:p>
        </w:tc>
        <w:tc>
          <w:tcPr>
            <w:tcW w:w="24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4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8,763</w:t>
            </w:r>
          </w:p>
        </w:tc>
        <w:tc>
          <w:tcPr>
            <w:tcW w:w="116" w:type="dxa"/>
            <w:tcBorders/>
            <w:shd w:fill="CCEEFF" w:val="clear"/>
            <w:vAlign w:val="center"/>
          </w:tcPr>
          <w:p>
            <w:pPr>
              <w:pStyle w:val="TableContents"/>
              <w:bidi w:val="0"/>
              <w:spacing w:before="0" w:after="283"/>
              <w:jc w:val="left"/>
            </w:pPr>
            <w:r>
              <w:t> </w:t>
            </w:r>
          </w:p>
        </w:tc>
        <w:tc>
          <w:tcPr>
            <w:tcW w:w="116" w:type="dxa"/>
            <w:tcBorders/>
            <w:shd w:fill="CCEEFF" w:val="clear"/>
            <w:vAlign w:val="center"/>
          </w:tcPr>
          <w:p>
            <w:pPr>
              <w:pStyle w:val="TableContents"/>
              <w:bidi w:val="0"/>
              <w:spacing w:before="0" w:after="283"/>
              <w:jc w:val="left"/>
            </w:pPr>
            <w:r>
              <w:t> </w:t>
            </w:r>
          </w:p>
        </w:tc>
        <w:tc>
          <w:tcPr>
            <w:tcW w:w="24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47" w:type="dxa"/>
            <w:tcBorders/>
            <w:shd w:fill="CCEE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32,910</w:t>
            </w:r>
          </w:p>
        </w:tc>
        <w:tc>
          <w:tcPr>
            <w:tcW w:w="60" w:type="dxa"/>
            <w:tcBorders/>
            <w:shd w:fill="CCEEFF" w:val="clear"/>
            <w:vAlign w:val="center"/>
          </w:tcPr>
          <w:p>
            <w:pPr>
              <w:pStyle w:val="TableContents"/>
              <w:bidi w:val="0"/>
              <w:spacing w:before="0" w:after="283"/>
              <w:jc w:val="left"/>
            </w:pPr>
            <w:r>
              <w:t> </w:t>
            </w:r>
          </w:p>
        </w:tc>
      </w:tr>
    </w:tbl>
    <w:p>
      <w:pPr>
        <w:pStyle w:val="TextBody"/>
        <w:bidi w:val="0"/>
        <w:spacing w:before="0" w:after="0"/>
        <w:ind w:left="0" w:right="0" w:hanging="0"/>
        <w:jc w:val="left"/>
      </w:pPr>
      <w:r>
        <w:t>​</w:t>
      </w:r>
    </w:p>
    <w:p>
      <w:pPr>
        <w:pStyle w:val="TextBody"/>
        <w:bidi w:val="0"/>
        <w:spacing w:before="0" w:after="0"/>
        <w:jc w:val="center"/>
      </w:pPr>
      <w:r>
        <w:rPr>
          <w:rStyle w:val="Emphasis"/>
          <w:rFonts w:ascii="Times New Roman" w:hAnsi="Times New Roman"/>
          <w:sz w:val="20"/>
        </w:rPr>
        <w:t>13</w:t>
      </w:r>
      <w:r>
        <w:rPr>
          <w:rFonts w:ascii="Times New Roman" w:hAnsi="Times New Roman"/>
          <w:sz w:val="20"/>
        </w:rPr>
        <w:t xml:space="preserve"> </w:t>
      </w:r>
    </w:p>
    <w:p>
      <w:pPr>
        <w:pStyle w:val="HorizontalLine"/>
        <w:pBdr>
          <w:bottom w:val="double" w:sz="2" w:space="0" w:color="808080"/>
        </w:pBdr>
        <w:bidi w:val="0"/>
        <w:spacing w:before="0" w:after="283"/>
        <w:jc w:val="left"/>
      </w:pPr>
      <w:r/>
    </w:p>
    <w:p>
      <w:pPr>
        <w:pStyle w:val="TextBody"/>
        <w:bidi w:val="0"/>
        <w:spacing w:before="0" w:after="0"/>
        <w:jc w:val="left"/>
      </w:pPr>
      <w:hyperlink w:anchor="toc">
        <w:r>
          <w:rPr>
            <w:rStyle w:val="InternetLink"/>
            <w:rFonts w:ascii="Times New Roman;Times;serif" w:hAnsi="Times New Roman;Times;serif"/>
            <w:sz w:val="20"/>
          </w:rPr>
          <w:t>Table of Contents</w:t>
        </w:r>
      </w:hyperlink>
      <w:r>
        <w:t xml:space="preserve"> </w:t>
      </w:r>
    </w:p>
    <w:p>
      <w:pPr>
        <w:pStyle w:val="TextBody"/>
        <w:bidi w:val="0"/>
        <w:spacing w:before="0" w:after="0"/>
        <w:jc w:val="left"/>
      </w:pPr>
      <w:r>
        <w:t xml:space="preserve">  </w:t>
      </w:r>
    </w:p>
    <w:p>
      <w:pPr>
        <w:pStyle w:val="TextBody"/>
        <w:bidi w:val="0"/>
        <w:spacing w:before="0" w:after="283"/>
        <w:jc w:val="left"/>
      </w:pPr>
      <w:r>
        <w:t xml:space="preserve">  </w:t>
      </w:r>
    </w:p>
    <w:p>
      <w:pPr>
        <w:pStyle w:val="TextBody"/>
        <w:bidi w:val="0"/>
        <w:spacing w:before="0" w:after="0"/>
        <w:ind w:left="0" w:right="0" w:hanging="0"/>
        <w:jc w:val="left"/>
      </w:pPr>
      <w:r>
        <w:rPr>
          <w:rFonts w:ascii="Times New Roman" w:hAnsi="Times New Roman"/>
          <w:b/>
          <w:sz w:val="20"/>
        </w:rPr>
        <w:t xml:space="preserve">Note </w:t>
      </w:r>
      <w:r>
        <w:rPr>
          <w:rStyle w:val="Emphasis"/>
          <w:rFonts w:ascii="Times New Roman" w:hAnsi="Times New Roman"/>
          <w:b/>
          <w:sz w:val="20"/>
        </w:rPr>
        <w:t>5.</w:t>
      </w:r>
      <w:r>
        <w:rPr>
          <w:rFonts w:ascii="Times New Roman" w:hAnsi="Times New Roman"/>
          <w:b/>
          <w:sz w:val="20"/>
        </w:rPr>
        <w:t>  Cash, Cash Equivalents and Restricted Cash</w:t>
      </w:r>
    </w:p>
    <w:p>
      <w:pPr>
        <w:pStyle w:val="TextBody"/>
        <w:bidi w:val="0"/>
        <w:spacing w:before="0" w:after="0"/>
        <w:ind w:left="0" w:right="0" w:hanging="0"/>
        <w:jc w:val="left"/>
      </w:pPr>
      <w:r>
        <w:t>​</w:t>
      </w:r>
    </w:p>
    <w:p>
      <w:pPr>
        <w:pStyle w:val="TextBody"/>
        <w:bidi w:val="0"/>
        <w:spacing w:before="0" w:after="0"/>
        <w:ind w:left="0" w:right="0" w:firstLine="720"/>
        <w:jc w:val="left"/>
        <w:rPr>
          <w:rFonts w:ascii="Times New Roman" w:hAnsi="Times New Roman"/>
          <w:sz w:val="20"/>
        </w:rPr>
      </w:pPr>
      <w:r>
        <w:rPr>
          <w:rFonts w:ascii="Times New Roman" w:hAnsi="Times New Roman"/>
          <w:sz w:val="20"/>
        </w:rPr>
        <w:t>The following table provides a reconciliation of c</w:t>
      </w:r>
      <w:r>
        <w:rPr>
          <w:rFonts w:ascii="Times New Roman" w:hAnsi="Times New Roman"/>
          <w:sz w:val="20"/>
          <w:shd w:fill="FFFFFF" w:val="clear"/>
        </w:rPr>
        <w:t>ash, cash equivalents and r</w:t>
      </w:r>
      <w:r>
        <w:rPr>
          <w:rFonts w:ascii="Times New Roman" w:hAnsi="Times New Roman"/>
          <w:sz w:val="20"/>
        </w:rPr>
        <w:t>estricted cash reported within the statement of financial position that sum to the total of the same such amounts in the statement of cash flows (in thousands):</w:t>
      </w:r>
    </w:p>
    <w:p>
      <w:pPr>
        <w:pStyle w:val="TextBody"/>
        <w:bidi w:val="0"/>
        <w:spacing w:before="0" w:after="0"/>
        <w:ind w:left="0" w:right="0" w:firstLine="720"/>
        <w:jc w:val="left"/>
      </w:pPr>
      <w:r>
        <w:t> </w:t>
      </w:r>
    </w:p>
    <w:tbl>
      <w:tblPr>
        <w:tblW w:w="9418" w:type="dxa"/>
        <w:jc w:val="left"/>
        <w:tblInd w:w="0" w:type="dxa"/>
        <w:tblLayout w:type="fixed"/>
        <w:tblCellMar>
          <w:top w:w="0" w:type="dxa"/>
          <w:left w:w="0" w:type="dxa"/>
          <w:bottom w:w="0" w:type="dxa"/>
          <w:right w:w="0" w:type="dxa"/>
        </w:tblCellMar>
      </w:tblPr>
      <w:tblGrid>
        <w:gridCol w:w="6845"/>
        <w:gridCol w:w="60"/>
        <w:gridCol w:w="180"/>
        <w:gridCol w:w="1009"/>
        <w:gridCol w:w="60"/>
        <w:gridCol w:w="60"/>
        <w:gridCol w:w="173"/>
        <w:gridCol w:w="971"/>
        <w:gridCol w:w="60"/>
      </w:tblGrid>
      <w:tr>
        <w:tc>
          <w:tcPr>
            <w:tcW w:w="684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89"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September 30,</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44"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December 31,</w:t>
            </w:r>
          </w:p>
        </w:tc>
        <w:tc>
          <w:tcPr>
            <w:tcW w:w="60" w:type="dxa"/>
            <w:tcBorders/>
            <w:shd w:fill="FFFFFF" w:val="clear"/>
            <w:vAlign w:val="center"/>
          </w:tcPr>
          <w:p>
            <w:pPr>
              <w:pStyle w:val="TableContents"/>
              <w:bidi w:val="0"/>
              <w:spacing w:before="0" w:after="283"/>
              <w:jc w:val="left"/>
            </w:pPr>
            <w:r>
              <w:t> </w:t>
            </w:r>
          </w:p>
        </w:tc>
      </w:tr>
      <w:tr>
        <w:tc>
          <w:tcPr>
            <w:tcW w:w="684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2026</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pPr>
            <w:r>
              <w:t> </w:t>
            </w:r>
          </w:p>
        </w:tc>
      </w:tr>
      <w:tr>
        <w:tc>
          <w:tcPr>
            <w:tcW w:w="68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p>
        </w:tc>
        <w:tc>
          <w:tcPr>
            <w:tcW w:w="60" w:type="dxa"/>
            <w:tcBorders/>
            <w:shd w:fill="CCEEFF" w:val="clear"/>
            <w:vAlign w:val="center"/>
          </w:tcPr>
          <w:p>
            <w:pPr>
              <w:pStyle w:val="TableContents"/>
              <w:bidi w:val="0"/>
              <w:spacing w:before="0" w:after="283"/>
              <w:ind w:left="0" w:right="0" w:hanging="0"/>
              <w:jc w:val="left"/>
            </w:pPr>
            <w:r>
              <w:t> </w:t>
            </w:r>
          </w:p>
        </w:tc>
        <w:tc>
          <w:tcPr>
            <w:tcW w:w="1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605,413</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7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206,140</w:t>
            </w:r>
          </w:p>
        </w:tc>
        <w:tc>
          <w:tcPr>
            <w:tcW w:w="60" w:type="dxa"/>
            <w:tcBorders/>
            <w:shd w:fill="CCEEFF" w:val="clear"/>
            <w:vAlign w:val="center"/>
          </w:tcPr>
          <w:p>
            <w:pPr>
              <w:pStyle w:val="TableContents"/>
              <w:bidi w:val="0"/>
              <w:spacing w:before="0" w:after="283"/>
              <w:jc w:val="left"/>
            </w:pPr>
            <w:r>
              <w:t> </w:t>
            </w:r>
          </w:p>
        </w:tc>
      </w:tr>
      <w:tr>
        <w:tc>
          <w:tcPr>
            <w:tcW w:w="68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Restricted cash</w:t>
            </w:r>
          </w:p>
        </w:tc>
        <w:tc>
          <w:tcPr>
            <w:tcW w:w="60" w:type="dxa"/>
            <w:tcBorders/>
            <w:shd w:fill="FFFFFF" w:val="clear"/>
            <w:vAlign w:val="center"/>
          </w:tcPr>
          <w:p>
            <w:pPr>
              <w:pStyle w:val="TableContents"/>
              <w:bidi w:val="0"/>
              <w:spacing w:before="0" w:after="283"/>
              <w:jc w:val="left"/>
            </w:pPr>
            <w:r>
              <w:t> </w:t>
            </w:r>
          </w:p>
        </w:tc>
        <w:tc>
          <w:tcPr>
            <w:tcW w:w="1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0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16,044</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97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9,895</w:t>
            </w:r>
          </w:p>
        </w:tc>
        <w:tc>
          <w:tcPr>
            <w:tcW w:w="60" w:type="dxa"/>
            <w:tcBorders/>
            <w:shd w:fill="FFFFFF" w:val="clear"/>
            <w:vAlign w:val="center"/>
          </w:tcPr>
          <w:p>
            <w:pPr>
              <w:pStyle w:val="TableContents"/>
              <w:bidi w:val="0"/>
              <w:spacing w:before="0" w:after="283"/>
              <w:jc w:val="left"/>
            </w:pPr>
            <w:r>
              <w:t> </w:t>
            </w:r>
          </w:p>
        </w:tc>
      </w:tr>
      <w:tr>
        <w:tc>
          <w:tcPr>
            <w:tcW w:w="68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cash, cash equivalents and restricted cash shown in the statement of cash flows</w:t>
            </w:r>
          </w:p>
        </w:tc>
        <w:tc>
          <w:tcPr>
            <w:tcW w:w="60" w:type="dxa"/>
            <w:tcBorders/>
            <w:shd w:fill="CCEEFF" w:val="clear"/>
            <w:vAlign w:val="center"/>
          </w:tcPr>
          <w:p>
            <w:pPr>
              <w:pStyle w:val="TableContents"/>
              <w:bidi w:val="0"/>
              <w:spacing w:before="0" w:after="283"/>
              <w:ind w:left="0" w:right="0" w:hanging="0"/>
              <w:jc w:val="left"/>
            </w:pPr>
            <w:r>
              <w:t> </w:t>
            </w:r>
          </w:p>
        </w:tc>
        <w:tc>
          <w:tcPr>
            <w:tcW w:w="18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621,457</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7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216,035</w:t>
            </w:r>
          </w:p>
        </w:tc>
        <w:tc>
          <w:tcPr>
            <w:tcW w:w="60" w:type="dxa"/>
            <w:tcBorders/>
            <w:shd w:fill="CCEEFF" w:val="clear"/>
            <w:vAlign w:val="center"/>
          </w:tcPr>
          <w:p>
            <w:pPr>
              <w:pStyle w:val="TableContents"/>
              <w:bidi w:val="0"/>
              <w:spacing w:before="0" w:after="283"/>
              <w:jc w:val="left"/>
            </w:pPr>
            <w:r>
              <w:t> </w:t>
            </w:r>
          </w:p>
        </w:tc>
      </w:tr>
    </w:tbl>
    <w:p>
      <w:pPr>
        <w:pStyle w:val="TextBody"/>
        <w:bidi w:val="0"/>
        <w:spacing w:before="0" w:after="0"/>
        <w:ind w:left="0" w:right="0" w:firstLine="720"/>
        <w:jc w:val="left"/>
      </w:pPr>
      <w:r>
        <w:t>​</w:t>
      </w:r>
    </w:p>
    <w:p>
      <w:pPr>
        <w:pStyle w:val="TextBody"/>
        <w:bidi w:val="0"/>
        <w:spacing w:before="0" w:after="0"/>
        <w:ind w:left="0" w:right="0" w:firstLine="720"/>
        <w:jc w:val="left"/>
      </w:pPr>
      <w:r>
        <w:rPr>
          <w:rFonts w:ascii="Times New Roman" w:hAnsi="Times New Roman"/>
          <w:sz w:val="20"/>
        </w:rPr>
        <w:t xml:space="preserve">Restricted cash includes guarantee deposits for customs duties, a China government subsidy fund, and deposits as collateral in order to secure bank acceptance notes issued to vendors. As of </w:t>
      </w:r>
      <w:r>
        <w:rPr>
          <w:rStyle w:val="Emphasis"/>
          <w:rFonts w:ascii="Times New Roman" w:hAnsi="Times New Roman"/>
          <w:sz w:val="20"/>
        </w:rPr>
        <w:t>September 30, 2026</w:t>
      </w:r>
      <w:r>
        <w:rPr>
          <w:rFonts w:ascii="Times New Roman" w:hAnsi="Times New Roman"/>
          <w:sz w:val="20"/>
        </w:rPr>
        <w:t xml:space="preserve"> and </w:t>
      </w:r>
      <w:r>
        <w:rPr>
          <w:rStyle w:val="Emphasis"/>
          <w:rFonts w:ascii="Times New Roman" w:hAnsi="Times New Roman"/>
          <w:sz w:val="20"/>
        </w:rPr>
        <w:t>December 31, 2025</w:t>
      </w:r>
      <w:r>
        <w:rPr>
          <w:rFonts w:ascii="Times New Roman" w:hAnsi="Times New Roman"/>
          <w:sz w:val="20"/>
        </w:rPr>
        <w:t xml:space="preserve">, there was $11.4 million and $8.7 million of restricted cash required for bank acceptance notes issued to vendors, respectively. There were $2.1 million and $1.2 million guarantee deposits for customs duties as of </w:t>
      </w:r>
      <w:r>
        <w:rPr>
          <w:rStyle w:val="Emphasis"/>
          <w:rFonts w:ascii="Times New Roman" w:hAnsi="Times New Roman"/>
          <w:sz w:val="20"/>
        </w:rPr>
        <w:t>September 30, 2026</w:t>
      </w:r>
      <w:r>
        <w:rPr>
          <w:rFonts w:ascii="Times New Roman" w:hAnsi="Times New Roman"/>
          <w:sz w:val="20"/>
        </w:rPr>
        <w:t xml:space="preserve"> and </w:t>
      </w:r>
      <w:r>
        <w:rPr>
          <w:rStyle w:val="Emphasis"/>
          <w:rFonts w:ascii="Times New Roman" w:hAnsi="Times New Roman"/>
          <w:sz w:val="20"/>
        </w:rPr>
        <w:t>December 31, 2025</w:t>
      </w:r>
      <w:r>
        <w:rPr>
          <w:rFonts w:ascii="Times New Roman" w:hAnsi="Times New Roman"/>
          <w:sz w:val="20"/>
        </w:rPr>
        <w:t>, respectively.</w:t>
      </w:r>
    </w:p>
    <w:p>
      <w:pPr>
        <w:pStyle w:val="TextBody"/>
        <w:bidi w:val="0"/>
        <w:spacing w:before="0" w:after="0"/>
        <w:ind w:left="0" w:right="0" w:firstLine="720"/>
        <w:jc w:val="left"/>
      </w:pPr>
      <w:r>
        <w:t> </w:t>
      </w:r>
    </w:p>
    <w:p>
      <w:pPr>
        <w:pStyle w:val="TextBody"/>
        <w:bidi w:val="0"/>
        <w:spacing w:before="0" w:after="283"/>
        <w:jc w:val="left"/>
      </w:pPr>
      <w:r>
        <w:t xml:space="preserve">  </w:t>
      </w:r>
    </w:p>
    <w:p>
      <w:pPr>
        <w:pStyle w:val="TextBody"/>
        <w:bidi w:val="0"/>
        <w:spacing w:before="0" w:after="0"/>
        <w:ind w:left="0" w:right="0" w:hanging="0"/>
        <w:jc w:val="left"/>
      </w:pPr>
      <w:r>
        <w:rPr>
          <w:rFonts w:ascii="Times New Roman;Times;serif" w:hAnsi="Times New Roman;Times;serif"/>
          <w:b/>
          <w:sz w:val="20"/>
        </w:rPr>
        <w:t xml:space="preserve">Note </w:t>
      </w:r>
      <w:r>
        <w:rPr>
          <w:rStyle w:val="Emphasis"/>
          <w:rFonts w:ascii="Times New Roman;Times;serif" w:hAnsi="Times New Roman;Times;serif"/>
          <w:b/>
          <w:sz w:val="20"/>
        </w:rPr>
        <w:t>6.</w:t>
      </w:r>
      <w:r>
        <w:rPr>
          <w:rFonts w:ascii="Times New Roman;Times;serif" w:hAnsi="Times New Roman;Times;serif"/>
          <w:b/>
          <w:sz w:val="20"/>
        </w:rPr>
        <w:t>  Earnings (Loss) Per Share</w:t>
      </w:r>
    </w:p>
    <w:p>
      <w:pPr>
        <w:pStyle w:val="TextBody"/>
        <w:bidi w:val="0"/>
        <w:spacing w:before="0" w:after="0"/>
        <w:ind w:left="0" w:right="0" w:hanging="0"/>
        <w:jc w:val="left"/>
      </w:pPr>
      <w:r>
        <w:t>​</w:t>
      </w:r>
    </w:p>
    <w:p>
      <w:pPr>
        <w:pStyle w:val="TextBody"/>
        <w:bidi w:val="0"/>
        <w:spacing w:before="0" w:after="0"/>
        <w:ind w:left="0" w:right="0" w:firstLine="720"/>
        <w:jc w:val="left"/>
      </w:pPr>
      <w:r>
        <w:rPr>
          <w:rFonts w:ascii="Times New Roman;Times;serif" w:hAnsi="Times New Roman;Times;serif"/>
          <w:sz w:val="20"/>
        </w:rPr>
        <w:t xml:space="preserve">Basic net income (loss) per share has been computed using the weighted-average number of shares of common stock outstanding during the period. Diluted net income (loss) per share has been computed using the weighted-average number of shares of common stock and dilutive potential common shares from restricted stock units, including performance-based stock units, and senior convertible notes outstanding during the period. In periods with net losses, dilutive securities are excluded from diluted earnings per share because their inclusion would be antidilutive. On </w:t>
      </w:r>
      <w:r>
        <w:rPr>
          <w:rStyle w:val="Emphasis"/>
          <w:rFonts w:ascii="Times New Roman;Times;serif" w:hAnsi="Times New Roman;Times;serif"/>
          <w:sz w:val="20"/>
        </w:rPr>
        <w:t xml:space="preserve">March 13, 2025, </w:t>
      </w:r>
      <w:r>
        <w:rPr>
          <w:rFonts w:ascii="Times New Roman;Times;serif" w:hAnsi="Times New Roman;Times;serif"/>
          <w:sz w:val="20"/>
        </w:rPr>
        <w:t xml:space="preserve">the Company issued 7,945,399 stock warrants to a subsidiary of Amazon, of which 1,324,233 warrants vested upon signing the warrant agreement. For the </w:t>
      </w:r>
      <w:r>
        <w:rPr>
          <w:rStyle w:val="Emphasis"/>
          <w:rFonts w:ascii="Times New Roman;Times;serif" w:hAnsi="Times New Roman;Times;serif"/>
          <w:sz w:val="20"/>
        </w:rPr>
        <w:t>three</w:t>
      </w:r>
      <w:r>
        <w:rPr>
          <w:rFonts w:ascii="Times New Roman;Times;serif" w:hAnsi="Times New Roman;Times;serif"/>
          <w:sz w:val="20"/>
        </w:rPr>
        <w:t xml:space="preserve"> and </w:t>
      </w:r>
      <w:r>
        <w:rPr>
          <w:rStyle w:val="Emphasis"/>
          <w:rFonts w:ascii="Times New Roman;Times;serif" w:hAnsi="Times New Roman;Times;serif"/>
          <w:sz w:val="20"/>
        </w:rPr>
        <w:t>nine</w:t>
      </w:r>
      <w:r>
        <w:rPr>
          <w:rFonts w:ascii="Times New Roman;Times;serif" w:hAnsi="Times New Roman;Times;serif"/>
          <w:sz w:val="20"/>
        </w:rPr>
        <w:t xml:space="preserve"> months ended </w:t>
      </w:r>
      <w:r>
        <w:rPr>
          <w:rStyle w:val="Emphasis"/>
          <w:rFonts w:ascii="Times New Roman;Times;serif" w:hAnsi="Times New Roman;Times;serif"/>
          <w:sz w:val="20"/>
        </w:rPr>
        <w:t>September 30, 2026</w:t>
      </w:r>
      <w:r>
        <w:rPr>
          <w:rFonts w:ascii="Times New Roman;Times;serif" w:hAnsi="Times New Roman;Times;serif"/>
          <w:sz w:val="20"/>
        </w:rPr>
        <w:t xml:space="preserve">, such warrants are both in the money and are considered dilutive instruments. For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 xml:space="preserve">September 30, 2026, </w:t>
      </w:r>
      <w:r>
        <w:rPr>
          <w:rFonts w:ascii="Times New Roman;Times;serif" w:hAnsi="Times New Roman;Times;serif"/>
          <w:sz w:val="20"/>
        </w:rPr>
        <w:t xml:space="preserve">the vested Amazon warrants were determined to be dilutive and were included in diluted earnings per share. The Company's </w:t>
      </w:r>
      <w:r>
        <w:rPr>
          <w:rStyle w:val="Emphasis"/>
          <w:rFonts w:ascii="Times New Roman;Times;serif" w:hAnsi="Times New Roman;Times;serif"/>
          <w:sz w:val="20"/>
        </w:rPr>
        <w:t>2030</w:t>
      </w:r>
      <w:r>
        <w:rPr>
          <w:rFonts w:ascii="Times New Roman;Times;serif" w:hAnsi="Times New Roman;Times;serif"/>
          <w:sz w:val="20"/>
        </w:rPr>
        <w:t xml:space="preserve"> Convertible Senior Notes were evaluated under the if-converted method and were included in diluted earnings per share. Accordingly, diluted earnings per share reflects both the shares issuable upon conversion of the notes and the related adjustment to net income for interest expense and debt issuance cost amortization, net of applicable tax effects.</w:t>
      </w:r>
    </w:p>
    <w:p>
      <w:pPr>
        <w:pStyle w:val="TextBody"/>
        <w:bidi w:val="0"/>
        <w:spacing w:before="0" w:after="0"/>
        <w:ind w:left="0" w:right="0" w:firstLine="720"/>
        <w:jc w:val="left"/>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sets forth the computation of the basic and diluted net income (loss) per share for the periods indicated (in thousands):</w:t>
      </w:r>
    </w:p>
    <w:p>
      <w:pPr>
        <w:pStyle w:val="TextBody"/>
        <w:bidi w:val="0"/>
        <w:spacing w:before="0" w:after="0"/>
        <w:ind w:left="0" w:right="0" w:firstLine="720"/>
        <w:jc w:val="left"/>
      </w:pPr>
      <w:r>
        <w:t> </w:t>
      </w:r>
    </w:p>
    <w:tbl>
      <w:tblPr>
        <w:tblW w:w="8929" w:type="dxa"/>
        <w:jc w:val="left"/>
        <w:tblInd w:w="0" w:type="dxa"/>
        <w:tblLayout w:type="fixed"/>
        <w:tblCellMar>
          <w:top w:w="0" w:type="dxa"/>
          <w:left w:w="0" w:type="dxa"/>
          <w:bottom w:w="0" w:type="dxa"/>
          <w:right w:w="0" w:type="dxa"/>
        </w:tblCellMar>
      </w:tblPr>
      <w:tblGrid>
        <w:gridCol w:w="2945"/>
        <w:gridCol w:w="60"/>
        <w:gridCol w:w="225"/>
        <w:gridCol w:w="1062"/>
        <w:gridCol w:w="108"/>
        <w:gridCol w:w="108"/>
        <w:gridCol w:w="225"/>
        <w:gridCol w:w="1170"/>
        <w:gridCol w:w="80"/>
        <w:gridCol w:w="60"/>
        <w:gridCol w:w="207"/>
        <w:gridCol w:w="1080"/>
        <w:gridCol w:w="133"/>
        <w:gridCol w:w="99"/>
        <w:gridCol w:w="207"/>
        <w:gridCol w:w="1080"/>
        <w:gridCol w:w="80"/>
      </w:tblGrid>
      <w:tr>
        <w:tc>
          <w:tcPr>
            <w:tcW w:w="294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89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Three months ended September 30,</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80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Nine months ended September 30,</w:t>
            </w:r>
          </w:p>
        </w:tc>
        <w:tc>
          <w:tcPr>
            <w:tcW w:w="80" w:type="dxa"/>
            <w:tcBorders/>
            <w:shd w:fill="FFFFFF" w:val="clear"/>
            <w:vAlign w:val="center"/>
          </w:tcPr>
          <w:p>
            <w:pPr>
              <w:pStyle w:val="TableContents"/>
              <w:bidi w:val="0"/>
              <w:spacing w:before="0" w:after="283"/>
              <w:jc w:val="left"/>
            </w:pPr>
            <w:r>
              <w:t> </w:t>
            </w:r>
          </w:p>
        </w:tc>
      </w:tr>
      <w:tr>
        <w:tc>
          <w:tcPr>
            <w:tcW w:w="294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8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2026</w:t>
            </w:r>
          </w:p>
        </w:tc>
        <w:tc>
          <w:tcPr>
            <w:tcW w:w="108" w:type="dxa"/>
            <w:tcBorders/>
            <w:shd w:fill="FFFFFF" w:val="clear"/>
            <w:vAlign w:val="center"/>
          </w:tcPr>
          <w:p>
            <w:pPr>
              <w:pStyle w:val="TableContents"/>
              <w:bidi w:val="0"/>
              <w:spacing w:before="0" w:after="283"/>
              <w:jc w:val="left"/>
            </w:pPr>
            <w:r>
              <w:t> </w:t>
            </w:r>
          </w:p>
        </w:tc>
        <w:tc>
          <w:tcPr>
            <w:tcW w:w="108" w:type="dxa"/>
            <w:tcBorders/>
            <w:shd w:fill="FFFFFF" w:val="clear"/>
            <w:vAlign w:val="center"/>
          </w:tcPr>
          <w:p>
            <w:pPr>
              <w:pStyle w:val="TableContents"/>
              <w:bidi w:val="0"/>
              <w:spacing w:before="0" w:after="283"/>
              <w:ind w:left="0" w:right="0" w:hanging="0"/>
              <w:jc w:val="left"/>
            </w:pPr>
            <w:r>
              <w:t> </w:t>
            </w:r>
          </w:p>
        </w:tc>
        <w:tc>
          <w:tcPr>
            <w:tcW w:w="13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8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2026</w:t>
            </w:r>
          </w:p>
        </w:tc>
        <w:tc>
          <w:tcPr>
            <w:tcW w:w="133" w:type="dxa"/>
            <w:tcBorders/>
            <w:shd w:fill="FFFFFF" w:val="clear"/>
            <w:vAlign w:val="center"/>
          </w:tcPr>
          <w:p>
            <w:pPr>
              <w:pStyle w:val="TableContents"/>
              <w:bidi w:val="0"/>
              <w:spacing w:before="0" w:after="283"/>
              <w:jc w:val="left"/>
            </w:pPr>
            <w:r>
              <w:t> </w:t>
            </w:r>
          </w:p>
        </w:tc>
        <w:tc>
          <w:tcPr>
            <w:tcW w:w="99" w:type="dxa"/>
            <w:tcBorders/>
            <w:shd w:fill="FFFFFF" w:val="clear"/>
            <w:vAlign w:val="center"/>
          </w:tcPr>
          <w:p>
            <w:pPr>
              <w:pStyle w:val="TableContents"/>
              <w:bidi w:val="0"/>
              <w:spacing w:before="0" w:after="283"/>
              <w:ind w:left="0" w:right="0" w:hanging="0"/>
              <w:jc w:val="left"/>
            </w:pPr>
            <w:r>
              <w:t> </w:t>
            </w:r>
          </w:p>
        </w:tc>
        <w:tc>
          <w:tcPr>
            <w:tcW w:w="128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pPr>
            <w:r>
              <w:t> </w:t>
            </w:r>
          </w:p>
        </w:tc>
      </w:tr>
      <w:tr>
        <w:tc>
          <w:tcPr>
            <w:tcW w:w="294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Numerator</w:t>
            </w:r>
          </w:p>
        </w:tc>
        <w:tc>
          <w:tcPr>
            <w:tcW w:w="60" w:type="dxa"/>
            <w:tcBorders/>
            <w:shd w:fill="CCEEFF" w:val="clear"/>
            <w:vAlign w:val="center"/>
          </w:tcPr>
          <w:p>
            <w:pPr>
              <w:pStyle w:val="TableContents"/>
              <w:bidi w:val="0"/>
              <w:spacing w:before="0" w:after="283"/>
              <w:ind w:left="0" w:right="0" w:hanging="0"/>
              <w:jc w:val="left"/>
            </w:pPr>
            <w:r>
              <w:t> </w:t>
            </w:r>
          </w:p>
        </w:tc>
        <w:tc>
          <w:tcPr>
            <w:tcW w:w="1287" w:type="dxa"/>
            <w:gridSpan w:val="2"/>
            <w:tcBorders/>
            <w:shd w:fill="CCEEFF" w:val="clear"/>
            <w:vAlign w:val="center"/>
          </w:tcPr>
          <w:p>
            <w:pPr>
              <w:pStyle w:val="TableContents"/>
              <w:bidi w:val="0"/>
              <w:spacing w:before="0" w:after="283"/>
              <w:jc w:val="left"/>
            </w:pPr>
            <w:r>
              <w:t> </w:t>
            </w:r>
          </w:p>
        </w:tc>
        <w:tc>
          <w:tcPr>
            <w:tcW w:w="108" w:type="dxa"/>
            <w:tcBorders/>
            <w:shd w:fill="CCEEFF" w:val="clear"/>
            <w:vAlign w:val="center"/>
          </w:tcPr>
          <w:p>
            <w:pPr>
              <w:pStyle w:val="TableContents"/>
              <w:bidi w:val="0"/>
              <w:spacing w:before="0" w:after="283"/>
              <w:jc w:val="left"/>
            </w:pPr>
            <w:r>
              <w:t> </w:t>
            </w:r>
          </w:p>
        </w:tc>
        <w:tc>
          <w:tcPr>
            <w:tcW w:w="108" w:type="dxa"/>
            <w:tcBorders/>
            <w:shd w:fill="CCEEFF" w:val="clear"/>
            <w:vAlign w:val="center"/>
          </w:tcPr>
          <w:p>
            <w:pPr>
              <w:pStyle w:val="TableContents"/>
              <w:bidi w:val="0"/>
              <w:spacing w:before="0" w:after="283"/>
              <w:ind w:left="0" w:right="0" w:hanging="0"/>
              <w:jc w:val="left"/>
            </w:pPr>
            <w:r>
              <w:t> </w:t>
            </w:r>
          </w:p>
        </w:tc>
        <w:tc>
          <w:tcPr>
            <w:tcW w:w="1395" w:type="dxa"/>
            <w:gridSpan w:val="2"/>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287" w:type="dxa"/>
            <w:gridSpan w:val="2"/>
            <w:tcBorders/>
            <w:shd w:fill="CCEEFF" w:val="clear"/>
            <w:vAlign w:val="center"/>
          </w:tcPr>
          <w:p>
            <w:pPr>
              <w:pStyle w:val="TableContents"/>
              <w:bidi w:val="0"/>
              <w:spacing w:before="0" w:after="283"/>
              <w:jc w:val="left"/>
            </w:pPr>
            <w:r>
              <w:t> </w:t>
            </w:r>
          </w:p>
        </w:tc>
        <w:tc>
          <w:tcPr>
            <w:tcW w:w="133" w:type="dxa"/>
            <w:tcBorders/>
            <w:shd w:fill="CCEEFF" w:val="clear"/>
            <w:vAlign w:val="center"/>
          </w:tcPr>
          <w:p>
            <w:pPr>
              <w:pStyle w:val="TableContents"/>
              <w:bidi w:val="0"/>
              <w:spacing w:before="0" w:after="283"/>
              <w:jc w:val="left"/>
            </w:pPr>
            <w:r>
              <w:t> </w:t>
            </w:r>
          </w:p>
        </w:tc>
        <w:tc>
          <w:tcPr>
            <w:tcW w:w="99" w:type="dxa"/>
            <w:tcBorders/>
            <w:shd w:fill="CCEEFF" w:val="clear"/>
            <w:vAlign w:val="center"/>
          </w:tcPr>
          <w:p>
            <w:pPr>
              <w:pStyle w:val="TableContents"/>
              <w:bidi w:val="0"/>
              <w:spacing w:before="0" w:after="283"/>
              <w:ind w:left="0" w:right="0" w:hanging="0"/>
              <w:jc w:val="left"/>
            </w:pPr>
            <w:r>
              <w:t> </w:t>
            </w:r>
          </w:p>
        </w:tc>
        <w:tc>
          <w:tcPr>
            <w:tcW w:w="1287" w:type="dxa"/>
            <w:gridSpan w:val="2"/>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r>
      <w:tr>
        <w:tc>
          <w:tcPr>
            <w:tcW w:w="294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w:t>
            </w:r>
          </w:p>
        </w:tc>
        <w:tc>
          <w:tcPr>
            <w:tcW w:w="60" w:type="dxa"/>
            <w:tcBorders/>
            <w:shd w:fill="FFFFFF" w:val="clear"/>
            <w:vAlign w:val="center"/>
          </w:tcPr>
          <w:p>
            <w:pPr>
              <w:pStyle w:val="TableContents"/>
              <w:bidi w:val="0"/>
              <w:spacing w:before="0" w:after="283"/>
              <w:ind w:left="0" w:right="0" w:hanging="0"/>
              <w:jc w:val="left"/>
            </w:pPr>
            <w:r>
              <w:t> </w:t>
            </w:r>
          </w:p>
        </w:tc>
        <w:tc>
          <w:tcPr>
            <w:tcW w:w="2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sz w:val="20"/>
              </w:rPr>
            </w:pPr>
            <w:r>
              <w:rPr>
                <w:sz w:val="20"/>
              </w:rPr>
              <w:t>$</w:t>
            </w:r>
          </w:p>
        </w:tc>
        <w:tc>
          <w:tcPr>
            <w:tcW w:w="106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6,300</w:t>
            </w:r>
          </w:p>
        </w:tc>
        <w:tc>
          <w:tcPr>
            <w:tcW w:w="108" w:type="dxa"/>
            <w:tcBorders/>
            <w:shd w:fill="FFFFFF" w:val="clear"/>
            <w:vAlign w:val="center"/>
          </w:tcPr>
          <w:p>
            <w:pPr>
              <w:pStyle w:val="TableContents"/>
              <w:bidi w:val="0"/>
              <w:spacing w:before="0" w:after="283"/>
              <w:jc w:val="left"/>
            </w:pPr>
            <w:r>
              <w:t> </w:t>
            </w:r>
          </w:p>
        </w:tc>
        <w:tc>
          <w:tcPr>
            <w:tcW w:w="108" w:type="dxa"/>
            <w:tcBorders/>
            <w:shd w:fill="FFFFFF" w:val="clear"/>
            <w:vAlign w:val="center"/>
          </w:tcPr>
          <w:p>
            <w:pPr>
              <w:pStyle w:val="TableContents"/>
              <w:bidi w:val="0"/>
              <w:spacing w:before="0" w:after="283"/>
              <w:ind w:left="0" w:right="0" w:hanging="0"/>
              <w:jc w:val="left"/>
            </w:pPr>
            <w:r>
              <w:t> </w:t>
            </w:r>
          </w:p>
        </w:tc>
        <w:tc>
          <w:tcPr>
            <w:tcW w:w="2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sz w:val="20"/>
              </w:rPr>
            </w:pPr>
            <w:r>
              <w:rPr>
                <w:sz w:val="20"/>
              </w:rPr>
              <w:t>$</w:t>
            </w:r>
          </w:p>
        </w:tc>
        <w:tc>
          <w:tcPr>
            <w:tcW w:w="11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(17,936</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ind w:left="0" w:right="0" w:hanging="0"/>
              <w:jc w:val="left"/>
            </w:pPr>
            <w:r>
              <w:t> </w:t>
            </w:r>
          </w:p>
        </w:tc>
        <w:tc>
          <w:tcPr>
            <w:tcW w:w="2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sz w:val="20"/>
              </w:rPr>
            </w:pPr>
            <w:r>
              <w:rPr>
                <w:sz w:val="20"/>
              </w:rPr>
              <w:t>$</w:t>
            </w:r>
          </w:p>
        </w:tc>
        <w:tc>
          <w:tcPr>
            <w:tcW w:w="10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(30,762</w:t>
            </w:r>
          </w:p>
        </w:tc>
        <w:tc>
          <w:tcPr>
            <w:tcW w:w="133" w:type="dxa"/>
            <w:tcBorders/>
            <w:shd w:fill="FFFFFF" w:val="clear"/>
            <w:vAlign w:val="center"/>
          </w:tcPr>
          <w:p>
            <w:pPr>
              <w:pStyle w:val="TableContents"/>
              <w:bidi w:val="0"/>
              <w:spacing w:before="0" w:after="283"/>
              <w:jc w:val="left"/>
              <w:rPr>
                <w:sz w:val="20"/>
              </w:rPr>
            </w:pPr>
            <w:r>
              <w:rPr>
                <w:sz w:val="20"/>
              </w:rPr>
              <w:t>)</w:t>
            </w:r>
          </w:p>
        </w:tc>
        <w:tc>
          <w:tcPr>
            <w:tcW w:w="99" w:type="dxa"/>
            <w:tcBorders/>
            <w:shd w:fill="FFFFFF" w:val="clear"/>
            <w:vAlign w:val="center"/>
          </w:tcPr>
          <w:p>
            <w:pPr>
              <w:pStyle w:val="TableContents"/>
              <w:bidi w:val="0"/>
              <w:spacing w:before="0" w:after="283"/>
              <w:ind w:left="0" w:right="0" w:hanging="0"/>
              <w:jc w:val="left"/>
            </w:pPr>
            <w:r>
              <w:t> </w:t>
            </w:r>
          </w:p>
        </w:tc>
        <w:tc>
          <w:tcPr>
            <w:tcW w:w="2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sz w:val="20"/>
              </w:rPr>
            </w:pPr>
            <w:r>
              <w:rPr>
                <w:sz w:val="20"/>
              </w:rPr>
              <w:t>$</w:t>
            </w:r>
          </w:p>
        </w:tc>
        <w:tc>
          <w:tcPr>
            <w:tcW w:w="10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(36,206</w:t>
            </w:r>
          </w:p>
        </w:tc>
        <w:tc>
          <w:tcPr>
            <w:tcW w:w="80" w:type="dxa"/>
            <w:tcBorders/>
            <w:shd w:fill="FFFFFF" w:val="clear"/>
            <w:vAlign w:val="center"/>
          </w:tcPr>
          <w:p>
            <w:pPr>
              <w:pStyle w:val="TableContents"/>
              <w:bidi w:val="0"/>
              <w:spacing w:before="0" w:after="283"/>
              <w:jc w:val="left"/>
              <w:rPr>
                <w:sz w:val="20"/>
              </w:rPr>
            </w:pPr>
            <w:r>
              <w:rPr>
                <w:sz w:val="20"/>
              </w:rPr>
              <w:t>)</w:t>
            </w:r>
          </w:p>
        </w:tc>
      </w:tr>
      <w:tr>
        <w:tc>
          <w:tcPr>
            <w:tcW w:w="294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Denominator</w:t>
            </w:r>
          </w:p>
        </w:tc>
        <w:tc>
          <w:tcPr>
            <w:tcW w:w="60" w:type="dxa"/>
            <w:tcBorders/>
            <w:shd w:fill="CCEEFF" w:val="clear"/>
            <w:vAlign w:val="center"/>
          </w:tcPr>
          <w:p>
            <w:pPr>
              <w:pStyle w:val="TableContents"/>
              <w:bidi w:val="0"/>
              <w:spacing w:before="0" w:after="283"/>
              <w:ind w:left="0" w:right="0" w:hanging="0"/>
              <w:jc w:val="left"/>
            </w:pPr>
            <w:r>
              <w:t> </w:t>
            </w:r>
          </w:p>
        </w:tc>
        <w:tc>
          <w:tcPr>
            <w:tcW w:w="1287" w:type="dxa"/>
            <w:gridSpan w:val="2"/>
            <w:tcBorders/>
            <w:shd w:fill="CCEEFF" w:val="clear"/>
            <w:vAlign w:val="center"/>
          </w:tcPr>
          <w:p>
            <w:pPr>
              <w:pStyle w:val="TableContents"/>
              <w:bidi w:val="0"/>
              <w:spacing w:before="0" w:after="283"/>
              <w:jc w:val="left"/>
            </w:pPr>
            <w:r>
              <w:t> </w:t>
            </w:r>
          </w:p>
        </w:tc>
        <w:tc>
          <w:tcPr>
            <w:tcW w:w="108" w:type="dxa"/>
            <w:tcBorders/>
            <w:shd w:fill="CCEEFF" w:val="clear"/>
            <w:vAlign w:val="center"/>
          </w:tcPr>
          <w:p>
            <w:pPr>
              <w:pStyle w:val="TableContents"/>
              <w:bidi w:val="0"/>
              <w:spacing w:before="0" w:after="283"/>
              <w:jc w:val="left"/>
            </w:pPr>
            <w:r>
              <w:t> </w:t>
            </w:r>
          </w:p>
        </w:tc>
        <w:tc>
          <w:tcPr>
            <w:tcW w:w="108" w:type="dxa"/>
            <w:tcBorders/>
            <w:shd w:fill="CCEEFF" w:val="clear"/>
            <w:vAlign w:val="center"/>
          </w:tcPr>
          <w:p>
            <w:pPr>
              <w:pStyle w:val="TableContents"/>
              <w:bidi w:val="0"/>
              <w:spacing w:before="0" w:after="283"/>
              <w:ind w:left="0" w:right="0" w:hanging="0"/>
              <w:jc w:val="left"/>
            </w:pPr>
            <w:r>
              <w:t> </w:t>
            </w:r>
          </w:p>
        </w:tc>
        <w:tc>
          <w:tcPr>
            <w:tcW w:w="1395" w:type="dxa"/>
            <w:gridSpan w:val="2"/>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07" w:type="dxa"/>
            <w:tcBorders/>
            <w:shd w:fill="CCEEFF" w:val="clear"/>
            <w:vAlign w:val="center"/>
          </w:tcPr>
          <w:p>
            <w:pPr>
              <w:pStyle w:val="TableContents"/>
              <w:bidi w:val="0"/>
              <w:spacing w:before="0" w:after="283"/>
              <w:jc w:val="left"/>
            </w:pPr>
            <w:r>
              <w:t> </w:t>
            </w:r>
          </w:p>
        </w:tc>
        <w:tc>
          <w:tcPr>
            <w:tcW w:w="1080" w:type="dxa"/>
            <w:tcBorders/>
            <w:shd w:fill="CCEEFF" w:val="clear"/>
            <w:vAlign w:val="center"/>
          </w:tcPr>
          <w:p>
            <w:pPr>
              <w:pStyle w:val="TableContents"/>
              <w:bidi w:val="0"/>
              <w:spacing w:before="0" w:after="283"/>
              <w:jc w:val="left"/>
            </w:pPr>
            <w:r>
              <w:t> </w:t>
            </w:r>
          </w:p>
        </w:tc>
        <w:tc>
          <w:tcPr>
            <w:tcW w:w="133" w:type="dxa"/>
            <w:tcBorders/>
            <w:shd w:fill="CCEEFF" w:val="clear"/>
            <w:vAlign w:val="center"/>
          </w:tcPr>
          <w:p>
            <w:pPr>
              <w:pStyle w:val="TableContents"/>
              <w:bidi w:val="0"/>
              <w:spacing w:before="0" w:after="283"/>
              <w:jc w:val="left"/>
            </w:pPr>
            <w:r>
              <w:t> </w:t>
            </w:r>
          </w:p>
        </w:tc>
        <w:tc>
          <w:tcPr>
            <w:tcW w:w="99" w:type="dxa"/>
            <w:tcBorders/>
            <w:shd w:fill="CCEEFF" w:val="clear"/>
            <w:vAlign w:val="center"/>
          </w:tcPr>
          <w:p>
            <w:pPr>
              <w:pStyle w:val="TableContents"/>
              <w:bidi w:val="0"/>
              <w:spacing w:before="0" w:after="283"/>
              <w:jc w:val="left"/>
            </w:pPr>
            <w:r>
              <w:t> </w:t>
            </w:r>
          </w:p>
        </w:tc>
        <w:tc>
          <w:tcPr>
            <w:tcW w:w="207" w:type="dxa"/>
            <w:tcBorders/>
            <w:shd w:fill="CCEEFF" w:val="clear"/>
            <w:vAlign w:val="center"/>
          </w:tcPr>
          <w:p>
            <w:pPr>
              <w:pStyle w:val="TableContents"/>
              <w:bidi w:val="0"/>
              <w:spacing w:before="0" w:after="283"/>
              <w:jc w:val="left"/>
            </w:pPr>
            <w:r>
              <w:t> </w:t>
            </w:r>
          </w:p>
        </w:tc>
        <w:tc>
          <w:tcPr>
            <w:tcW w:w="1080"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r>
      <w:tr>
        <w:tc>
          <w:tcPr>
            <w:tcW w:w="294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shares - basic</w:t>
            </w:r>
          </w:p>
        </w:tc>
        <w:tc>
          <w:tcPr>
            <w:tcW w:w="60" w:type="dxa"/>
            <w:tcBorders/>
            <w:shd w:fill="FFFFFF" w:val="clear"/>
            <w:vAlign w:val="center"/>
          </w:tcPr>
          <w:p>
            <w:pPr>
              <w:pStyle w:val="TableContents"/>
              <w:bidi w:val="0"/>
              <w:spacing w:before="0" w:after="283"/>
              <w:jc w:val="left"/>
            </w:pPr>
            <w:r>
              <w:t> </w:t>
            </w:r>
          </w:p>
        </w:tc>
        <w:tc>
          <w:tcPr>
            <w:tcW w:w="225" w:type="dxa"/>
            <w:tcBorders/>
            <w:shd w:fill="FFFFFF" w:val="clear"/>
            <w:vAlign w:val="center"/>
          </w:tcPr>
          <w:p>
            <w:pPr>
              <w:pStyle w:val="TableContents"/>
              <w:bidi w:val="0"/>
              <w:spacing w:before="0" w:after="283"/>
              <w:ind w:left="0" w:right="0" w:hanging="0"/>
              <w:jc w:val="left"/>
            </w:pPr>
            <w:r>
              <w:t> </w:t>
            </w:r>
          </w:p>
        </w:tc>
        <w:tc>
          <w:tcPr>
            <w:tcW w:w="1062" w:type="dxa"/>
            <w:tcBorders/>
            <w:shd w:fill="FFFFFF" w:val="clear"/>
            <w:vAlign w:val="center"/>
          </w:tcPr>
          <w:p>
            <w:pPr>
              <w:pStyle w:val="TableContents"/>
              <w:bidi w:val="0"/>
              <w:spacing w:before="0" w:after="283"/>
              <w:ind w:left="0" w:right="0" w:hanging="0"/>
              <w:jc w:val="right"/>
              <w:rPr>
                <w:sz w:val="20"/>
              </w:rPr>
            </w:pPr>
            <w:r>
              <w:rPr>
                <w:sz w:val="20"/>
              </w:rPr>
              <w:t>85,397</w:t>
            </w:r>
          </w:p>
        </w:tc>
        <w:tc>
          <w:tcPr>
            <w:tcW w:w="108" w:type="dxa"/>
            <w:tcBorders/>
            <w:shd w:fill="FFFFFF" w:val="clear"/>
            <w:vAlign w:val="center"/>
          </w:tcPr>
          <w:p>
            <w:pPr>
              <w:pStyle w:val="TableContents"/>
              <w:bidi w:val="0"/>
              <w:spacing w:before="0" w:after="283"/>
              <w:jc w:val="left"/>
            </w:pPr>
            <w:r>
              <w:t> </w:t>
            </w:r>
          </w:p>
        </w:tc>
        <w:tc>
          <w:tcPr>
            <w:tcW w:w="108" w:type="dxa"/>
            <w:tcBorders/>
            <w:shd w:fill="FFFFFF" w:val="clear"/>
            <w:vAlign w:val="center"/>
          </w:tcPr>
          <w:p>
            <w:pPr>
              <w:pStyle w:val="TableContents"/>
              <w:bidi w:val="0"/>
              <w:spacing w:before="0" w:after="283"/>
              <w:jc w:val="left"/>
            </w:pPr>
            <w:r>
              <w:t> </w:t>
            </w:r>
          </w:p>
        </w:tc>
        <w:tc>
          <w:tcPr>
            <w:tcW w:w="225" w:type="dxa"/>
            <w:tcBorders/>
            <w:shd w:fill="FFFFFF" w:val="clear"/>
            <w:vAlign w:val="center"/>
          </w:tcPr>
          <w:p>
            <w:pPr>
              <w:pStyle w:val="TableContents"/>
              <w:bidi w:val="0"/>
              <w:spacing w:before="0" w:after="283"/>
              <w:ind w:left="0" w:right="0" w:hanging="0"/>
              <w:jc w:val="left"/>
            </w:pPr>
            <w:r>
              <w:t> </w:t>
            </w:r>
          </w:p>
        </w:tc>
        <w:tc>
          <w:tcPr>
            <w:tcW w:w="1170" w:type="dxa"/>
            <w:tcBorders/>
            <w:shd w:fill="FFFFFF" w:val="clear"/>
            <w:vAlign w:val="center"/>
          </w:tcPr>
          <w:p>
            <w:pPr>
              <w:pStyle w:val="TableContents"/>
              <w:bidi w:val="0"/>
              <w:spacing w:before="0" w:after="283"/>
              <w:ind w:left="0" w:right="0" w:hanging="0"/>
              <w:jc w:val="right"/>
              <w:rPr>
                <w:sz w:val="20"/>
              </w:rPr>
            </w:pPr>
            <w:r>
              <w:rPr>
                <w:sz w:val="20"/>
              </w:rPr>
              <w:t>63,329</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07" w:type="dxa"/>
            <w:tcBorders/>
            <w:shd w:fill="FFFFFF" w:val="clear"/>
            <w:vAlign w:val="center"/>
          </w:tcPr>
          <w:p>
            <w:pPr>
              <w:pStyle w:val="TableContents"/>
              <w:bidi w:val="0"/>
              <w:spacing w:before="0" w:after="283"/>
              <w:ind w:left="0" w:right="0" w:hanging="0"/>
              <w:jc w:val="left"/>
            </w:pPr>
            <w:r>
              <w:t> </w:t>
            </w:r>
          </w:p>
        </w:tc>
        <w:tc>
          <w:tcPr>
            <w:tcW w:w="1080" w:type="dxa"/>
            <w:tcBorders/>
            <w:shd w:fill="FFFFFF" w:val="clear"/>
            <w:vAlign w:val="center"/>
          </w:tcPr>
          <w:p>
            <w:pPr>
              <w:pStyle w:val="TableContents"/>
              <w:bidi w:val="0"/>
              <w:spacing w:before="0" w:after="283"/>
              <w:ind w:left="0" w:right="0" w:hanging="0"/>
              <w:jc w:val="right"/>
              <w:rPr>
                <w:sz w:val="20"/>
              </w:rPr>
            </w:pPr>
            <w:r>
              <w:rPr>
                <w:sz w:val="20"/>
              </w:rPr>
              <w:t>81,016</w:t>
            </w:r>
          </w:p>
        </w:tc>
        <w:tc>
          <w:tcPr>
            <w:tcW w:w="133" w:type="dxa"/>
            <w:tcBorders/>
            <w:shd w:fill="FFFFFF" w:val="clear"/>
            <w:vAlign w:val="center"/>
          </w:tcPr>
          <w:p>
            <w:pPr>
              <w:pStyle w:val="TableContents"/>
              <w:bidi w:val="0"/>
              <w:spacing w:before="0" w:after="283"/>
              <w:jc w:val="left"/>
            </w:pPr>
            <w:r>
              <w:t> </w:t>
            </w:r>
          </w:p>
        </w:tc>
        <w:tc>
          <w:tcPr>
            <w:tcW w:w="99" w:type="dxa"/>
            <w:tcBorders/>
            <w:shd w:fill="FFFFFF" w:val="clear"/>
            <w:vAlign w:val="center"/>
          </w:tcPr>
          <w:p>
            <w:pPr>
              <w:pStyle w:val="TableContents"/>
              <w:bidi w:val="0"/>
              <w:spacing w:before="0" w:after="283"/>
              <w:jc w:val="left"/>
            </w:pPr>
            <w:r>
              <w:t> </w:t>
            </w:r>
          </w:p>
        </w:tc>
        <w:tc>
          <w:tcPr>
            <w:tcW w:w="207" w:type="dxa"/>
            <w:tcBorders/>
            <w:shd w:fill="FFFFFF" w:val="clear"/>
            <w:vAlign w:val="center"/>
          </w:tcPr>
          <w:p>
            <w:pPr>
              <w:pStyle w:val="TableContents"/>
              <w:bidi w:val="0"/>
              <w:spacing w:before="0" w:after="283"/>
              <w:ind w:left="0" w:right="0" w:hanging="0"/>
              <w:jc w:val="left"/>
            </w:pPr>
            <w:r>
              <w:t> </w:t>
            </w:r>
          </w:p>
        </w:tc>
        <w:tc>
          <w:tcPr>
            <w:tcW w:w="1080" w:type="dxa"/>
            <w:tcBorders/>
            <w:shd w:fill="FFFFFF" w:val="clear"/>
            <w:vAlign w:val="center"/>
          </w:tcPr>
          <w:p>
            <w:pPr>
              <w:pStyle w:val="TableContents"/>
              <w:bidi w:val="0"/>
              <w:spacing w:before="0" w:after="283"/>
              <w:ind w:left="0" w:right="0" w:hanging="0"/>
              <w:jc w:val="right"/>
              <w:rPr>
                <w:sz w:val="20"/>
              </w:rPr>
            </w:pPr>
            <w:r>
              <w:rPr>
                <w:sz w:val="20"/>
              </w:rPr>
              <w:t>56,762</w:t>
            </w:r>
          </w:p>
        </w:tc>
        <w:tc>
          <w:tcPr>
            <w:tcW w:w="80" w:type="dxa"/>
            <w:tcBorders/>
            <w:shd w:fill="FFFFFF" w:val="clear"/>
            <w:vAlign w:val="center"/>
          </w:tcPr>
          <w:p>
            <w:pPr>
              <w:pStyle w:val="TableContents"/>
              <w:bidi w:val="0"/>
              <w:spacing w:before="0" w:after="283"/>
              <w:jc w:val="left"/>
            </w:pPr>
            <w:r>
              <w:t> </w:t>
            </w:r>
          </w:p>
        </w:tc>
      </w:tr>
      <w:tr>
        <w:tc>
          <w:tcPr>
            <w:tcW w:w="2945" w:type="dxa"/>
            <w:tcBorders/>
            <w:shd w:fill="CCEEFF" w:val="clear"/>
            <w:vAlign w:val="center"/>
          </w:tcPr>
          <w:p>
            <w:pPr>
              <w:pStyle w:val="TableContents"/>
              <w:bidi w:val="0"/>
              <w:spacing w:before="0" w:after="0"/>
              <w:ind w:left="0" w:right="0" w:firstLine="18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Effect of dilutive securities:</w:t>
            </w:r>
          </w:p>
        </w:tc>
        <w:tc>
          <w:tcPr>
            <w:tcW w:w="60" w:type="dxa"/>
            <w:tcBorders/>
            <w:shd w:fill="CCEEFF" w:val="clear"/>
            <w:vAlign w:val="center"/>
          </w:tcPr>
          <w:p>
            <w:pPr>
              <w:pStyle w:val="TableContents"/>
              <w:bidi w:val="0"/>
              <w:spacing w:before="0" w:after="283"/>
              <w:ind w:left="0" w:right="0" w:hanging="0"/>
              <w:jc w:val="left"/>
            </w:pPr>
            <w:r>
              <w:t> </w:t>
            </w:r>
          </w:p>
        </w:tc>
        <w:tc>
          <w:tcPr>
            <w:tcW w:w="1287" w:type="dxa"/>
            <w:gridSpan w:val="2"/>
            <w:tcBorders/>
            <w:shd w:fill="CCEEFF" w:val="clear"/>
            <w:vAlign w:val="center"/>
          </w:tcPr>
          <w:p>
            <w:pPr>
              <w:pStyle w:val="TableContents"/>
              <w:bidi w:val="0"/>
              <w:spacing w:before="0" w:after="283"/>
              <w:jc w:val="left"/>
            </w:pPr>
            <w:r>
              <w:t> </w:t>
            </w:r>
          </w:p>
        </w:tc>
        <w:tc>
          <w:tcPr>
            <w:tcW w:w="108" w:type="dxa"/>
            <w:tcBorders/>
            <w:shd w:fill="CCEEFF" w:val="clear"/>
            <w:vAlign w:val="center"/>
          </w:tcPr>
          <w:p>
            <w:pPr>
              <w:pStyle w:val="TableContents"/>
              <w:bidi w:val="0"/>
              <w:spacing w:before="0" w:after="283"/>
              <w:jc w:val="left"/>
            </w:pPr>
            <w:r>
              <w:t> </w:t>
            </w:r>
          </w:p>
        </w:tc>
        <w:tc>
          <w:tcPr>
            <w:tcW w:w="108" w:type="dxa"/>
            <w:tcBorders/>
            <w:shd w:fill="CCEEFF" w:val="clear"/>
            <w:vAlign w:val="center"/>
          </w:tcPr>
          <w:p>
            <w:pPr>
              <w:pStyle w:val="TableContents"/>
              <w:bidi w:val="0"/>
              <w:spacing w:before="0" w:after="283"/>
              <w:ind w:left="0" w:right="0" w:hanging="0"/>
              <w:jc w:val="left"/>
            </w:pPr>
            <w:r>
              <w:t> </w:t>
            </w:r>
          </w:p>
        </w:tc>
        <w:tc>
          <w:tcPr>
            <w:tcW w:w="1395" w:type="dxa"/>
            <w:gridSpan w:val="2"/>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07" w:type="dxa"/>
            <w:tcBorders/>
            <w:shd w:fill="CCEEFF" w:val="clear"/>
            <w:vAlign w:val="center"/>
          </w:tcPr>
          <w:p>
            <w:pPr>
              <w:pStyle w:val="TableContents"/>
              <w:bidi w:val="0"/>
              <w:spacing w:before="0" w:after="283"/>
              <w:jc w:val="left"/>
            </w:pPr>
            <w:r>
              <w:t> </w:t>
            </w:r>
          </w:p>
        </w:tc>
        <w:tc>
          <w:tcPr>
            <w:tcW w:w="1080" w:type="dxa"/>
            <w:tcBorders/>
            <w:shd w:fill="CCEEFF" w:val="clear"/>
            <w:vAlign w:val="center"/>
          </w:tcPr>
          <w:p>
            <w:pPr>
              <w:pStyle w:val="TableContents"/>
              <w:bidi w:val="0"/>
              <w:spacing w:before="0" w:after="283"/>
              <w:jc w:val="left"/>
            </w:pPr>
            <w:r>
              <w:t> </w:t>
            </w:r>
          </w:p>
        </w:tc>
        <w:tc>
          <w:tcPr>
            <w:tcW w:w="133" w:type="dxa"/>
            <w:tcBorders/>
            <w:shd w:fill="CCEEFF" w:val="clear"/>
            <w:vAlign w:val="center"/>
          </w:tcPr>
          <w:p>
            <w:pPr>
              <w:pStyle w:val="TableContents"/>
              <w:bidi w:val="0"/>
              <w:spacing w:before="0" w:after="283"/>
              <w:jc w:val="left"/>
            </w:pPr>
            <w:r>
              <w:t> </w:t>
            </w:r>
          </w:p>
        </w:tc>
        <w:tc>
          <w:tcPr>
            <w:tcW w:w="99" w:type="dxa"/>
            <w:tcBorders/>
            <w:shd w:fill="CCEEFF" w:val="clear"/>
            <w:vAlign w:val="center"/>
          </w:tcPr>
          <w:p>
            <w:pPr>
              <w:pStyle w:val="TableContents"/>
              <w:bidi w:val="0"/>
              <w:spacing w:before="0" w:after="283"/>
              <w:jc w:val="left"/>
            </w:pPr>
            <w:r>
              <w:t> </w:t>
            </w:r>
          </w:p>
        </w:tc>
        <w:tc>
          <w:tcPr>
            <w:tcW w:w="207" w:type="dxa"/>
            <w:tcBorders/>
            <w:shd w:fill="CCEEFF" w:val="clear"/>
            <w:vAlign w:val="center"/>
          </w:tcPr>
          <w:p>
            <w:pPr>
              <w:pStyle w:val="TableContents"/>
              <w:bidi w:val="0"/>
              <w:spacing w:before="0" w:after="283"/>
              <w:jc w:val="left"/>
            </w:pPr>
            <w:r>
              <w:t> </w:t>
            </w:r>
          </w:p>
        </w:tc>
        <w:tc>
          <w:tcPr>
            <w:tcW w:w="1080"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r>
      <w:tr>
        <w:tc>
          <w:tcPr>
            <w:tcW w:w="2945" w:type="dxa"/>
            <w:tcBorders/>
            <w:shd w:fill="FFFF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Restricted stock units</w:t>
            </w:r>
          </w:p>
        </w:tc>
        <w:tc>
          <w:tcPr>
            <w:tcW w:w="60" w:type="dxa"/>
            <w:tcBorders/>
            <w:shd w:fill="FFFFFF" w:val="clear"/>
            <w:vAlign w:val="center"/>
          </w:tcPr>
          <w:p>
            <w:pPr>
              <w:pStyle w:val="TableContents"/>
              <w:bidi w:val="0"/>
              <w:spacing w:before="0" w:after="283"/>
              <w:jc w:val="left"/>
            </w:pPr>
            <w:r>
              <w:t> </w:t>
            </w:r>
          </w:p>
        </w:tc>
        <w:tc>
          <w:tcPr>
            <w:tcW w:w="225" w:type="dxa"/>
            <w:tcBorders/>
            <w:shd w:fill="FFFFFF" w:val="clear"/>
            <w:vAlign w:val="center"/>
          </w:tcPr>
          <w:p>
            <w:pPr>
              <w:pStyle w:val="TableContents"/>
              <w:bidi w:val="0"/>
              <w:spacing w:before="0" w:after="283"/>
              <w:ind w:left="0" w:right="0" w:hanging="0"/>
              <w:jc w:val="left"/>
            </w:pPr>
            <w:r>
              <w:t> </w:t>
            </w:r>
          </w:p>
        </w:tc>
        <w:tc>
          <w:tcPr>
            <w:tcW w:w="1062" w:type="dxa"/>
            <w:tcBorders/>
            <w:shd w:fill="FFFFFF" w:val="clear"/>
            <w:vAlign w:val="center"/>
          </w:tcPr>
          <w:p>
            <w:pPr>
              <w:pStyle w:val="TableContents"/>
              <w:bidi w:val="0"/>
              <w:spacing w:before="0" w:after="283"/>
              <w:ind w:left="0" w:right="0" w:hanging="0"/>
              <w:jc w:val="right"/>
              <w:rPr>
                <w:sz w:val="20"/>
              </w:rPr>
            </w:pPr>
            <w:r>
              <w:rPr>
                <w:sz w:val="20"/>
              </w:rPr>
              <w:t>1,393</w:t>
            </w:r>
          </w:p>
        </w:tc>
        <w:tc>
          <w:tcPr>
            <w:tcW w:w="108" w:type="dxa"/>
            <w:tcBorders/>
            <w:shd w:fill="FFFFFF" w:val="clear"/>
            <w:vAlign w:val="center"/>
          </w:tcPr>
          <w:p>
            <w:pPr>
              <w:pStyle w:val="TableContents"/>
              <w:bidi w:val="0"/>
              <w:spacing w:before="0" w:after="283"/>
              <w:jc w:val="left"/>
            </w:pPr>
            <w:r>
              <w:t> </w:t>
            </w:r>
          </w:p>
        </w:tc>
        <w:tc>
          <w:tcPr>
            <w:tcW w:w="108" w:type="dxa"/>
            <w:tcBorders/>
            <w:shd w:fill="FFFFFF" w:val="clear"/>
            <w:vAlign w:val="center"/>
          </w:tcPr>
          <w:p>
            <w:pPr>
              <w:pStyle w:val="TableContents"/>
              <w:bidi w:val="0"/>
              <w:spacing w:before="0" w:after="283"/>
              <w:jc w:val="left"/>
            </w:pPr>
            <w:r>
              <w:t> </w:t>
            </w:r>
          </w:p>
        </w:tc>
        <w:tc>
          <w:tcPr>
            <w:tcW w:w="225" w:type="dxa"/>
            <w:tcBorders/>
            <w:shd w:fill="FFFFFF" w:val="clear"/>
            <w:vAlign w:val="center"/>
          </w:tcPr>
          <w:p>
            <w:pPr>
              <w:pStyle w:val="TableContents"/>
              <w:bidi w:val="0"/>
              <w:spacing w:before="0" w:after="283"/>
              <w:ind w:left="0" w:right="0" w:hanging="0"/>
              <w:jc w:val="left"/>
            </w:pPr>
            <w:r>
              <w:t> </w:t>
            </w:r>
          </w:p>
        </w:tc>
        <w:tc>
          <w:tcPr>
            <w:tcW w:w="1170"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07" w:type="dxa"/>
            <w:tcBorders/>
            <w:shd w:fill="FFFFFF" w:val="clear"/>
            <w:vAlign w:val="center"/>
          </w:tcPr>
          <w:p>
            <w:pPr>
              <w:pStyle w:val="TableContents"/>
              <w:bidi w:val="0"/>
              <w:spacing w:before="0" w:after="283"/>
              <w:ind w:left="0" w:right="0" w:hanging="0"/>
              <w:jc w:val="left"/>
            </w:pPr>
            <w:r>
              <w:t> </w:t>
            </w:r>
          </w:p>
        </w:tc>
        <w:tc>
          <w:tcPr>
            <w:tcW w:w="1080" w:type="dxa"/>
            <w:tcBorders/>
            <w:shd w:fill="FFFFFF" w:val="clear"/>
            <w:vAlign w:val="center"/>
          </w:tcPr>
          <w:p>
            <w:pPr>
              <w:pStyle w:val="TableContents"/>
              <w:bidi w:val="0"/>
              <w:spacing w:before="0" w:after="283"/>
              <w:ind w:left="0" w:right="0" w:hanging="0"/>
              <w:jc w:val="right"/>
            </w:pPr>
            <w:r>
              <w:t>—</w:t>
            </w:r>
          </w:p>
        </w:tc>
        <w:tc>
          <w:tcPr>
            <w:tcW w:w="133" w:type="dxa"/>
            <w:tcBorders/>
            <w:shd w:fill="FFFFFF" w:val="clear"/>
            <w:vAlign w:val="center"/>
          </w:tcPr>
          <w:p>
            <w:pPr>
              <w:pStyle w:val="TableContents"/>
              <w:bidi w:val="0"/>
              <w:spacing w:before="0" w:after="283"/>
              <w:jc w:val="left"/>
            </w:pPr>
            <w:r>
              <w:t> </w:t>
            </w:r>
          </w:p>
        </w:tc>
        <w:tc>
          <w:tcPr>
            <w:tcW w:w="99" w:type="dxa"/>
            <w:tcBorders/>
            <w:shd w:fill="FFFFFF" w:val="clear"/>
            <w:vAlign w:val="center"/>
          </w:tcPr>
          <w:p>
            <w:pPr>
              <w:pStyle w:val="TableContents"/>
              <w:bidi w:val="0"/>
              <w:spacing w:before="0" w:after="283"/>
              <w:jc w:val="left"/>
            </w:pPr>
            <w:r>
              <w:t> </w:t>
            </w:r>
          </w:p>
        </w:tc>
        <w:tc>
          <w:tcPr>
            <w:tcW w:w="207" w:type="dxa"/>
            <w:tcBorders/>
            <w:shd w:fill="FFFFFF" w:val="clear"/>
            <w:vAlign w:val="center"/>
          </w:tcPr>
          <w:p>
            <w:pPr>
              <w:pStyle w:val="TableContents"/>
              <w:bidi w:val="0"/>
              <w:spacing w:before="0" w:after="283"/>
              <w:ind w:left="0" w:right="0" w:hanging="0"/>
              <w:jc w:val="left"/>
            </w:pPr>
            <w:r>
              <w:t> </w:t>
            </w:r>
          </w:p>
        </w:tc>
        <w:tc>
          <w:tcPr>
            <w:tcW w:w="1080"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r>
      <w:tr>
        <w:tc>
          <w:tcPr>
            <w:tcW w:w="2945" w:type="dxa"/>
            <w:tcBorders/>
            <w:shd w:fill="CCEE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Amazon warrant</w:t>
            </w:r>
          </w:p>
        </w:tc>
        <w:tc>
          <w:tcPr>
            <w:tcW w:w="60" w:type="dxa"/>
            <w:tcBorders/>
            <w:shd w:fill="CCEEFF" w:val="clear"/>
            <w:vAlign w:val="center"/>
          </w:tcPr>
          <w:p>
            <w:pPr>
              <w:pStyle w:val="TableContents"/>
              <w:bidi w:val="0"/>
              <w:spacing w:before="0" w:after="283"/>
              <w:ind w:left="0" w:right="0" w:hanging="0"/>
              <w:jc w:val="left"/>
            </w:pPr>
            <w:r>
              <w:t> </w:t>
            </w:r>
          </w:p>
        </w:tc>
        <w:tc>
          <w:tcPr>
            <w:tcW w:w="2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1062" w:type="dxa"/>
            <w:tcBorders>
              <w:bottom w:val="single" w:sz="2" w:space="0" w:color="000000"/>
            </w:tcBorders>
            <w:shd w:fill="CCEEFF" w:val="clear"/>
            <w:tcMar>
              <w:bottom w:w="28" w:type="dxa"/>
            </w:tcMar>
            <w:vAlign w:val="center"/>
          </w:tcPr>
          <w:p>
            <w:pPr>
              <w:pStyle w:val="TableContents"/>
              <w:bidi w:val="0"/>
              <w:spacing w:before="0" w:after="0"/>
              <w:jc w:val="right"/>
              <w:rPr>
                <w:sz w:val="20"/>
              </w:rPr>
            </w:pPr>
            <w:r>
              <w:rPr>
                <w:sz w:val="20"/>
              </w:rPr>
              <w:t>1,045</w:t>
            </w:r>
          </w:p>
        </w:tc>
        <w:tc>
          <w:tcPr>
            <w:tcW w:w="108" w:type="dxa"/>
            <w:tcBorders/>
            <w:shd w:fill="CCEEFF" w:val="clear"/>
            <w:vAlign w:val="center"/>
          </w:tcPr>
          <w:p>
            <w:pPr>
              <w:pStyle w:val="TableContents"/>
              <w:bidi w:val="0"/>
              <w:spacing w:before="0" w:after="283"/>
              <w:jc w:val="left"/>
            </w:pPr>
            <w:r>
              <w:t> </w:t>
            </w:r>
          </w:p>
        </w:tc>
        <w:tc>
          <w:tcPr>
            <w:tcW w:w="108" w:type="dxa"/>
            <w:tcBorders/>
            <w:shd w:fill="CCEEFF" w:val="clear"/>
            <w:vAlign w:val="center"/>
          </w:tcPr>
          <w:p>
            <w:pPr>
              <w:pStyle w:val="TableContents"/>
              <w:bidi w:val="0"/>
              <w:spacing w:before="0" w:after="283"/>
              <w:ind w:left="0" w:right="0" w:hanging="0"/>
              <w:jc w:val="left"/>
            </w:pPr>
            <w:r>
              <w:t> </w:t>
            </w:r>
          </w:p>
        </w:tc>
        <w:tc>
          <w:tcPr>
            <w:tcW w:w="2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1170" w:type="dxa"/>
            <w:tcBorders>
              <w:bottom w:val="single" w:sz="2" w:space="0" w:color="000000"/>
            </w:tcBorders>
            <w:shd w:fill="CCEEFF" w:val="clear"/>
            <w:tcMar>
              <w:bottom w:w="28" w:type="dxa"/>
            </w:tcMar>
            <w:vAlign w:val="center"/>
          </w:tcPr>
          <w:p>
            <w:pPr>
              <w:pStyle w:val="TableContents"/>
              <w:bidi w:val="0"/>
              <w:spacing w:before="0" w:after="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20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1080" w:type="dxa"/>
            <w:tcBorders>
              <w:bottom w:val="single" w:sz="2" w:space="0" w:color="000000"/>
            </w:tcBorders>
            <w:shd w:fill="CCEEFF" w:val="clear"/>
            <w:tcMar>
              <w:bottom w:w="28" w:type="dxa"/>
            </w:tcMar>
            <w:vAlign w:val="center"/>
          </w:tcPr>
          <w:p>
            <w:pPr>
              <w:pStyle w:val="TableContents"/>
              <w:bidi w:val="0"/>
              <w:spacing w:before="0" w:after="0"/>
              <w:jc w:val="right"/>
            </w:pPr>
            <w:r>
              <w:t>—</w:t>
            </w:r>
          </w:p>
        </w:tc>
        <w:tc>
          <w:tcPr>
            <w:tcW w:w="133" w:type="dxa"/>
            <w:tcBorders/>
            <w:shd w:fill="CCEEFF" w:val="clear"/>
            <w:vAlign w:val="center"/>
          </w:tcPr>
          <w:p>
            <w:pPr>
              <w:pStyle w:val="TableContents"/>
              <w:bidi w:val="0"/>
              <w:spacing w:before="0" w:after="283"/>
              <w:jc w:val="left"/>
            </w:pPr>
            <w:r>
              <w:t> </w:t>
            </w:r>
          </w:p>
        </w:tc>
        <w:tc>
          <w:tcPr>
            <w:tcW w:w="99" w:type="dxa"/>
            <w:tcBorders/>
            <w:shd w:fill="CCEEFF" w:val="clear"/>
            <w:vAlign w:val="center"/>
          </w:tcPr>
          <w:p>
            <w:pPr>
              <w:pStyle w:val="TableContents"/>
              <w:bidi w:val="0"/>
              <w:spacing w:before="0" w:after="283"/>
              <w:ind w:left="0" w:right="0" w:hanging="0"/>
              <w:jc w:val="left"/>
            </w:pPr>
            <w:r>
              <w:t> </w:t>
            </w:r>
          </w:p>
        </w:tc>
        <w:tc>
          <w:tcPr>
            <w:tcW w:w="20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1080" w:type="dxa"/>
            <w:tcBorders>
              <w:bottom w:val="single" w:sz="2" w:space="0" w:color="000000"/>
            </w:tcBorders>
            <w:shd w:fill="CCEEFF" w:val="clear"/>
            <w:tcMar>
              <w:bottom w:w="28" w:type="dxa"/>
            </w:tcMar>
            <w:vAlign w:val="center"/>
          </w:tcPr>
          <w:p>
            <w:pPr>
              <w:pStyle w:val="TableContents"/>
              <w:bidi w:val="0"/>
              <w:spacing w:before="0" w:after="0"/>
              <w:jc w:val="right"/>
            </w:pPr>
            <w:r>
              <w:t>—</w:t>
            </w:r>
          </w:p>
        </w:tc>
        <w:tc>
          <w:tcPr>
            <w:tcW w:w="80" w:type="dxa"/>
            <w:tcBorders/>
            <w:shd w:fill="CCEEFF" w:val="clear"/>
            <w:vAlign w:val="center"/>
          </w:tcPr>
          <w:p>
            <w:pPr>
              <w:pStyle w:val="TableContents"/>
              <w:bidi w:val="0"/>
              <w:spacing w:before="0" w:after="283"/>
              <w:jc w:val="left"/>
            </w:pPr>
            <w:r>
              <w:t> </w:t>
            </w:r>
          </w:p>
        </w:tc>
      </w:tr>
      <w:tr>
        <w:tc>
          <w:tcPr>
            <w:tcW w:w="294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shares - diluted</w:t>
            </w:r>
          </w:p>
        </w:tc>
        <w:tc>
          <w:tcPr>
            <w:tcW w:w="60" w:type="dxa"/>
            <w:tcBorders/>
            <w:shd w:fill="FFFFFF" w:val="clear"/>
            <w:vAlign w:val="center"/>
          </w:tcPr>
          <w:p>
            <w:pPr>
              <w:pStyle w:val="TableContents"/>
              <w:bidi w:val="0"/>
              <w:spacing w:before="0" w:after="283"/>
              <w:ind w:left="0" w:right="0" w:hanging="0"/>
              <w:jc w:val="left"/>
            </w:pPr>
            <w:r>
              <w:t> </w:t>
            </w:r>
          </w:p>
        </w:tc>
        <w:tc>
          <w:tcPr>
            <w:tcW w:w="2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pPr>
            <w:r>
              <w:t> </w:t>
            </w:r>
          </w:p>
        </w:tc>
        <w:tc>
          <w:tcPr>
            <w:tcW w:w="1062" w:type="dxa"/>
            <w:tcBorders>
              <w:bottom w:val="double" w:sz="6" w:space="0" w:color="000000"/>
            </w:tcBorders>
            <w:shd w:fill="FFFFFF" w:val="clear"/>
            <w:tcMar>
              <w:bottom w:w="28" w:type="dxa"/>
            </w:tcMar>
            <w:vAlign w:val="center"/>
          </w:tcPr>
          <w:p>
            <w:pPr>
              <w:pStyle w:val="TableContents"/>
              <w:bidi w:val="0"/>
              <w:spacing w:before="0" w:after="0"/>
              <w:jc w:val="right"/>
              <w:rPr>
                <w:sz w:val="20"/>
              </w:rPr>
            </w:pPr>
            <w:r>
              <w:rPr>
                <w:sz w:val="20"/>
              </w:rPr>
              <w:t>87,835</w:t>
            </w:r>
          </w:p>
        </w:tc>
        <w:tc>
          <w:tcPr>
            <w:tcW w:w="108" w:type="dxa"/>
            <w:tcBorders/>
            <w:shd w:fill="FFFFFF" w:val="clear"/>
            <w:vAlign w:val="center"/>
          </w:tcPr>
          <w:p>
            <w:pPr>
              <w:pStyle w:val="TableContents"/>
              <w:bidi w:val="0"/>
              <w:spacing w:before="0" w:after="283"/>
              <w:jc w:val="left"/>
            </w:pPr>
            <w:r>
              <w:t> </w:t>
            </w:r>
          </w:p>
        </w:tc>
        <w:tc>
          <w:tcPr>
            <w:tcW w:w="108" w:type="dxa"/>
            <w:tcBorders/>
            <w:shd w:fill="FFFFFF" w:val="clear"/>
            <w:vAlign w:val="center"/>
          </w:tcPr>
          <w:p>
            <w:pPr>
              <w:pStyle w:val="TableContents"/>
              <w:bidi w:val="0"/>
              <w:spacing w:before="0" w:after="283"/>
              <w:ind w:left="0" w:right="0" w:hanging="0"/>
              <w:jc w:val="left"/>
            </w:pPr>
            <w:r>
              <w:t> </w:t>
            </w:r>
          </w:p>
        </w:tc>
        <w:tc>
          <w:tcPr>
            <w:tcW w:w="2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pPr>
            <w:r>
              <w:t> </w:t>
            </w:r>
          </w:p>
        </w:tc>
        <w:tc>
          <w:tcPr>
            <w:tcW w:w="1170" w:type="dxa"/>
            <w:tcBorders>
              <w:bottom w:val="double" w:sz="6" w:space="0" w:color="000000"/>
            </w:tcBorders>
            <w:shd w:fill="FFFFFF" w:val="clear"/>
            <w:tcMar>
              <w:bottom w:w="28" w:type="dxa"/>
            </w:tcMar>
            <w:vAlign w:val="center"/>
          </w:tcPr>
          <w:p>
            <w:pPr>
              <w:pStyle w:val="TableContents"/>
              <w:bidi w:val="0"/>
              <w:spacing w:before="0" w:after="0"/>
              <w:jc w:val="right"/>
              <w:rPr>
                <w:sz w:val="20"/>
              </w:rPr>
            </w:pPr>
            <w:r>
              <w:rPr>
                <w:sz w:val="20"/>
              </w:rPr>
              <w:t>63,329</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07"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pPr>
            <w:r>
              <w:t> </w:t>
            </w:r>
          </w:p>
        </w:tc>
        <w:tc>
          <w:tcPr>
            <w:tcW w:w="1080" w:type="dxa"/>
            <w:tcBorders>
              <w:bottom w:val="double" w:sz="6" w:space="0" w:color="000000"/>
            </w:tcBorders>
            <w:shd w:fill="FFFFFF" w:val="clear"/>
            <w:tcMar>
              <w:bottom w:w="28" w:type="dxa"/>
            </w:tcMar>
            <w:vAlign w:val="center"/>
          </w:tcPr>
          <w:p>
            <w:pPr>
              <w:pStyle w:val="TableContents"/>
              <w:bidi w:val="0"/>
              <w:spacing w:before="0" w:after="0"/>
              <w:jc w:val="right"/>
              <w:rPr>
                <w:sz w:val="20"/>
              </w:rPr>
            </w:pPr>
            <w:r>
              <w:rPr>
                <w:sz w:val="20"/>
              </w:rPr>
              <w:t>81,016</w:t>
            </w:r>
          </w:p>
        </w:tc>
        <w:tc>
          <w:tcPr>
            <w:tcW w:w="133" w:type="dxa"/>
            <w:tcBorders/>
            <w:shd w:fill="FFFFFF" w:val="clear"/>
            <w:vAlign w:val="center"/>
          </w:tcPr>
          <w:p>
            <w:pPr>
              <w:pStyle w:val="TableContents"/>
              <w:bidi w:val="0"/>
              <w:spacing w:before="0" w:after="283"/>
              <w:jc w:val="left"/>
            </w:pPr>
            <w:r>
              <w:t> </w:t>
            </w:r>
          </w:p>
        </w:tc>
        <w:tc>
          <w:tcPr>
            <w:tcW w:w="99" w:type="dxa"/>
            <w:tcBorders/>
            <w:shd w:fill="FFFFFF" w:val="clear"/>
            <w:vAlign w:val="center"/>
          </w:tcPr>
          <w:p>
            <w:pPr>
              <w:pStyle w:val="TableContents"/>
              <w:bidi w:val="0"/>
              <w:spacing w:before="0" w:after="283"/>
              <w:ind w:left="0" w:right="0" w:hanging="0"/>
              <w:jc w:val="left"/>
            </w:pPr>
            <w:r>
              <w:t> </w:t>
            </w:r>
          </w:p>
        </w:tc>
        <w:tc>
          <w:tcPr>
            <w:tcW w:w="207"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pPr>
            <w:r>
              <w:t> </w:t>
            </w:r>
          </w:p>
        </w:tc>
        <w:tc>
          <w:tcPr>
            <w:tcW w:w="1080" w:type="dxa"/>
            <w:tcBorders>
              <w:bottom w:val="double" w:sz="6" w:space="0" w:color="000000"/>
            </w:tcBorders>
            <w:shd w:fill="FFFFFF" w:val="clear"/>
            <w:tcMar>
              <w:bottom w:w="28" w:type="dxa"/>
            </w:tcMar>
            <w:vAlign w:val="center"/>
          </w:tcPr>
          <w:p>
            <w:pPr>
              <w:pStyle w:val="TableContents"/>
              <w:bidi w:val="0"/>
              <w:spacing w:before="0" w:after="0"/>
              <w:jc w:val="right"/>
              <w:rPr>
                <w:sz w:val="20"/>
              </w:rPr>
            </w:pPr>
            <w:r>
              <w:rPr>
                <w:sz w:val="20"/>
              </w:rPr>
              <w:t>56,762</w:t>
            </w:r>
          </w:p>
        </w:tc>
        <w:tc>
          <w:tcPr>
            <w:tcW w:w="80" w:type="dxa"/>
            <w:tcBorders/>
            <w:shd w:fill="FFFFFF" w:val="clear"/>
            <w:vAlign w:val="center"/>
          </w:tcPr>
          <w:p>
            <w:pPr>
              <w:pStyle w:val="TableContents"/>
              <w:bidi w:val="0"/>
              <w:spacing w:before="0" w:after="283"/>
              <w:jc w:val="left"/>
            </w:pPr>
            <w:r>
              <w:t> </w:t>
            </w:r>
          </w:p>
        </w:tc>
      </w:tr>
      <w:tr>
        <w:tc>
          <w:tcPr>
            <w:tcW w:w="294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income (loss) per share</w:t>
            </w:r>
          </w:p>
        </w:tc>
        <w:tc>
          <w:tcPr>
            <w:tcW w:w="60" w:type="dxa"/>
            <w:tcBorders/>
            <w:shd w:fill="CCEEFF" w:val="clear"/>
            <w:vAlign w:val="center"/>
          </w:tcPr>
          <w:p>
            <w:pPr>
              <w:pStyle w:val="TableContents"/>
              <w:bidi w:val="0"/>
              <w:spacing w:before="0" w:after="283"/>
              <w:ind w:left="0" w:right="0" w:hanging="0"/>
              <w:jc w:val="left"/>
            </w:pPr>
            <w:r>
              <w:t> </w:t>
            </w:r>
          </w:p>
        </w:tc>
        <w:tc>
          <w:tcPr>
            <w:tcW w:w="1287" w:type="dxa"/>
            <w:gridSpan w:val="2"/>
            <w:tcBorders/>
            <w:shd w:fill="CCEEFF" w:val="clear"/>
            <w:vAlign w:val="center"/>
          </w:tcPr>
          <w:p>
            <w:pPr>
              <w:pStyle w:val="TableContents"/>
              <w:bidi w:val="0"/>
              <w:spacing w:before="0" w:after="283"/>
              <w:jc w:val="left"/>
            </w:pPr>
            <w:r>
              <w:t> </w:t>
            </w:r>
          </w:p>
        </w:tc>
        <w:tc>
          <w:tcPr>
            <w:tcW w:w="108" w:type="dxa"/>
            <w:tcBorders/>
            <w:shd w:fill="CCEEFF" w:val="clear"/>
            <w:vAlign w:val="center"/>
          </w:tcPr>
          <w:p>
            <w:pPr>
              <w:pStyle w:val="TableContents"/>
              <w:bidi w:val="0"/>
              <w:spacing w:before="0" w:after="283"/>
              <w:jc w:val="left"/>
            </w:pPr>
            <w:r>
              <w:t> </w:t>
            </w:r>
          </w:p>
        </w:tc>
        <w:tc>
          <w:tcPr>
            <w:tcW w:w="108" w:type="dxa"/>
            <w:tcBorders/>
            <w:shd w:fill="CCEEFF" w:val="clear"/>
            <w:vAlign w:val="center"/>
          </w:tcPr>
          <w:p>
            <w:pPr>
              <w:pStyle w:val="TableContents"/>
              <w:bidi w:val="0"/>
              <w:spacing w:before="0" w:after="283"/>
              <w:ind w:left="0" w:right="0" w:hanging="0"/>
              <w:jc w:val="left"/>
            </w:pPr>
            <w:r>
              <w:t> </w:t>
            </w:r>
          </w:p>
        </w:tc>
        <w:tc>
          <w:tcPr>
            <w:tcW w:w="1395" w:type="dxa"/>
            <w:gridSpan w:val="2"/>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07" w:type="dxa"/>
            <w:tcBorders/>
            <w:shd w:fill="CCEEFF" w:val="clear"/>
            <w:vAlign w:val="center"/>
          </w:tcPr>
          <w:p>
            <w:pPr>
              <w:pStyle w:val="TableContents"/>
              <w:bidi w:val="0"/>
              <w:spacing w:before="0" w:after="283"/>
              <w:jc w:val="left"/>
            </w:pPr>
            <w:r>
              <w:t> </w:t>
            </w:r>
          </w:p>
        </w:tc>
        <w:tc>
          <w:tcPr>
            <w:tcW w:w="1080" w:type="dxa"/>
            <w:tcBorders/>
            <w:shd w:fill="CCEEFF" w:val="clear"/>
            <w:vAlign w:val="center"/>
          </w:tcPr>
          <w:p>
            <w:pPr>
              <w:pStyle w:val="TableContents"/>
              <w:bidi w:val="0"/>
              <w:spacing w:before="0" w:after="283"/>
              <w:jc w:val="left"/>
            </w:pPr>
            <w:r>
              <w:t> </w:t>
            </w:r>
          </w:p>
        </w:tc>
        <w:tc>
          <w:tcPr>
            <w:tcW w:w="133" w:type="dxa"/>
            <w:tcBorders/>
            <w:shd w:fill="CCEEFF" w:val="clear"/>
            <w:vAlign w:val="center"/>
          </w:tcPr>
          <w:p>
            <w:pPr>
              <w:pStyle w:val="TableContents"/>
              <w:bidi w:val="0"/>
              <w:spacing w:before="0" w:after="283"/>
              <w:jc w:val="left"/>
            </w:pPr>
            <w:r>
              <w:t> </w:t>
            </w:r>
          </w:p>
        </w:tc>
        <w:tc>
          <w:tcPr>
            <w:tcW w:w="99" w:type="dxa"/>
            <w:tcBorders/>
            <w:shd w:fill="CCEEFF" w:val="clear"/>
            <w:vAlign w:val="center"/>
          </w:tcPr>
          <w:p>
            <w:pPr>
              <w:pStyle w:val="TableContents"/>
              <w:bidi w:val="0"/>
              <w:spacing w:before="0" w:after="283"/>
              <w:jc w:val="left"/>
            </w:pPr>
            <w:r>
              <w:t> </w:t>
            </w:r>
          </w:p>
        </w:tc>
        <w:tc>
          <w:tcPr>
            <w:tcW w:w="207" w:type="dxa"/>
            <w:tcBorders/>
            <w:shd w:fill="CCEEFF" w:val="clear"/>
            <w:vAlign w:val="center"/>
          </w:tcPr>
          <w:p>
            <w:pPr>
              <w:pStyle w:val="TableContents"/>
              <w:bidi w:val="0"/>
              <w:spacing w:before="0" w:after="283"/>
              <w:jc w:val="left"/>
            </w:pPr>
            <w:r>
              <w:t> </w:t>
            </w:r>
          </w:p>
        </w:tc>
        <w:tc>
          <w:tcPr>
            <w:tcW w:w="1080"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r>
      <w:tr>
        <w:tc>
          <w:tcPr>
            <w:tcW w:w="294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p>
        </w:tc>
        <w:tc>
          <w:tcPr>
            <w:tcW w:w="60" w:type="dxa"/>
            <w:tcBorders/>
            <w:shd w:fill="FFFFFF" w:val="clear"/>
            <w:vAlign w:val="center"/>
          </w:tcPr>
          <w:p>
            <w:pPr>
              <w:pStyle w:val="TableContents"/>
              <w:bidi w:val="0"/>
              <w:spacing w:before="0" w:after="283"/>
              <w:ind w:left="0" w:right="0" w:hanging="0"/>
              <w:jc w:val="left"/>
            </w:pPr>
            <w:r>
              <w:t> </w:t>
            </w:r>
          </w:p>
        </w:tc>
        <w:tc>
          <w:tcPr>
            <w:tcW w:w="225" w:type="dxa"/>
            <w:tcBorders/>
            <w:shd w:fill="FFFFFF" w:val="clear"/>
            <w:vAlign w:val="center"/>
          </w:tcPr>
          <w:p>
            <w:pPr>
              <w:pStyle w:val="TableContents"/>
              <w:bidi w:val="0"/>
              <w:spacing w:before="0" w:after="283"/>
              <w:ind w:left="0" w:right="0" w:hanging="0"/>
              <w:jc w:val="left"/>
              <w:rPr>
                <w:sz w:val="20"/>
              </w:rPr>
            </w:pPr>
            <w:r>
              <w:rPr>
                <w:sz w:val="20"/>
              </w:rPr>
              <w:t>$</w:t>
            </w:r>
          </w:p>
        </w:tc>
        <w:tc>
          <w:tcPr>
            <w:tcW w:w="1062" w:type="dxa"/>
            <w:tcBorders/>
            <w:shd w:fill="FFFFFF" w:val="clear"/>
            <w:vAlign w:val="center"/>
          </w:tcPr>
          <w:p>
            <w:pPr>
              <w:pStyle w:val="TableContents"/>
              <w:bidi w:val="0"/>
              <w:spacing w:before="0" w:after="283"/>
              <w:ind w:left="0" w:right="0" w:hanging="0"/>
              <w:jc w:val="right"/>
              <w:rPr>
                <w:sz w:val="20"/>
              </w:rPr>
            </w:pPr>
            <w:r>
              <w:rPr>
                <w:sz w:val="20"/>
              </w:rPr>
              <w:t>0.07</w:t>
            </w:r>
          </w:p>
        </w:tc>
        <w:tc>
          <w:tcPr>
            <w:tcW w:w="108" w:type="dxa"/>
            <w:tcBorders/>
            <w:shd w:fill="FFFFFF" w:val="clear"/>
            <w:vAlign w:val="center"/>
          </w:tcPr>
          <w:p>
            <w:pPr>
              <w:pStyle w:val="TableContents"/>
              <w:bidi w:val="0"/>
              <w:spacing w:before="0" w:after="283"/>
              <w:jc w:val="left"/>
            </w:pPr>
            <w:r>
              <w:t> </w:t>
            </w:r>
          </w:p>
        </w:tc>
        <w:tc>
          <w:tcPr>
            <w:tcW w:w="108" w:type="dxa"/>
            <w:tcBorders/>
            <w:shd w:fill="FFFFFF" w:val="clear"/>
            <w:vAlign w:val="center"/>
          </w:tcPr>
          <w:p>
            <w:pPr>
              <w:pStyle w:val="TableContents"/>
              <w:bidi w:val="0"/>
              <w:spacing w:before="0" w:after="283"/>
              <w:ind w:left="0" w:right="0" w:hanging="0"/>
              <w:jc w:val="left"/>
            </w:pPr>
            <w:r>
              <w:t> </w:t>
            </w:r>
          </w:p>
        </w:tc>
        <w:tc>
          <w:tcPr>
            <w:tcW w:w="225" w:type="dxa"/>
            <w:tcBorders/>
            <w:shd w:fill="FFFFFF" w:val="clear"/>
            <w:vAlign w:val="center"/>
          </w:tcPr>
          <w:p>
            <w:pPr>
              <w:pStyle w:val="TableContents"/>
              <w:bidi w:val="0"/>
              <w:spacing w:before="0" w:after="283"/>
              <w:ind w:left="0" w:right="0" w:hanging="0"/>
              <w:jc w:val="left"/>
              <w:rPr>
                <w:sz w:val="20"/>
              </w:rPr>
            </w:pPr>
            <w:r>
              <w:rPr>
                <w:sz w:val="20"/>
              </w:rPr>
              <w:t>$</w:t>
            </w:r>
          </w:p>
        </w:tc>
        <w:tc>
          <w:tcPr>
            <w:tcW w:w="1170" w:type="dxa"/>
            <w:tcBorders/>
            <w:shd w:fill="FFFFFF" w:val="clear"/>
            <w:vAlign w:val="center"/>
          </w:tcPr>
          <w:p>
            <w:pPr>
              <w:pStyle w:val="TableContents"/>
              <w:bidi w:val="0"/>
              <w:spacing w:before="0" w:after="283"/>
              <w:ind w:left="0" w:right="0" w:hanging="0"/>
              <w:jc w:val="right"/>
              <w:rPr>
                <w:sz w:val="20"/>
              </w:rPr>
            </w:pPr>
            <w:r>
              <w:rPr>
                <w:sz w:val="20"/>
              </w:rPr>
              <w:t>(0.28</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ind w:left="0" w:right="0" w:hanging="0"/>
              <w:jc w:val="left"/>
            </w:pPr>
            <w:r>
              <w:t> </w:t>
            </w:r>
          </w:p>
        </w:tc>
        <w:tc>
          <w:tcPr>
            <w:tcW w:w="207" w:type="dxa"/>
            <w:tcBorders/>
            <w:shd w:fill="FFFFFF" w:val="clear"/>
            <w:vAlign w:val="center"/>
          </w:tcPr>
          <w:p>
            <w:pPr>
              <w:pStyle w:val="TableContents"/>
              <w:bidi w:val="0"/>
              <w:spacing w:before="0" w:after="283"/>
              <w:ind w:left="0" w:right="0" w:hanging="0"/>
              <w:jc w:val="left"/>
              <w:rPr>
                <w:sz w:val="20"/>
              </w:rPr>
            </w:pPr>
            <w:r>
              <w:rPr>
                <w:sz w:val="20"/>
              </w:rPr>
              <w:t>$</w:t>
            </w:r>
          </w:p>
        </w:tc>
        <w:tc>
          <w:tcPr>
            <w:tcW w:w="1080" w:type="dxa"/>
            <w:tcBorders/>
            <w:shd w:fill="FFFFFF" w:val="clear"/>
            <w:vAlign w:val="center"/>
          </w:tcPr>
          <w:p>
            <w:pPr>
              <w:pStyle w:val="TableContents"/>
              <w:bidi w:val="0"/>
              <w:spacing w:before="0" w:after="283"/>
              <w:ind w:left="0" w:right="0" w:hanging="0"/>
              <w:jc w:val="right"/>
              <w:rPr>
                <w:sz w:val="20"/>
              </w:rPr>
            </w:pPr>
            <w:r>
              <w:rPr>
                <w:sz w:val="20"/>
              </w:rPr>
              <w:t>(0.38</w:t>
            </w:r>
          </w:p>
        </w:tc>
        <w:tc>
          <w:tcPr>
            <w:tcW w:w="133" w:type="dxa"/>
            <w:tcBorders/>
            <w:shd w:fill="FFFFFF" w:val="clear"/>
            <w:vAlign w:val="center"/>
          </w:tcPr>
          <w:p>
            <w:pPr>
              <w:pStyle w:val="TableContents"/>
              <w:bidi w:val="0"/>
              <w:spacing w:before="0" w:after="283"/>
              <w:jc w:val="left"/>
              <w:rPr>
                <w:sz w:val="20"/>
              </w:rPr>
            </w:pPr>
            <w:r>
              <w:rPr>
                <w:sz w:val="20"/>
              </w:rPr>
              <w:t>)</w:t>
            </w:r>
          </w:p>
        </w:tc>
        <w:tc>
          <w:tcPr>
            <w:tcW w:w="99" w:type="dxa"/>
            <w:tcBorders/>
            <w:shd w:fill="FFFFFF" w:val="clear"/>
            <w:vAlign w:val="center"/>
          </w:tcPr>
          <w:p>
            <w:pPr>
              <w:pStyle w:val="TableContents"/>
              <w:bidi w:val="0"/>
              <w:spacing w:before="0" w:after="283"/>
              <w:ind w:left="0" w:right="0" w:hanging="0"/>
              <w:jc w:val="left"/>
            </w:pPr>
            <w:r>
              <w:t> </w:t>
            </w:r>
          </w:p>
        </w:tc>
        <w:tc>
          <w:tcPr>
            <w:tcW w:w="207" w:type="dxa"/>
            <w:tcBorders/>
            <w:shd w:fill="FFFFFF" w:val="clear"/>
            <w:vAlign w:val="center"/>
          </w:tcPr>
          <w:p>
            <w:pPr>
              <w:pStyle w:val="TableContents"/>
              <w:bidi w:val="0"/>
              <w:spacing w:before="0" w:after="283"/>
              <w:ind w:left="0" w:right="0" w:hanging="0"/>
              <w:jc w:val="left"/>
              <w:rPr>
                <w:sz w:val="20"/>
              </w:rPr>
            </w:pPr>
            <w:r>
              <w:rPr>
                <w:sz w:val="20"/>
              </w:rPr>
              <w:t>$</w:t>
            </w:r>
          </w:p>
        </w:tc>
        <w:tc>
          <w:tcPr>
            <w:tcW w:w="1080" w:type="dxa"/>
            <w:tcBorders/>
            <w:shd w:fill="FFFFFF" w:val="clear"/>
            <w:vAlign w:val="center"/>
          </w:tcPr>
          <w:p>
            <w:pPr>
              <w:pStyle w:val="TableContents"/>
              <w:bidi w:val="0"/>
              <w:spacing w:before="0" w:after="283"/>
              <w:ind w:left="0" w:right="0" w:hanging="0"/>
              <w:jc w:val="right"/>
              <w:rPr>
                <w:sz w:val="20"/>
              </w:rPr>
            </w:pPr>
            <w:r>
              <w:rPr>
                <w:sz w:val="20"/>
              </w:rPr>
              <w:t>(0.64</w:t>
            </w:r>
          </w:p>
        </w:tc>
        <w:tc>
          <w:tcPr>
            <w:tcW w:w="80" w:type="dxa"/>
            <w:tcBorders/>
            <w:shd w:fill="FFFFFF" w:val="clear"/>
            <w:vAlign w:val="center"/>
          </w:tcPr>
          <w:p>
            <w:pPr>
              <w:pStyle w:val="TableContents"/>
              <w:bidi w:val="0"/>
              <w:spacing w:before="0" w:after="283"/>
              <w:jc w:val="left"/>
              <w:rPr>
                <w:sz w:val="20"/>
              </w:rPr>
            </w:pPr>
            <w:r>
              <w:rPr>
                <w:sz w:val="20"/>
              </w:rPr>
              <w:t>)</w:t>
            </w:r>
          </w:p>
        </w:tc>
      </w:tr>
      <w:tr>
        <w:tc>
          <w:tcPr>
            <w:tcW w:w="2945"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p>
        </w:tc>
        <w:tc>
          <w:tcPr>
            <w:tcW w:w="60" w:type="dxa"/>
            <w:tcBorders/>
            <w:shd w:fill="CCEEFF" w:val="clear"/>
            <w:vAlign w:val="center"/>
          </w:tcPr>
          <w:p>
            <w:pPr>
              <w:pStyle w:val="TableContents"/>
              <w:bidi w:val="0"/>
              <w:spacing w:before="0" w:after="283"/>
              <w:ind w:left="0" w:right="0" w:hanging="0"/>
              <w:jc w:val="left"/>
            </w:pPr>
            <w:r>
              <w:t> </w:t>
            </w:r>
          </w:p>
        </w:tc>
        <w:tc>
          <w:tcPr>
            <w:tcW w:w="225" w:type="dxa"/>
            <w:tcBorders/>
            <w:shd w:fill="CCEEFF" w:val="clear"/>
            <w:vAlign w:val="center"/>
          </w:tcPr>
          <w:p>
            <w:pPr>
              <w:pStyle w:val="TableContents"/>
              <w:bidi w:val="0"/>
              <w:spacing w:before="0" w:after="283"/>
              <w:ind w:left="0" w:right="0" w:hanging="0"/>
              <w:jc w:val="left"/>
              <w:rPr>
                <w:sz w:val="20"/>
              </w:rPr>
            </w:pPr>
            <w:r>
              <w:rPr>
                <w:sz w:val="20"/>
              </w:rPr>
              <w:t>$</w:t>
            </w:r>
          </w:p>
        </w:tc>
        <w:tc>
          <w:tcPr>
            <w:tcW w:w="1062" w:type="dxa"/>
            <w:tcBorders/>
            <w:shd w:fill="CCEEFF" w:val="clear"/>
            <w:vAlign w:val="center"/>
          </w:tcPr>
          <w:p>
            <w:pPr>
              <w:pStyle w:val="TableContents"/>
              <w:bidi w:val="0"/>
              <w:spacing w:before="0" w:after="283"/>
              <w:ind w:left="0" w:right="0" w:hanging="0"/>
              <w:jc w:val="right"/>
              <w:rPr>
                <w:sz w:val="20"/>
              </w:rPr>
            </w:pPr>
            <w:r>
              <w:rPr>
                <w:sz w:val="20"/>
              </w:rPr>
              <w:t>0.07</w:t>
            </w:r>
          </w:p>
        </w:tc>
        <w:tc>
          <w:tcPr>
            <w:tcW w:w="108" w:type="dxa"/>
            <w:tcBorders/>
            <w:shd w:fill="CCEEFF" w:val="clear"/>
            <w:vAlign w:val="center"/>
          </w:tcPr>
          <w:p>
            <w:pPr>
              <w:pStyle w:val="TableContents"/>
              <w:bidi w:val="0"/>
              <w:spacing w:before="0" w:after="283"/>
              <w:jc w:val="left"/>
            </w:pPr>
            <w:r>
              <w:t> </w:t>
            </w:r>
          </w:p>
        </w:tc>
        <w:tc>
          <w:tcPr>
            <w:tcW w:w="108" w:type="dxa"/>
            <w:tcBorders/>
            <w:shd w:fill="CCEEFF" w:val="clear"/>
            <w:vAlign w:val="center"/>
          </w:tcPr>
          <w:p>
            <w:pPr>
              <w:pStyle w:val="TableContents"/>
              <w:bidi w:val="0"/>
              <w:spacing w:before="0" w:after="283"/>
              <w:ind w:left="0" w:right="0" w:hanging="0"/>
              <w:jc w:val="left"/>
            </w:pPr>
            <w:r>
              <w:t> </w:t>
            </w:r>
          </w:p>
        </w:tc>
        <w:tc>
          <w:tcPr>
            <w:tcW w:w="225" w:type="dxa"/>
            <w:tcBorders/>
            <w:shd w:fill="CCEEFF" w:val="clear"/>
            <w:vAlign w:val="center"/>
          </w:tcPr>
          <w:p>
            <w:pPr>
              <w:pStyle w:val="TableContents"/>
              <w:bidi w:val="0"/>
              <w:spacing w:before="0" w:after="283"/>
              <w:ind w:left="0" w:right="0" w:hanging="0"/>
              <w:jc w:val="left"/>
              <w:rPr>
                <w:sz w:val="20"/>
              </w:rPr>
            </w:pPr>
            <w:r>
              <w:rPr>
                <w:sz w:val="20"/>
              </w:rPr>
              <w:t>$</w:t>
            </w:r>
          </w:p>
        </w:tc>
        <w:tc>
          <w:tcPr>
            <w:tcW w:w="1170" w:type="dxa"/>
            <w:tcBorders/>
            <w:shd w:fill="CCEEFF" w:val="clear"/>
            <w:vAlign w:val="center"/>
          </w:tcPr>
          <w:p>
            <w:pPr>
              <w:pStyle w:val="TableContents"/>
              <w:bidi w:val="0"/>
              <w:spacing w:before="0" w:after="283"/>
              <w:ind w:left="0" w:right="0" w:hanging="0"/>
              <w:jc w:val="right"/>
              <w:rPr>
                <w:sz w:val="20"/>
              </w:rPr>
            </w:pPr>
            <w:r>
              <w:rPr>
                <w:sz w:val="20"/>
              </w:rPr>
              <w:t>(0.28</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ind w:left="0" w:right="0" w:hanging="0"/>
              <w:jc w:val="left"/>
            </w:pPr>
            <w:r>
              <w:t> </w:t>
            </w:r>
          </w:p>
        </w:tc>
        <w:tc>
          <w:tcPr>
            <w:tcW w:w="207" w:type="dxa"/>
            <w:tcBorders/>
            <w:shd w:fill="CCEEFF" w:val="clear"/>
            <w:vAlign w:val="center"/>
          </w:tcPr>
          <w:p>
            <w:pPr>
              <w:pStyle w:val="TableContents"/>
              <w:bidi w:val="0"/>
              <w:spacing w:before="0" w:after="283"/>
              <w:ind w:left="0" w:right="0" w:hanging="0"/>
              <w:jc w:val="left"/>
              <w:rPr>
                <w:sz w:val="20"/>
              </w:rPr>
            </w:pPr>
            <w:r>
              <w:rPr>
                <w:sz w:val="20"/>
              </w:rPr>
              <w:t>$</w:t>
            </w:r>
          </w:p>
        </w:tc>
        <w:tc>
          <w:tcPr>
            <w:tcW w:w="1080" w:type="dxa"/>
            <w:tcBorders/>
            <w:shd w:fill="CCEEFF" w:val="clear"/>
            <w:vAlign w:val="center"/>
          </w:tcPr>
          <w:p>
            <w:pPr>
              <w:pStyle w:val="TableContents"/>
              <w:bidi w:val="0"/>
              <w:spacing w:before="0" w:after="283"/>
              <w:ind w:left="0" w:right="0" w:hanging="0"/>
              <w:jc w:val="right"/>
              <w:rPr>
                <w:sz w:val="20"/>
              </w:rPr>
            </w:pPr>
            <w:r>
              <w:rPr>
                <w:sz w:val="20"/>
              </w:rPr>
              <w:t>(0.38</w:t>
            </w:r>
          </w:p>
        </w:tc>
        <w:tc>
          <w:tcPr>
            <w:tcW w:w="133" w:type="dxa"/>
            <w:tcBorders/>
            <w:shd w:fill="CCEEFF" w:val="clear"/>
            <w:vAlign w:val="center"/>
          </w:tcPr>
          <w:p>
            <w:pPr>
              <w:pStyle w:val="TableContents"/>
              <w:bidi w:val="0"/>
              <w:spacing w:before="0" w:after="283"/>
              <w:jc w:val="left"/>
              <w:rPr>
                <w:sz w:val="20"/>
              </w:rPr>
            </w:pPr>
            <w:r>
              <w:rPr>
                <w:sz w:val="20"/>
              </w:rPr>
              <w:t>)</w:t>
            </w:r>
          </w:p>
        </w:tc>
        <w:tc>
          <w:tcPr>
            <w:tcW w:w="99" w:type="dxa"/>
            <w:tcBorders/>
            <w:shd w:fill="CCEEFF" w:val="clear"/>
            <w:vAlign w:val="center"/>
          </w:tcPr>
          <w:p>
            <w:pPr>
              <w:pStyle w:val="TableContents"/>
              <w:bidi w:val="0"/>
              <w:spacing w:before="0" w:after="283"/>
              <w:ind w:left="0" w:right="0" w:hanging="0"/>
              <w:jc w:val="left"/>
            </w:pPr>
            <w:r>
              <w:t> </w:t>
            </w:r>
          </w:p>
        </w:tc>
        <w:tc>
          <w:tcPr>
            <w:tcW w:w="207" w:type="dxa"/>
            <w:tcBorders/>
            <w:shd w:fill="CCEEFF" w:val="clear"/>
            <w:vAlign w:val="center"/>
          </w:tcPr>
          <w:p>
            <w:pPr>
              <w:pStyle w:val="TableContents"/>
              <w:bidi w:val="0"/>
              <w:spacing w:before="0" w:after="283"/>
              <w:ind w:left="0" w:right="0" w:hanging="0"/>
              <w:jc w:val="left"/>
              <w:rPr>
                <w:sz w:val="20"/>
              </w:rPr>
            </w:pPr>
            <w:r>
              <w:rPr>
                <w:sz w:val="20"/>
              </w:rPr>
              <w:t>$</w:t>
            </w:r>
          </w:p>
        </w:tc>
        <w:tc>
          <w:tcPr>
            <w:tcW w:w="1080" w:type="dxa"/>
            <w:tcBorders/>
            <w:shd w:fill="CCEEFF" w:val="clear"/>
            <w:vAlign w:val="center"/>
          </w:tcPr>
          <w:p>
            <w:pPr>
              <w:pStyle w:val="TableContents"/>
              <w:bidi w:val="0"/>
              <w:spacing w:before="0" w:after="283"/>
              <w:ind w:left="0" w:right="0" w:hanging="0"/>
              <w:jc w:val="right"/>
              <w:rPr>
                <w:sz w:val="20"/>
              </w:rPr>
            </w:pPr>
            <w:r>
              <w:rPr>
                <w:sz w:val="20"/>
              </w:rPr>
              <w:t>(0.64</w:t>
            </w:r>
          </w:p>
        </w:tc>
        <w:tc>
          <w:tcPr>
            <w:tcW w:w="80" w:type="dxa"/>
            <w:tcBorders/>
            <w:shd w:fill="CCEEFF" w:val="clear"/>
            <w:vAlign w:val="center"/>
          </w:tcPr>
          <w:p>
            <w:pPr>
              <w:pStyle w:val="TableContents"/>
              <w:bidi w:val="0"/>
              <w:spacing w:before="0" w:after="283"/>
              <w:jc w:val="left"/>
              <w:rPr>
                <w:sz w:val="20"/>
              </w:rPr>
            </w:pPr>
            <w:r>
              <w:rPr>
                <w:sz w:val="20"/>
              </w:rPr>
              <w:t>)</w:t>
            </w:r>
          </w:p>
        </w:tc>
      </w:tr>
    </w:tbl>
    <w:p>
      <w:pPr>
        <w:pStyle w:val="TextBody"/>
        <w:bidi w:val="0"/>
        <w:spacing w:before="0" w:after="0"/>
        <w:ind w:left="0" w:right="0" w:firstLine="720"/>
        <w:jc w:val="left"/>
      </w:pPr>
      <w: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potentially dilutive securities were excluded from the diluted net loss per share as their effect would have been antidilutive (in thousands):</w:t>
      </w:r>
    </w:p>
    <w:p>
      <w:pPr>
        <w:pStyle w:val="TextBody"/>
        <w:bidi w:val="0"/>
        <w:spacing w:before="0" w:after="0"/>
        <w:ind w:left="0" w:right="0" w:firstLine="720"/>
        <w:jc w:val="left"/>
      </w:pPr>
      <w:r>
        <w:t> </w:t>
      </w:r>
    </w:p>
    <w:tbl>
      <w:tblPr>
        <w:tblW w:w="8754" w:type="dxa"/>
        <w:jc w:val="left"/>
        <w:tblInd w:w="0" w:type="dxa"/>
        <w:tblLayout w:type="fixed"/>
        <w:tblCellMar>
          <w:top w:w="0" w:type="dxa"/>
          <w:left w:w="0" w:type="dxa"/>
          <w:bottom w:w="0" w:type="dxa"/>
          <w:right w:w="0" w:type="dxa"/>
        </w:tblCellMar>
      </w:tblPr>
      <w:tblGrid>
        <w:gridCol w:w="2810"/>
        <w:gridCol w:w="60"/>
        <w:gridCol w:w="132"/>
        <w:gridCol w:w="1069"/>
        <w:gridCol w:w="132"/>
        <w:gridCol w:w="132"/>
        <w:gridCol w:w="132"/>
        <w:gridCol w:w="1301"/>
        <w:gridCol w:w="60"/>
        <w:gridCol w:w="60"/>
        <w:gridCol w:w="118"/>
        <w:gridCol w:w="1167"/>
        <w:gridCol w:w="118"/>
        <w:gridCol w:w="118"/>
        <w:gridCol w:w="118"/>
        <w:gridCol w:w="1167"/>
        <w:gridCol w:w="60"/>
      </w:tblGrid>
      <w:tr>
        <w:tc>
          <w:tcPr>
            <w:tcW w:w="281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89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Three months ended September 30,</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80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Nine months ended September 30,</w:t>
            </w:r>
          </w:p>
        </w:tc>
        <w:tc>
          <w:tcPr>
            <w:tcW w:w="60" w:type="dxa"/>
            <w:tcBorders/>
            <w:shd w:fill="FFFFFF" w:val="clear"/>
            <w:vAlign w:val="center"/>
          </w:tcPr>
          <w:p>
            <w:pPr>
              <w:pStyle w:val="TableContents"/>
              <w:bidi w:val="0"/>
              <w:spacing w:before="0" w:after="283"/>
              <w:jc w:val="left"/>
            </w:pPr>
            <w:r>
              <w:t> </w:t>
            </w:r>
          </w:p>
        </w:tc>
      </w:tr>
      <w:tr>
        <w:tc>
          <w:tcPr>
            <w:tcW w:w="281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0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2026</w:t>
            </w:r>
          </w:p>
        </w:tc>
        <w:tc>
          <w:tcPr>
            <w:tcW w:w="132" w:type="dxa"/>
            <w:tcBorders/>
            <w:shd w:fill="FFFFFF" w:val="clear"/>
            <w:vAlign w:val="center"/>
          </w:tcPr>
          <w:p>
            <w:pPr>
              <w:pStyle w:val="TableContents"/>
              <w:bidi w:val="0"/>
              <w:spacing w:before="0" w:after="283"/>
              <w:jc w:val="left"/>
            </w:pPr>
            <w:r>
              <w:t> </w:t>
            </w:r>
          </w:p>
        </w:tc>
        <w:tc>
          <w:tcPr>
            <w:tcW w:w="132" w:type="dxa"/>
            <w:tcBorders/>
            <w:shd w:fill="FFFFFF" w:val="clear"/>
            <w:vAlign w:val="center"/>
          </w:tcPr>
          <w:p>
            <w:pPr>
              <w:pStyle w:val="TableContents"/>
              <w:bidi w:val="0"/>
              <w:spacing w:before="0" w:after="283"/>
              <w:ind w:left="0" w:right="0" w:hanging="0"/>
              <w:jc w:val="left"/>
            </w:pPr>
            <w:r>
              <w:t> </w:t>
            </w:r>
          </w:p>
        </w:tc>
        <w:tc>
          <w:tcPr>
            <w:tcW w:w="143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2026</w:t>
            </w:r>
          </w:p>
        </w:tc>
        <w:tc>
          <w:tcPr>
            <w:tcW w:w="118" w:type="dxa"/>
            <w:tcBorders/>
            <w:shd w:fill="FFFFFF" w:val="clear"/>
            <w:vAlign w:val="center"/>
          </w:tcPr>
          <w:p>
            <w:pPr>
              <w:pStyle w:val="TableContents"/>
              <w:bidi w:val="0"/>
              <w:spacing w:before="0" w:after="283"/>
              <w:jc w:val="left"/>
            </w:pPr>
            <w:r>
              <w:t> </w:t>
            </w:r>
          </w:p>
        </w:tc>
        <w:tc>
          <w:tcPr>
            <w:tcW w:w="118" w:type="dxa"/>
            <w:tcBorders/>
            <w:shd w:fill="FFFFFF" w:val="clear"/>
            <w:vAlign w:val="center"/>
          </w:tcPr>
          <w:p>
            <w:pPr>
              <w:pStyle w:val="TableContents"/>
              <w:bidi w:val="0"/>
              <w:spacing w:before="0" w:after="283"/>
              <w:ind w:left="0" w:right="0" w:hanging="0"/>
              <w:jc w:val="left"/>
            </w:pPr>
            <w:r>
              <w:t> </w:t>
            </w:r>
          </w:p>
        </w:tc>
        <w:tc>
          <w:tcPr>
            <w:tcW w:w="12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pPr>
            <w:r>
              <w:t> </w:t>
            </w:r>
          </w:p>
        </w:tc>
      </w:tr>
      <w:tr>
        <w:tc>
          <w:tcPr>
            <w:tcW w:w="28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Restricted stock units</w:t>
            </w:r>
          </w:p>
        </w:tc>
        <w:tc>
          <w:tcPr>
            <w:tcW w:w="60" w:type="dxa"/>
            <w:tcBorders/>
            <w:shd w:fill="CCEEFF" w:val="clear"/>
            <w:vAlign w:val="center"/>
          </w:tcPr>
          <w:p>
            <w:pPr>
              <w:pStyle w:val="TableContents"/>
              <w:bidi w:val="0"/>
              <w:spacing w:before="0" w:after="283"/>
              <w:jc w:val="left"/>
            </w:pPr>
            <w:r>
              <w:t> </w:t>
            </w:r>
          </w:p>
        </w:tc>
        <w:tc>
          <w:tcPr>
            <w:tcW w:w="132" w:type="dxa"/>
            <w:tcBorders/>
            <w:shd w:fill="CCEEFF" w:val="clear"/>
            <w:vAlign w:val="center"/>
          </w:tcPr>
          <w:p>
            <w:pPr>
              <w:pStyle w:val="TableContents"/>
              <w:bidi w:val="0"/>
              <w:spacing w:before="0" w:after="283"/>
              <w:jc w:val="left"/>
            </w:pPr>
            <w:r>
              <w:t> </w:t>
            </w:r>
          </w:p>
        </w:tc>
        <w:tc>
          <w:tcPr>
            <w:tcW w:w="1069" w:type="dxa"/>
            <w:tcBorders/>
            <w:shd w:fill="CCEEFF" w:val="clear"/>
            <w:vAlign w:val="center"/>
          </w:tcPr>
          <w:p>
            <w:pPr>
              <w:pStyle w:val="TableContents"/>
              <w:bidi w:val="0"/>
              <w:spacing w:before="0" w:after="283"/>
              <w:jc w:val="right"/>
            </w:pPr>
            <w:r>
              <w:t>—</w:t>
            </w:r>
          </w:p>
        </w:tc>
        <w:tc>
          <w:tcPr>
            <w:tcW w:w="132" w:type="dxa"/>
            <w:tcBorders/>
            <w:shd w:fill="CCEEFF" w:val="clear"/>
            <w:vAlign w:val="center"/>
          </w:tcPr>
          <w:p>
            <w:pPr>
              <w:pStyle w:val="TableContents"/>
              <w:bidi w:val="0"/>
              <w:spacing w:before="0" w:after="283"/>
              <w:jc w:val="left"/>
            </w:pPr>
            <w:r>
              <w:t> </w:t>
            </w:r>
          </w:p>
        </w:tc>
        <w:tc>
          <w:tcPr>
            <w:tcW w:w="132" w:type="dxa"/>
            <w:tcBorders/>
            <w:shd w:fill="CCEEFF" w:val="clear"/>
            <w:vAlign w:val="center"/>
          </w:tcPr>
          <w:p>
            <w:pPr>
              <w:pStyle w:val="TableContents"/>
              <w:bidi w:val="0"/>
              <w:spacing w:before="0" w:after="283"/>
              <w:jc w:val="left"/>
            </w:pPr>
            <w:r>
              <w:t> </w:t>
            </w:r>
          </w:p>
        </w:tc>
        <w:tc>
          <w:tcPr>
            <w:tcW w:w="132" w:type="dxa"/>
            <w:tcBorders/>
            <w:shd w:fill="CCEEFF" w:val="clear"/>
            <w:vAlign w:val="center"/>
          </w:tcPr>
          <w:p>
            <w:pPr>
              <w:pStyle w:val="TableContents"/>
              <w:bidi w:val="0"/>
              <w:spacing w:before="0" w:after="283"/>
              <w:jc w:val="left"/>
            </w:pPr>
            <w:r>
              <w:t> </w:t>
            </w:r>
          </w:p>
        </w:tc>
        <w:tc>
          <w:tcPr>
            <w:tcW w:w="130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2,248</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8" w:type="dxa"/>
            <w:tcBorders/>
            <w:shd w:fill="CCEEFF" w:val="clear"/>
            <w:vAlign w:val="center"/>
          </w:tcPr>
          <w:p>
            <w:pPr>
              <w:pStyle w:val="TableContents"/>
              <w:bidi w:val="0"/>
              <w:spacing w:before="0" w:after="283"/>
              <w:jc w:val="left"/>
            </w:pPr>
            <w:r>
              <w:t> </w:t>
            </w:r>
          </w:p>
        </w:tc>
        <w:tc>
          <w:tcPr>
            <w:tcW w:w="116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2,045</w:t>
            </w:r>
          </w:p>
        </w:tc>
        <w:tc>
          <w:tcPr>
            <w:tcW w:w="118" w:type="dxa"/>
            <w:tcBorders/>
            <w:shd w:fill="CCEEFF" w:val="clear"/>
            <w:vAlign w:val="center"/>
          </w:tcPr>
          <w:p>
            <w:pPr>
              <w:pStyle w:val="TableContents"/>
              <w:bidi w:val="0"/>
              <w:spacing w:before="0" w:after="283"/>
              <w:jc w:val="left"/>
            </w:pPr>
            <w:r>
              <w:t> </w:t>
            </w:r>
          </w:p>
        </w:tc>
        <w:tc>
          <w:tcPr>
            <w:tcW w:w="118" w:type="dxa"/>
            <w:tcBorders/>
            <w:shd w:fill="CCEEFF" w:val="clear"/>
            <w:vAlign w:val="center"/>
          </w:tcPr>
          <w:p>
            <w:pPr>
              <w:pStyle w:val="TableContents"/>
              <w:bidi w:val="0"/>
              <w:spacing w:before="0" w:after="283"/>
              <w:jc w:val="left"/>
            </w:pPr>
            <w:r>
              <w:t> </w:t>
            </w:r>
          </w:p>
        </w:tc>
        <w:tc>
          <w:tcPr>
            <w:tcW w:w="118" w:type="dxa"/>
            <w:tcBorders/>
            <w:shd w:fill="CCEEFF" w:val="clear"/>
            <w:vAlign w:val="center"/>
          </w:tcPr>
          <w:p>
            <w:pPr>
              <w:pStyle w:val="TableContents"/>
              <w:bidi w:val="0"/>
              <w:spacing w:before="0" w:after="283"/>
              <w:jc w:val="left"/>
            </w:pPr>
            <w:r>
              <w:t> </w:t>
            </w:r>
          </w:p>
        </w:tc>
        <w:tc>
          <w:tcPr>
            <w:tcW w:w="116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2,435</w:t>
            </w:r>
          </w:p>
        </w:tc>
        <w:tc>
          <w:tcPr>
            <w:tcW w:w="60" w:type="dxa"/>
            <w:tcBorders/>
            <w:shd w:fill="CCEEFF" w:val="clear"/>
            <w:vAlign w:val="center"/>
          </w:tcPr>
          <w:p>
            <w:pPr>
              <w:pStyle w:val="TableContents"/>
              <w:bidi w:val="0"/>
              <w:spacing w:before="0" w:after="283"/>
              <w:jc w:val="left"/>
            </w:pPr>
            <w:r>
              <w:t> </w:t>
            </w:r>
          </w:p>
        </w:tc>
      </w:tr>
      <w:tr>
        <w:tc>
          <w:tcPr>
            <w:tcW w:w="28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Shares for convertible senior notes</w:t>
            </w:r>
          </w:p>
        </w:tc>
        <w:tc>
          <w:tcPr>
            <w:tcW w:w="60" w:type="dxa"/>
            <w:tcBorders/>
            <w:shd w:fill="FFFFFF" w:val="clear"/>
            <w:vAlign w:val="center"/>
          </w:tcPr>
          <w:p>
            <w:pPr>
              <w:pStyle w:val="TableContents"/>
              <w:bidi w:val="0"/>
              <w:spacing w:before="0" w:after="283"/>
              <w:jc w:val="left"/>
            </w:pPr>
            <w:r>
              <w:t> </w:t>
            </w:r>
          </w:p>
        </w:tc>
        <w:tc>
          <w:tcPr>
            <w:tcW w:w="132" w:type="dxa"/>
            <w:tcBorders/>
            <w:shd w:fill="FFFFFF" w:val="clear"/>
            <w:vAlign w:val="center"/>
          </w:tcPr>
          <w:p>
            <w:pPr>
              <w:pStyle w:val="TableContents"/>
              <w:bidi w:val="0"/>
              <w:spacing w:before="0" w:after="283"/>
              <w:jc w:val="left"/>
            </w:pPr>
            <w:r>
              <w:t> </w:t>
            </w:r>
          </w:p>
        </w:tc>
        <w:tc>
          <w:tcPr>
            <w:tcW w:w="106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2,884</w:t>
            </w:r>
          </w:p>
        </w:tc>
        <w:tc>
          <w:tcPr>
            <w:tcW w:w="132" w:type="dxa"/>
            <w:tcBorders/>
            <w:shd w:fill="FFFFFF" w:val="clear"/>
            <w:vAlign w:val="center"/>
          </w:tcPr>
          <w:p>
            <w:pPr>
              <w:pStyle w:val="TableContents"/>
              <w:bidi w:val="0"/>
              <w:spacing w:before="0" w:after="283"/>
              <w:jc w:val="left"/>
            </w:pPr>
            <w:r>
              <w:t> </w:t>
            </w:r>
          </w:p>
        </w:tc>
        <w:tc>
          <w:tcPr>
            <w:tcW w:w="132" w:type="dxa"/>
            <w:tcBorders/>
            <w:shd w:fill="FFFFFF" w:val="clear"/>
            <w:vAlign w:val="center"/>
          </w:tcPr>
          <w:p>
            <w:pPr>
              <w:pStyle w:val="TableContents"/>
              <w:bidi w:val="0"/>
              <w:spacing w:before="0" w:after="283"/>
              <w:jc w:val="left"/>
            </w:pPr>
            <w:r>
              <w:t> </w:t>
            </w:r>
          </w:p>
        </w:tc>
        <w:tc>
          <w:tcPr>
            <w:tcW w:w="132" w:type="dxa"/>
            <w:tcBorders/>
            <w:shd w:fill="FFFFFF" w:val="clear"/>
            <w:vAlign w:val="center"/>
          </w:tcPr>
          <w:p>
            <w:pPr>
              <w:pStyle w:val="TableContents"/>
              <w:bidi w:val="0"/>
              <w:spacing w:before="0" w:after="283"/>
              <w:jc w:val="left"/>
            </w:pPr>
            <w:r>
              <w:t> </w:t>
            </w:r>
          </w:p>
        </w:tc>
        <w:tc>
          <w:tcPr>
            <w:tcW w:w="130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2,966</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8" w:type="dxa"/>
            <w:tcBorders/>
            <w:shd w:fill="FFFFFF" w:val="clear"/>
            <w:vAlign w:val="center"/>
          </w:tcPr>
          <w:p>
            <w:pPr>
              <w:pStyle w:val="TableContents"/>
              <w:bidi w:val="0"/>
              <w:spacing w:before="0" w:after="283"/>
              <w:jc w:val="left"/>
            </w:pPr>
            <w:r>
              <w:t> </w:t>
            </w:r>
          </w:p>
        </w:tc>
        <w:tc>
          <w:tcPr>
            <w:tcW w:w="116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2,884</w:t>
            </w:r>
          </w:p>
        </w:tc>
        <w:tc>
          <w:tcPr>
            <w:tcW w:w="118" w:type="dxa"/>
            <w:tcBorders/>
            <w:shd w:fill="FFFFFF" w:val="clear"/>
            <w:vAlign w:val="center"/>
          </w:tcPr>
          <w:p>
            <w:pPr>
              <w:pStyle w:val="TableContents"/>
              <w:bidi w:val="0"/>
              <w:spacing w:before="0" w:after="283"/>
              <w:jc w:val="left"/>
            </w:pPr>
            <w:r>
              <w:t> </w:t>
            </w:r>
          </w:p>
        </w:tc>
        <w:tc>
          <w:tcPr>
            <w:tcW w:w="118" w:type="dxa"/>
            <w:tcBorders/>
            <w:shd w:fill="FFFFFF" w:val="clear"/>
            <w:vAlign w:val="center"/>
          </w:tcPr>
          <w:p>
            <w:pPr>
              <w:pStyle w:val="TableContents"/>
              <w:bidi w:val="0"/>
              <w:spacing w:before="0" w:after="283"/>
              <w:jc w:val="left"/>
            </w:pPr>
            <w:r>
              <w:t> </w:t>
            </w:r>
          </w:p>
        </w:tc>
        <w:tc>
          <w:tcPr>
            <w:tcW w:w="118" w:type="dxa"/>
            <w:tcBorders/>
            <w:shd w:fill="FFFFFF" w:val="clear"/>
            <w:vAlign w:val="center"/>
          </w:tcPr>
          <w:p>
            <w:pPr>
              <w:pStyle w:val="TableContents"/>
              <w:bidi w:val="0"/>
              <w:spacing w:before="0" w:after="283"/>
              <w:jc w:val="left"/>
            </w:pPr>
            <w:r>
              <w:t> </w:t>
            </w:r>
          </w:p>
        </w:tc>
        <w:tc>
          <w:tcPr>
            <w:tcW w:w="116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3,072</w:t>
            </w:r>
          </w:p>
        </w:tc>
        <w:tc>
          <w:tcPr>
            <w:tcW w:w="60" w:type="dxa"/>
            <w:tcBorders/>
            <w:shd w:fill="FFFFFF" w:val="clear"/>
            <w:vAlign w:val="center"/>
          </w:tcPr>
          <w:p>
            <w:pPr>
              <w:pStyle w:val="TableContents"/>
              <w:bidi w:val="0"/>
              <w:spacing w:before="0" w:after="283"/>
              <w:jc w:val="left"/>
            </w:pPr>
            <w:r>
              <w:t> </w:t>
            </w:r>
          </w:p>
        </w:tc>
      </w:tr>
      <w:tr>
        <w:tc>
          <w:tcPr>
            <w:tcW w:w="28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Amazon warrant</w:t>
            </w:r>
          </w:p>
        </w:tc>
        <w:tc>
          <w:tcPr>
            <w:tcW w:w="60" w:type="dxa"/>
            <w:tcBorders/>
            <w:shd w:fill="CCEEFF" w:val="clear"/>
            <w:vAlign w:val="center"/>
          </w:tcPr>
          <w:p>
            <w:pPr>
              <w:pStyle w:val="TableContents"/>
              <w:bidi w:val="0"/>
              <w:spacing w:before="0" w:after="283"/>
              <w:ind w:left="0" w:right="0" w:hanging="0"/>
              <w:jc w:val="left"/>
            </w:pPr>
            <w:r>
              <w:t> </w:t>
            </w:r>
          </w:p>
        </w:tc>
        <w:tc>
          <w:tcPr>
            <w:tcW w:w="1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1069"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6,621</w:t>
            </w:r>
          </w:p>
        </w:tc>
        <w:tc>
          <w:tcPr>
            <w:tcW w:w="132" w:type="dxa"/>
            <w:tcBorders/>
            <w:shd w:fill="CCEEFF" w:val="clear"/>
            <w:vAlign w:val="center"/>
          </w:tcPr>
          <w:p>
            <w:pPr>
              <w:pStyle w:val="TableContents"/>
              <w:bidi w:val="0"/>
              <w:spacing w:before="0" w:after="283"/>
              <w:jc w:val="left"/>
            </w:pPr>
            <w:r>
              <w:t> </w:t>
            </w:r>
          </w:p>
        </w:tc>
        <w:tc>
          <w:tcPr>
            <w:tcW w:w="132" w:type="dxa"/>
            <w:tcBorders/>
            <w:shd w:fill="CCEEFF" w:val="clear"/>
            <w:vAlign w:val="center"/>
          </w:tcPr>
          <w:p>
            <w:pPr>
              <w:pStyle w:val="TableContents"/>
              <w:bidi w:val="0"/>
              <w:spacing w:before="0" w:after="283"/>
              <w:ind w:left="0" w:right="0" w:hanging="0"/>
              <w:jc w:val="left"/>
            </w:pPr>
            <w:r>
              <w:t> </w:t>
            </w:r>
          </w:p>
        </w:tc>
        <w:tc>
          <w:tcPr>
            <w:tcW w:w="1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1301"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7,945</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1167"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7,945</w:t>
            </w:r>
          </w:p>
        </w:tc>
        <w:tc>
          <w:tcPr>
            <w:tcW w:w="118" w:type="dxa"/>
            <w:tcBorders/>
            <w:shd w:fill="CCEEFF" w:val="clear"/>
            <w:vAlign w:val="center"/>
          </w:tcPr>
          <w:p>
            <w:pPr>
              <w:pStyle w:val="TableContents"/>
              <w:bidi w:val="0"/>
              <w:spacing w:before="0" w:after="283"/>
              <w:jc w:val="left"/>
            </w:pPr>
            <w:r>
              <w:t> </w:t>
            </w:r>
          </w:p>
        </w:tc>
        <w:tc>
          <w:tcPr>
            <w:tcW w:w="118" w:type="dxa"/>
            <w:tcBorders/>
            <w:shd w:fill="CCEEFF" w:val="clear"/>
            <w:vAlign w:val="center"/>
          </w:tcPr>
          <w:p>
            <w:pPr>
              <w:pStyle w:val="TableContents"/>
              <w:bidi w:val="0"/>
              <w:spacing w:before="0" w:after="283"/>
              <w:ind w:left="0" w:right="0" w:hanging="0"/>
              <w:jc w:val="left"/>
            </w:pPr>
            <w:r>
              <w:t> </w:t>
            </w:r>
          </w:p>
        </w:tc>
        <w:tc>
          <w:tcPr>
            <w:tcW w:w="1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1167"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7,945</w:t>
            </w:r>
          </w:p>
        </w:tc>
        <w:tc>
          <w:tcPr>
            <w:tcW w:w="60" w:type="dxa"/>
            <w:tcBorders/>
            <w:shd w:fill="CCEEFF" w:val="clear"/>
            <w:vAlign w:val="center"/>
          </w:tcPr>
          <w:p>
            <w:pPr>
              <w:pStyle w:val="TableContents"/>
              <w:bidi w:val="0"/>
              <w:spacing w:before="0" w:after="283"/>
              <w:jc w:val="left"/>
            </w:pPr>
            <w:r>
              <w:t> </w:t>
            </w:r>
          </w:p>
        </w:tc>
      </w:tr>
      <w:tr>
        <w:tc>
          <w:tcPr>
            <w:tcW w:w="28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antidilutive shares</w:t>
            </w:r>
          </w:p>
        </w:tc>
        <w:tc>
          <w:tcPr>
            <w:tcW w:w="60" w:type="dxa"/>
            <w:tcBorders/>
            <w:shd w:fill="FFFFFF" w:val="clear"/>
            <w:vAlign w:val="center"/>
          </w:tcPr>
          <w:p>
            <w:pPr>
              <w:pStyle w:val="TableContents"/>
              <w:bidi w:val="0"/>
              <w:spacing w:before="0" w:after="283"/>
              <w:jc w:val="left"/>
            </w:pPr>
            <w:r>
              <w:t> </w:t>
            </w:r>
          </w:p>
        </w:tc>
        <w:tc>
          <w:tcPr>
            <w:tcW w:w="13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06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9,505</w:t>
            </w:r>
          </w:p>
        </w:tc>
        <w:tc>
          <w:tcPr>
            <w:tcW w:w="132" w:type="dxa"/>
            <w:tcBorders/>
            <w:shd w:fill="FFFFFF" w:val="clear"/>
            <w:vAlign w:val="center"/>
          </w:tcPr>
          <w:p>
            <w:pPr>
              <w:pStyle w:val="TableContents"/>
              <w:bidi w:val="0"/>
              <w:spacing w:before="0" w:after="283"/>
              <w:jc w:val="left"/>
            </w:pPr>
            <w:r>
              <w:t> </w:t>
            </w:r>
          </w:p>
        </w:tc>
        <w:tc>
          <w:tcPr>
            <w:tcW w:w="132" w:type="dxa"/>
            <w:tcBorders/>
            <w:shd w:fill="FFFFFF" w:val="clear"/>
            <w:vAlign w:val="center"/>
          </w:tcPr>
          <w:p>
            <w:pPr>
              <w:pStyle w:val="TableContents"/>
              <w:bidi w:val="0"/>
              <w:spacing w:before="0" w:after="283"/>
              <w:jc w:val="left"/>
            </w:pPr>
            <w:r>
              <w:t> </w:t>
            </w:r>
          </w:p>
        </w:tc>
        <w:tc>
          <w:tcPr>
            <w:tcW w:w="13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30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13,159</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16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12,874</w:t>
            </w:r>
          </w:p>
        </w:tc>
        <w:tc>
          <w:tcPr>
            <w:tcW w:w="118" w:type="dxa"/>
            <w:tcBorders/>
            <w:shd w:fill="FFFFFF" w:val="clear"/>
            <w:vAlign w:val="center"/>
          </w:tcPr>
          <w:p>
            <w:pPr>
              <w:pStyle w:val="TableContents"/>
              <w:bidi w:val="0"/>
              <w:spacing w:before="0" w:after="283"/>
              <w:jc w:val="left"/>
            </w:pPr>
            <w:r>
              <w:t> </w:t>
            </w:r>
          </w:p>
        </w:tc>
        <w:tc>
          <w:tcPr>
            <w:tcW w:w="118" w:type="dxa"/>
            <w:tcBorders/>
            <w:shd w:fill="FFFFFF" w:val="clear"/>
            <w:vAlign w:val="center"/>
          </w:tcPr>
          <w:p>
            <w:pPr>
              <w:pStyle w:val="TableContents"/>
              <w:bidi w:val="0"/>
              <w:spacing w:before="0" w:after="283"/>
              <w:jc w:val="left"/>
            </w:pPr>
            <w:r>
              <w:t> </w:t>
            </w:r>
          </w:p>
        </w:tc>
        <w:tc>
          <w:tcPr>
            <w:tcW w:w="11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16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13,452</w:t>
            </w:r>
          </w:p>
        </w:tc>
        <w:tc>
          <w:tcPr>
            <w:tcW w:w="60" w:type="dxa"/>
            <w:tcBorders/>
            <w:shd w:fill="FFFFFF" w:val="clear"/>
            <w:vAlign w:val="center"/>
          </w:tcPr>
          <w:p>
            <w:pPr>
              <w:pStyle w:val="TableContents"/>
              <w:bidi w:val="0"/>
              <w:spacing w:before="0" w:after="283"/>
              <w:jc w:val="left"/>
            </w:pPr>
            <w:r>
              <w:t> </w:t>
            </w:r>
          </w:p>
        </w:tc>
      </w:tr>
    </w:tbl>
    <w:p>
      <w:pPr>
        <w:pStyle w:val="TextBody"/>
        <w:bidi w:val="0"/>
        <w:spacing w:before="0" w:after="0"/>
        <w:ind w:left="0" w:right="0" w:firstLine="720"/>
        <w:jc w:val="left"/>
      </w:pPr>
      <w:r>
        <w:t> </w:t>
      </w:r>
    </w:p>
    <w:p>
      <w:pPr>
        <w:pStyle w:val="TextBody"/>
        <w:bidi w:val="0"/>
        <w:spacing w:before="0" w:after="283"/>
        <w:jc w:val="left"/>
      </w:pPr>
      <w:r>
        <w:t xml:space="preserve">  </w:t>
      </w:r>
    </w:p>
    <w:p>
      <w:pPr>
        <w:pStyle w:val="TextBody"/>
        <w:bidi w:val="0"/>
        <w:spacing w:before="0" w:after="0"/>
        <w:ind w:left="0" w:right="0" w:hanging="0"/>
        <w:jc w:val="left"/>
      </w:pPr>
      <w:r>
        <w:rPr>
          <w:rFonts w:ascii="Times New Roman" w:hAnsi="Times New Roman"/>
          <w:b/>
          <w:sz w:val="20"/>
        </w:rPr>
        <w:t xml:space="preserve">Note </w:t>
      </w:r>
      <w:r>
        <w:rPr>
          <w:rStyle w:val="Emphasis"/>
          <w:rFonts w:ascii="Times New Roman" w:hAnsi="Times New Roman"/>
          <w:b/>
          <w:sz w:val="20"/>
        </w:rPr>
        <w:t>7.</w:t>
      </w:r>
      <w:r>
        <w:rPr>
          <w:rFonts w:ascii="Times New Roman" w:hAnsi="Times New Roman"/>
          <w:b/>
          <w:sz w:val="20"/>
        </w:rPr>
        <w:t>  Inventories</w:t>
      </w:r>
    </w:p>
    <w:p>
      <w:pPr>
        <w:pStyle w:val="TextBody"/>
        <w:bidi w:val="0"/>
        <w:spacing w:before="0" w:after="0"/>
        <w:ind w:left="0" w:right="0" w:hanging="0"/>
        <w:jc w:val="left"/>
      </w:pPr>
      <w:r>
        <w:t>​</w:t>
      </w:r>
    </w:p>
    <w:p>
      <w:pPr>
        <w:pStyle w:val="TextBody"/>
        <w:bidi w:val="0"/>
        <w:spacing w:before="0" w:after="0"/>
        <w:ind w:left="0" w:right="0" w:firstLine="720"/>
        <w:jc w:val="left"/>
        <w:rPr>
          <w:rFonts w:ascii="Times New Roman" w:hAnsi="Times New Roman"/>
          <w:sz w:val="20"/>
        </w:rPr>
      </w:pPr>
      <w:r>
        <w:rPr>
          <w:rFonts w:ascii="Times New Roman" w:hAnsi="Times New Roman"/>
          <w:sz w:val="20"/>
        </w:rPr>
        <w:t>Inventories, net consist of the following for the periods indicated (in thousands):​</w:t>
      </w:r>
    </w:p>
    <w:p>
      <w:pPr>
        <w:pStyle w:val="TextBody"/>
        <w:bidi w:val="0"/>
        <w:spacing w:before="0" w:after="0"/>
        <w:ind w:left="0" w:right="0" w:firstLine="720"/>
        <w:jc w:val="left"/>
      </w:pPr>
      <w:r>
        <w:t> </w:t>
      </w:r>
    </w:p>
    <w:tbl>
      <w:tblPr>
        <w:tblW w:w="6473" w:type="dxa"/>
        <w:jc w:val="left"/>
        <w:tblInd w:w="0" w:type="dxa"/>
        <w:tblLayout w:type="fixed"/>
        <w:tblCellMar>
          <w:top w:w="0" w:type="dxa"/>
          <w:left w:w="0" w:type="dxa"/>
          <w:bottom w:w="0" w:type="dxa"/>
          <w:right w:w="0" w:type="dxa"/>
        </w:tblCellMar>
      </w:tblPr>
      <w:tblGrid>
        <w:gridCol w:w="2930"/>
        <w:gridCol w:w="60"/>
        <w:gridCol w:w="251"/>
        <w:gridCol w:w="1403"/>
        <w:gridCol w:w="80"/>
        <w:gridCol w:w="60"/>
        <w:gridCol w:w="243"/>
        <w:gridCol w:w="1366"/>
        <w:gridCol w:w="80"/>
      </w:tblGrid>
      <w:tr>
        <w:tc>
          <w:tcPr>
            <w:tcW w:w="293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6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September 30, 2026</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December 31, 2025</w:t>
            </w:r>
          </w:p>
        </w:tc>
        <w:tc>
          <w:tcPr>
            <w:tcW w:w="80" w:type="dxa"/>
            <w:tcBorders/>
            <w:shd w:fill="FFFFFF" w:val="clear"/>
            <w:vAlign w:val="center"/>
          </w:tcPr>
          <w:p>
            <w:pPr>
              <w:pStyle w:val="TableContents"/>
              <w:bidi w:val="0"/>
              <w:spacing w:before="0" w:after="283"/>
              <w:jc w:val="left"/>
            </w:pPr>
            <w:r>
              <w:t> </w:t>
            </w:r>
          </w:p>
        </w:tc>
      </w:tr>
      <w:tr>
        <w:tc>
          <w:tcPr>
            <w:tcW w:w="29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Raw materials</w:t>
            </w:r>
          </w:p>
        </w:tc>
        <w:tc>
          <w:tcPr>
            <w:tcW w:w="60" w:type="dxa"/>
            <w:tcBorders/>
            <w:shd w:fill="CCEEFF" w:val="clear"/>
            <w:vAlign w:val="center"/>
          </w:tcPr>
          <w:p>
            <w:pPr>
              <w:pStyle w:val="TableContents"/>
              <w:bidi w:val="0"/>
              <w:spacing w:before="0" w:after="283"/>
              <w:ind w:left="0" w:right="0" w:hanging="0"/>
              <w:jc w:val="left"/>
            </w:pPr>
            <w:r>
              <w:t> </w:t>
            </w:r>
          </w:p>
        </w:tc>
        <w:tc>
          <w:tcPr>
            <w:tcW w:w="25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206,961</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24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85,740</w:t>
            </w:r>
          </w:p>
        </w:tc>
        <w:tc>
          <w:tcPr>
            <w:tcW w:w="80" w:type="dxa"/>
            <w:tcBorders/>
            <w:shd w:fill="CCEEFF" w:val="clear"/>
            <w:vAlign w:val="center"/>
          </w:tcPr>
          <w:p>
            <w:pPr>
              <w:pStyle w:val="TableContents"/>
              <w:bidi w:val="0"/>
              <w:spacing w:before="0" w:after="283"/>
              <w:jc w:val="left"/>
            </w:pPr>
            <w:r>
              <w:t> </w:t>
            </w:r>
          </w:p>
        </w:tc>
      </w:tr>
      <w:tr>
        <w:tc>
          <w:tcPr>
            <w:tcW w:w="29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Work in process and sub-assemblies</w:t>
            </w:r>
          </w:p>
        </w:tc>
        <w:tc>
          <w:tcPr>
            <w:tcW w:w="60" w:type="dxa"/>
            <w:tcBorders/>
            <w:shd w:fill="FFFFFF" w:val="clear"/>
            <w:vAlign w:val="center"/>
          </w:tcPr>
          <w:p>
            <w:pPr>
              <w:pStyle w:val="TableContents"/>
              <w:bidi w:val="0"/>
              <w:spacing w:before="0" w:after="283"/>
              <w:jc w:val="left"/>
            </w:pPr>
            <w:r>
              <w:t> </w:t>
            </w:r>
          </w:p>
        </w:tc>
        <w:tc>
          <w:tcPr>
            <w:tcW w:w="251" w:type="dxa"/>
            <w:tcBorders/>
            <w:shd w:fill="FFFFFF" w:val="clear"/>
            <w:vAlign w:val="center"/>
          </w:tcPr>
          <w:p>
            <w:pPr>
              <w:pStyle w:val="TableContents"/>
              <w:bidi w:val="0"/>
              <w:spacing w:before="0" w:after="283"/>
              <w:ind w:left="0" w:right="0" w:hanging="0"/>
              <w:jc w:val="left"/>
            </w:pPr>
            <w:r>
              <w:t> </w:t>
            </w:r>
          </w:p>
        </w:tc>
        <w:tc>
          <w:tcPr>
            <w:tcW w:w="14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169,928</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43" w:type="dxa"/>
            <w:tcBorders/>
            <w:shd w:fill="FFFFFF" w:val="clear"/>
            <w:vAlign w:val="center"/>
          </w:tcPr>
          <w:p>
            <w:pPr>
              <w:pStyle w:val="TableContents"/>
              <w:bidi w:val="0"/>
              <w:spacing w:before="0" w:after="283"/>
              <w:ind w:left="0" w:right="0" w:hanging="0"/>
              <w:jc w:val="left"/>
            </w:pPr>
            <w:r>
              <w:t> </w:t>
            </w:r>
          </w:p>
        </w:tc>
        <w:tc>
          <w:tcPr>
            <w:tcW w:w="13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95,538</w:t>
            </w:r>
          </w:p>
        </w:tc>
        <w:tc>
          <w:tcPr>
            <w:tcW w:w="80" w:type="dxa"/>
            <w:tcBorders/>
            <w:shd w:fill="FFFFFF" w:val="clear"/>
            <w:vAlign w:val="center"/>
          </w:tcPr>
          <w:p>
            <w:pPr>
              <w:pStyle w:val="TableContents"/>
              <w:bidi w:val="0"/>
              <w:spacing w:before="0" w:after="283"/>
              <w:jc w:val="left"/>
            </w:pPr>
            <w:r>
              <w:t> </w:t>
            </w:r>
          </w:p>
        </w:tc>
      </w:tr>
      <w:tr>
        <w:tc>
          <w:tcPr>
            <w:tcW w:w="29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Finished goods</w:t>
            </w:r>
          </w:p>
        </w:tc>
        <w:tc>
          <w:tcPr>
            <w:tcW w:w="60" w:type="dxa"/>
            <w:tcBorders/>
            <w:shd w:fill="CCEEFF" w:val="clear"/>
            <w:vAlign w:val="center"/>
          </w:tcPr>
          <w:p>
            <w:pPr>
              <w:pStyle w:val="TableContents"/>
              <w:bidi w:val="0"/>
              <w:spacing w:before="0" w:after="283"/>
              <w:jc w:val="left"/>
            </w:pPr>
            <w:r>
              <w:t> </w:t>
            </w:r>
          </w:p>
        </w:tc>
        <w:tc>
          <w:tcPr>
            <w:tcW w:w="251" w:type="dxa"/>
            <w:tcBorders/>
            <w:shd w:fill="CCEEFF" w:val="clear"/>
            <w:vAlign w:val="center"/>
          </w:tcPr>
          <w:p>
            <w:pPr>
              <w:pStyle w:val="TableContents"/>
              <w:bidi w:val="0"/>
              <w:spacing w:before="0" w:after="283"/>
              <w:ind w:left="0" w:right="0" w:hanging="0"/>
              <w:jc w:val="left"/>
            </w:pPr>
            <w:r>
              <w:t> </w:t>
            </w:r>
          </w:p>
        </w:tc>
        <w:tc>
          <w:tcPr>
            <w:tcW w:w="14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13,859</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43" w:type="dxa"/>
            <w:tcBorders/>
            <w:shd w:fill="CCEEFF" w:val="clear"/>
            <w:vAlign w:val="center"/>
          </w:tcPr>
          <w:p>
            <w:pPr>
              <w:pStyle w:val="TableContents"/>
              <w:bidi w:val="0"/>
              <w:spacing w:before="0" w:after="283"/>
              <w:ind w:left="0" w:right="0" w:hanging="0"/>
              <w:jc w:val="left"/>
            </w:pPr>
            <w:r>
              <w:t> </w:t>
            </w:r>
          </w:p>
        </w:tc>
        <w:tc>
          <w:tcPr>
            <w:tcW w:w="13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18,822</w:t>
            </w:r>
          </w:p>
        </w:tc>
        <w:tc>
          <w:tcPr>
            <w:tcW w:w="80" w:type="dxa"/>
            <w:tcBorders/>
            <w:shd w:fill="CCEEFF" w:val="clear"/>
            <w:vAlign w:val="center"/>
          </w:tcPr>
          <w:p>
            <w:pPr>
              <w:pStyle w:val="TableContents"/>
              <w:bidi w:val="0"/>
              <w:spacing w:before="0" w:after="283"/>
              <w:jc w:val="left"/>
            </w:pPr>
            <w:r>
              <w:t> </w:t>
            </w:r>
          </w:p>
        </w:tc>
      </w:tr>
      <w:tr>
        <w:tc>
          <w:tcPr>
            <w:tcW w:w="293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Allowance for inventory</w:t>
            </w:r>
          </w:p>
        </w:tc>
        <w:tc>
          <w:tcPr>
            <w:tcW w:w="60" w:type="dxa"/>
            <w:tcBorders/>
            <w:shd w:fill="FFFFFF" w:val="clear"/>
            <w:vAlign w:val="center"/>
          </w:tcPr>
          <w:p>
            <w:pPr>
              <w:pStyle w:val="TableContents"/>
              <w:bidi w:val="0"/>
              <w:spacing w:before="0" w:after="283"/>
              <w:jc w:val="left"/>
            </w:pPr>
            <w:r>
              <w:t> </w:t>
            </w:r>
          </w:p>
        </w:tc>
        <w:tc>
          <w:tcPr>
            <w:tcW w:w="25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4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(12,757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2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3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(16,995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29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inventories</w:t>
            </w:r>
          </w:p>
        </w:tc>
        <w:tc>
          <w:tcPr>
            <w:tcW w:w="60" w:type="dxa"/>
            <w:tcBorders/>
            <w:shd w:fill="CCEEFF" w:val="clear"/>
            <w:vAlign w:val="center"/>
          </w:tcPr>
          <w:p>
            <w:pPr>
              <w:pStyle w:val="TableContents"/>
              <w:bidi w:val="0"/>
              <w:spacing w:before="0" w:after="283"/>
              <w:ind w:left="0" w:right="0" w:hanging="0"/>
              <w:jc w:val="left"/>
            </w:pPr>
            <w:r>
              <w:t> </w:t>
            </w:r>
          </w:p>
        </w:tc>
        <w:tc>
          <w:tcPr>
            <w:tcW w:w="25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0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377,991</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2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6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183,105</w:t>
            </w:r>
          </w:p>
        </w:tc>
        <w:tc>
          <w:tcPr>
            <w:tcW w:w="80" w:type="dxa"/>
            <w:tcBorders/>
            <w:shd w:fill="CCEEFF" w:val="clear"/>
            <w:vAlign w:val="center"/>
          </w:tcPr>
          <w:p>
            <w:pPr>
              <w:pStyle w:val="TableContents"/>
              <w:bidi w:val="0"/>
              <w:spacing w:before="0" w:after="283"/>
              <w:jc w:val="left"/>
            </w:pPr>
            <w:r>
              <w:t> </w:t>
            </w:r>
          </w:p>
        </w:tc>
      </w:tr>
    </w:tbl>
    <w:p>
      <w:pPr>
        <w:pStyle w:val="TextBody"/>
        <w:bidi w:val="0"/>
        <w:spacing w:before="0" w:after="0"/>
        <w:ind w:left="0" w:right="0" w:firstLine="720"/>
        <w:jc w:val="left"/>
      </w:pPr>
      <w:r>
        <w:t> </w:t>
      </w:r>
    </w:p>
    <w:p>
      <w:pPr>
        <w:pStyle w:val="TextBody"/>
        <w:bidi w:val="0"/>
        <w:spacing w:before="0" w:after="0"/>
        <w:ind w:left="0" w:right="0" w:firstLine="720"/>
        <w:jc w:val="left"/>
      </w:pPr>
      <w:r>
        <w:rPr>
          <w:rFonts w:ascii="Times New Roman" w:hAnsi="Times New Roman"/>
          <w:caps w:val="false"/>
          <w:smallCaps w:val="false"/>
          <w:sz w:val="20"/>
        </w:rPr>
        <w:t xml:space="preserve">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the inventory reserve adjustment expensed for inventory was $(3.8) million and $2.1 million, respectively. For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the inventory reserve adjustment expensed for inventory was $(2.7) million and $5.4 million, respectively.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pPr>
      <w:r>
        <w:rPr>
          <w:rFonts w:ascii="Times New Roman" w:hAnsi="Times New Roman"/>
          <w:caps w:val="false"/>
          <w:smallCaps w:val="false"/>
          <w:sz w:val="20"/>
        </w:rPr>
        <w:t xml:space="preserve">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the direct inventory write-offs related to scrap, discontinued products and damaged inventories were $2.9 million and $4.4 million, respectively. For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the direct inventory write-offs related to scrap, discontinued products and damaged inventories were $8.9 million and $6.3 million, respectively.</w:t>
      </w:r>
    </w:p>
    <w:p>
      <w:pPr>
        <w:pStyle w:val="TextBody"/>
        <w:bidi w:val="0"/>
        <w:spacing w:before="0" w:after="0"/>
        <w:ind w:left="0" w:right="0" w:hanging="0"/>
        <w:jc w:val="left"/>
      </w:pPr>
      <w:r>
        <w:t xml:space="preserve">    </w:t>
      </w:r>
      <w:r>
        <w:rPr>
          <w:shd w:fill="FFFFFF" w:val="clear"/>
        </w:rPr>
        <w:t xml:space="preserve">​ </w:t>
      </w:r>
    </w:p>
    <w:p>
      <w:pPr>
        <w:pStyle w:val="TextBody"/>
        <w:bidi w:val="0"/>
        <w:spacing w:before="0" w:after="0"/>
        <w:jc w:val="center"/>
      </w:pPr>
      <w:r>
        <w:rPr>
          <w:rStyle w:val="Emphasis"/>
          <w:rFonts w:ascii="Times New Roman" w:hAnsi="Times New Roman"/>
          <w:sz w:val="20"/>
        </w:rPr>
        <w:t>14</w:t>
      </w:r>
      <w:r>
        <w:rPr>
          <w:rFonts w:ascii="Times New Roman" w:hAnsi="Times New Roman"/>
          <w:sz w:val="20"/>
        </w:rPr>
        <w:t xml:space="preserve"> </w:t>
      </w:r>
    </w:p>
    <w:p>
      <w:pPr>
        <w:pStyle w:val="HorizontalLine"/>
        <w:pBdr>
          <w:bottom w:val="double" w:sz="2" w:space="0" w:color="808080"/>
        </w:pBdr>
        <w:bidi w:val="0"/>
        <w:spacing w:before="0" w:after="283"/>
        <w:jc w:val="left"/>
      </w:pPr>
      <w:r/>
    </w:p>
    <w:p>
      <w:pPr>
        <w:pStyle w:val="TextBody"/>
        <w:bidi w:val="0"/>
        <w:spacing w:before="0" w:after="0"/>
        <w:jc w:val="left"/>
      </w:pPr>
      <w:hyperlink w:anchor="toc">
        <w:r>
          <w:rPr>
            <w:rStyle w:val="InternetLink"/>
            <w:rFonts w:ascii="Times New Roman;Times;serif" w:hAnsi="Times New Roman;Times;serif"/>
            <w:sz w:val="20"/>
          </w:rPr>
          <w:t>Table of Contents</w:t>
        </w:r>
      </w:hyperlink>
      <w:r>
        <w:t xml:space="preserve"> </w:t>
      </w:r>
    </w:p>
    <w:p>
      <w:pPr>
        <w:pStyle w:val="TextBody"/>
        <w:bidi w:val="0"/>
        <w:spacing w:before="0" w:after="0"/>
        <w:jc w:val="left"/>
      </w:pPr>
      <w:r>
        <w:t xml:space="preserve">  </w:t>
      </w:r>
    </w:p>
    <w:p>
      <w:pPr>
        <w:pStyle w:val="TextBody"/>
        <w:bidi w:val="0"/>
        <w:spacing w:before="0" w:after="283"/>
        <w:jc w:val="left"/>
      </w:pPr>
      <w:r>
        <w:t xml:space="preserve">  </w:t>
      </w:r>
    </w:p>
    <w:p>
      <w:pPr>
        <w:pStyle w:val="TextBody"/>
        <w:bidi w:val="0"/>
        <w:spacing w:before="0" w:after="0"/>
        <w:ind w:left="0" w:right="0" w:hanging="0"/>
        <w:jc w:val="left"/>
      </w:pPr>
      <w:r>
        <w:rPr>
          <w:rFonts w:ascii="Times New Roman;Times;serif" w:hAnsi="Times New Roman;Times;serif"/>
          <w:b/>
          <w:sz w:val="20"/>
        </w:rPr>
        <w:t xml:space="preserve">Note </w:t>
      </w:r>
      <w:r>
        <w:rPr>
          <w:rStyle w:val="Emphasis"/>
          <w:rFonts w:ascii="Times New Roman;Times;serif" w:hAnsi="Times New Roman;Times;serif"/>
          <w:b/>
          <w:sz w:val="20"/>
        </w:rPr>
        <w:t>8.</w:t>
      </w:r>
      <w:r>
        <w:rPr>
          <w:rFonts w:ascii="Times New Roman;Times;serif" w:hAnsi="Times New Roman;Times;serif"/>
          <w:b/>
          <w:sz w:val="20"/>
        </w:rPr>
        <w:t>  Property, Plant &amp; Equipment</w:t>
      </w:r>
    </w:p>
    <w:p>
      <w:pPr>
        <w:pStyle w:val="TextBody"/>
        <w:bidi w:val="0"/>
        <w:spacing w:before="0" w:after="0"/>
        <w:ind w:left="0" w:right="0" w:hanging="0"/>
        <w:jc w:val="left"/>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Property, plant and equipment consisted of the following for the periods indicated (in thousands):</w:t>
      </w:r>
    </w:p>
    <w:p>
      <w:pPr>
        <w:pStyle w:val="TextBody"/>
        <w:bidi w:val="0"/>
        <w:spacing w:before="0" w:after="0"/>
        <w:ind w:left="0" w:right="0" w:firstLine="720"/>
        <w:jc w:val="left"/>
      </w:pPr>
      <w:r>
        <w:t>​</w:t>
      </w:r>
    </w:p>
    <w:tbl>
      <w:tblPr>
        <w:tblW w:w="6848" w:type="dxa"/>
        <w:jc w:val="left"/>
        <w:tblInd w:w="0" w:type="dxa"/>
        <w:tblLayout w:type="fixed"/>
        <w:tblCellMar>
          <w:top w:w="0" w:type="dxa"/>
          <w:left w:w="0" w:type="dxa"/>
          <w:bottom w:w="0" w:type="dxa"/>
          <w:right w:w="0" w:type="dxa"/>
        </w:tblCellMar>
      </w:tblPr>
      <w:tblGrid>
        <w:gridCol w:w="3305"/>
        <w:gridCol w:w="60"/>
        <w:gridCol w:w="213"/>
        <w:gridCol w:w="1441"/>
        <w:gridCol w:w="80"/>
        <w:gridCol w:w="60"/>
        <w:gridCol w:w="228"/>
        <w:gridCol w:w="1381"/>
        <w:gridCol w:w="80"/>
      </w:tblGrid>
      <w:tr>
        <w:tc>
          <w:tcPr>
            <w:tcW w:w="330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6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September 30, 2026</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December 31, 2025</w:t>
            </w:r>
          </w:p>
        </w:tc>
        <w:tc>
          <w:tcPr>
            <w:tcW w:w="80" w:type="dxa"/>
            <w:tcBorders/>
            <w:shd w:fill="FFFFFF" w:val="clear"/>
            <w:vAlign w:val="center"/>
          </w:tcPr>
          <w:p>
            <w:pPr>
              <w:pStyle w:val="TableContents"/>
              <w:bidi w:val="0"/>
              <w:spacing w:before="0" w:after="283"/>
              <w:jc w:val="left"/>
            </w:pPr>
            <w:r>
              <w:t> </w:t>
            </w:r>
          </w:p>
        </w:tc>
      </w:tr>
      <w:tr>
        <w:tc>
          <w:tcPr>
            <w:tcW w:w="33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Land</w:t>
            </w:r>
          </w:p>
        </w:tc>
        <w:tc>
          <w:tcPr>
            <w:tcW w:w="60" w:type="dxa"/>
            <w:tcBorders/>
            <w:shd w:fill="CCEEFF" w:val="clear"/>
            <w:vAlign w:val="center"/>
          </w:tcPr>
          <w:p>
            <w:pPr>
              <w:pStyle w:val="TableContents"/>
              <w:bidi w:val="0"/>
              <w:spacing w:before="0" w:after="283"/>
              <w:jc w:val="left"/>
            </w:pPr>
            <w:r>
              <w:t> </w:t>
            </w:r>
          </w:p>
        </w:tc>
        <w:tc>
          <w:tcPr>
            <w:tcW w:w="21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12,284</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2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1,101</w:t>
            </w:r>
          </w:p>
        </w:tc>
        <w:tc>
          <w:tcPr>
            <w:tcW w:w="80" w:type="dxa"/>
            <w:tcBorders/>
            <w:shd w:fill="CCEEFF" w:val="clear"/>
            <w:vAlign w:val="center"/>
          </w:tcPr>
          <w:p>
            <w:pPr>
              <w:pStyle w:val="TableContents"/>
              <w:bidi w:val="0"/>
              <w:spacing w:before="0" w:after="283"/>
              <w:jc w:val="left"/>
            </w:pPr>
            <w:r>
              <w:t> </w:t>
            </w:r>
          </w:p>
        </w:tc>
      </w:tr>
      <w:tr>
        <w:tc>
          <w:tcPr>
            <w:tcW w:w="33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Land improvements</w:t>
            </w:r>
          </w:p>
        </w:tc>
        <w:tc>
          <w:tcPr>
            <w:tcW w:w="60" w:type="dxa"/>
            <w:tcBorders/>
            <w:shd w:fill="FFFFFF" w:val="clear"/>
            <w:vAlign w:val="center"/>
          </w:tcPr>
          <w:p>
            <w:pPr>
              <w:pStyle w:val="TableContents"/>
              <w:bidi w:val="0"/>
              <w:spacing w:before="0" w:after="283"/>
              <w:ind w:left="0" w:right="0" w:hanging="0"/>
              <w:jc w:val="left"/>
            </w:pPr>
            <w:r>
              <w:t> </w:t>
            </w:r>
          </w:p>
        </w:tc>
        <w:tc>
          <w:tcPr>
            <w:tcW w:w="213" w:type="dxa"/>
            <w:tcBorders/>
            <w:shd w:fill="FFFFFF" w:val="clear"/>
            <w:vAlign w:val="center"/>
          </w:tcPr>
          <w:p>
            <w:pPr>
              <w:pStyle w:val="TableContents"/>
              <w:bidi w:val="0"/>
              <w:spacing w:before="0" w:after="283"/>
              <w:ind w:left="0" w:right="0" w:hanging="0"/>
              <w:jc w:val="left"/>
            </w:pPr>
            <w:r>
              <w:t> </w:t>
            </w:r>
          </w:p>
        </w:tc>
        <w:tc>
          <w:tcPr>
            <w:tcW w:w="14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806</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28" w:type="dxa"/>
            <w:tcBorders/>
            <w:shd w:fill="FFFFFF" w:val="clear"/>
            <w:vAlign w:val="center"/>
          </w:tcPr>
          <w:p>
            <w:pPr>
              <w:pStyle w:val="TableContents"/>
              <w:bidi w:val="0"/>
              <w:spacing w:before="0" w:after="283"/>
              <w:ind w:left="0" w:right="0" w:hanging="0"/>
              <w:jc w:val="left"/>
            </w:pPr>
            <w:r>
              <w:t> </w:t>
            </w:r>
          </w:p>
        </w:tc>
        <w:tc>
          <w:tcPr>
            <w:tcW w:w="13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806</w:t>
            </w:r>
          </w:p>
        </w:tc>
        <w:tc>
          <w:tcPr>
            <w:tcW w:w="80" w:type="dxa"/>
            <w:tcBorders/>
            <w:shd w:fill="FFFFFF" w:val="clear"/>
            <w:vAlign w:val="center"/>
          </w:tcPr>
          <w:p>
            <w:pPr>
              <w:pStyle w:val="TableContents"/>
              <w:bidi w:val="0"/>
              <w:spacing w:before="0" w:after="283"/>
              <w:jc w:val="left"/>
            </w:pPr>
            <w:r>
              <w:t> </w:t>
            </w:r>
          </w:p>
        </w:tc>
      </w:tr>
      <w:tr>
        <w:tc>
          <w:tcPr>
            <w:tcW w:w="33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Buildings and improvements</w:t>
            </w:r>
          </w:p>
        </w:tc>
        <w:tc>
          <w:tcPr>
            <w:tcW w:w="60" w:type="dxa"/>
            <w:tcBorders/>
            <w:shd w:fill="CCEEFF" w:val="clear"/>
            <w:vAlign w:val="center"/>
          </w:tcPr>
          <w:p>
            <w:pPr>
              <w:pStyle w:val="TableContents"/>
              <w:bidi w:val="0"/>
              <w:spacing w:before="0" w:after="283"/>
              <w:jc w:val="left"/>
            </w:pPr>
            <w:r>
              <w:t> </w:t>
            </w:r>
          </w:p>
        </w:tc>
        <w:tc>
          <w:tcPr>
            <w:tcW w:w="213" w:type="dxa"/>
            <w:tcBorders/>
            <w:shd w:fill="CCEEFF" w:val="clear"/>
            <w:vAlign w:val="center"/>
          </w:tcPr>
          <w:p>
            <w:pPr>
              <w:pStyle w:val="TableContents"/>
              <w:bidi w:val="0"/>
              <w:spacing w:before="0" w:after="283"/>
              <w:ind w:left="0" w:right="0" w:hanging="0"/>
              <w:jc w:val="left"/>
            </w:pPr>
            <w:r>
              <w:t> </w:t>
            </w:r>
          </w:p>
        </w:tc>
        <w:tc>
          <w:tcPr>
            <w:tcW w:w="14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252,333</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28" w:type="dxa"/>
            <w:tcBorders/>
            <w:shd w:fill="CCEEFF" w:val="clear"/>
            <w:vAlign w:val="center"/>
          </w:tcPr>
          <w:p>
            <w:pPr>
              <w:pStyle w:val="TableContents"/>
              <w:bidi w:val="0"/>
              <w:spacing w:before="0" w:after="283"/>
              <w:ind w:left="0" w:right="0" w:hanging="0"/>
              <w:jc w:val="left"/>
            </w:pPr>
            <w:r>
              <w:t> </w:t>
            </w:r>
          </w:p>
        </w:tc>
        <w:tc>
          <w:tcPr>
            <w:tcW w:w="13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138,163</w:t>
            </w:r>
          </w:p>
        </w:tc>
        <w:tc>
          <w:tcPr>
            <w:tcW w:w="80" w:type="dxa"/>
            <w:tcBorders/>
            <w:shd w:fill="CCEEFF" w:val="clear"/>
            <w:vAlign w:val="center"/>
          </w:tcPr>
          <w:p>
            <w:pPr>
              <w:pStyle w:val="TableContents"/>
              <w:bidi w:val="0"/>
              <w:spacing w:before="0" w:after="283"/>
              <w:jc w:val="left"/>
            </w:pPr>
            <w:r>
              <w:t> </w:t>
            </w:r>
          </w:p>
        </w:tc>
      </w:tr>
      <w:tr>
        <w:tc>
          <w:tcPr>
            <w:tcW w:w="33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Machinery and equipment</w:t>
            </w:r>
          </w:p>
        </w:tc>
        <w:tc>
          <w:tcPr>
            <w:tcW w:w="60" w:type="dxa"/>
            <w:tcBorders/>
            <w:shd w:fill="FFFFFF" w:val="clear"/>
            <w:vAlign w:val="center"/>
          </w:tcPr>
          <w:p>
            <w:pPr>
              <w:pStyle w:val="TableContents"/>
              <w:bidi w:val="0"/>
              <w:spacing w:before="0" w:after="283"/>
              <w:jc w:val="left"/>
            </w:pPr>
            <w:r>
              <w:t> </w:t>
            </w:r>
          </w:p>
        </w:tc>
        <w:tc>
          <w:tcPr>
            <w:tcW w:w="213" w:type="dxa"/>
            <w:tcBorders/>
            <w:shd w:fill="FFFFFF" w:val="clear"/>
            <w:vAlign w:val="center"/>
          </w:tcPr>
          <w:p>
            <w:pPr>
              <w:pStyle w:val="TableContents"/>
              <w:bidi w:val="0"/>
              <w:spacing w:before="0" w:after="283"/>
              <w:ind w:left="0" w:right="0" w:hanging="0"/>
              <w:jc w:val="left"/>
            </w:pPr>
            <w:r>
              <w:t> </w:t>
            </w:r>
          </w:p>
        </w:tc>
        <w:tc>
          <w:tcPr>
            <w:tcW w:w="14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776,011</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28" w:type="dxa"/>
            <w:tcBorders/>
            <w:shd w:fill="FFFFFF" w:val="clear"/>
            <w:vAlign w:val="center"/>
          </w:tcPr>
          <w:p>
            <w:pPr>
              <w:pStyle w:val="TableContents"/>
              <w:bidi w:val="0"/>
              <w:spacing w:before="0" w:after="283"/>
              <w:ind w:left="0" w:right="0" w:hanging="0"/>
              <w:jc w:val="left"/>
            </w:pPr>
            <w:r>
              <w:t> </w:t>
            </w:r>
          </w:p>
        </w:tc>
        <w:tc>
          <w:tcPr>
            <w:tcW w:w="13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404,145</w:t>
            </w:r>
          </w:p>
        </w:tc>
        <w:tc>
          <w:tcPr>
            <w:tcW w:w="80" w:type="dxa"/>
            <w:tcBorders/>
            <w:shd w:fill="FFFFFF" w:val="clear"/>
            <w:vAlign w:val="center"/>
          </w:tcPr>
          <w:p>
            <w:pPr>
              <w:pStyle w:val="TableContents"/>
              <w:bidi w:val="0"/>
              <w:spacing w:before="0" w:after="283"/>
              <w:jc w:val="left"/>
            </w:pPr>
            <w:r>
              <w:t> </w:t>
            </w:r>
          </w:p>
        </w:tc>
      </w:tr>
      <w:tr>
        <w:tc>
          <w:tcPr>
            <w:tcW w:w="33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Furniture and fixtures</w:t>
            </w:r>
          </w:p>
        </w:tc>
        <w:tc>
          <w:tcPr>
            <w:tcW w:w="60" w:type="dxa"/>
            <w:tcBorders/>
            <w:shd w:fill="CCEEFF" w:val="clear"/>
            <w:vAlign w:val="center"/>
          </w:tcPr>
          <w:p>
            <w:pPr>
              <w:pStyle w:val="TableContents"/>
              <w:bidi w:val="0"/>
              <w:spacing w:before="0" w:after="283"/>
              <w:jc w:val="left"/>
            </w:pPr>
            <w:r>
              <w:t> </w:t>
            </w:r>
          </w:p>
        </w:tc>
        <w:tc>
          <w:tcPr>
            <w:tcW w:w="213" w:type="dxa"/>
            <w:tcBorders/>
            <w:shd w:fill="CCEEFF" w:val="clear"/>
            <w:vAlign w:val="center"/>
          </w:tcPr>
          <w:p>
            <w:pPr>
              <w:pStyle w:val="TableContents"/>
              <w:bidi w:val="0"/>
              <w:spacing w:before="0" w:after="283"/>
              <w:ind w:left="0" w:right="0" w:hanging="0"/>
              <w:jc w:val="left"/>
            </w:pPr>
            <w:r>
              <w:t> </w:t>
            </w:r>
          </w:p>
        </w:tc>
        <w:tc>
          <w:tcPr>
            <w:tcW w:w="14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10,360</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28" w:type="dxa"/>
            <w:tcBorders/>
            <w:shd w:fill="CCEEFF" w:val="clear"/>
            <w:vAlign w:val="center"/>
          </w:tcPr>
          <w:p>
            <w:pPr>
              <w:pStyle w:val="TableContents"/>
              <w:bidi w:val="0"/>
              <w:spacing w:before="0" w:after="283"/>
              <w:ind w:left="0" w:right="0" w:hanging="0"/>
              <w:jc w:val="left"/>
            </w:pPr>
            <w:r>
              <w:t> </w:t>
            </w:r>
          </w:p>
        </w:tc>
        <w:tc>
          <w:tcPr>
            <w:tcW w:w="13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6,974</w:t>
            </w:r>
          </w:p>
        </w:tc>
        <w:tc>
          <w:tcPr>
            <w:tcW w:w="80" w:type="dxa"/>
            <w:tcBorders/>
            <w:shd w:fill="CCEEFF" w:val="clear"/>
            <w:vAlign w:val="center"/>
          </w:tcPr>
          <w:p>
            <w:pPr>
              <w:pStyle w:val="TableContents"/>
              <w:bidi w:val="0"/>
              <w:spacing w:before="0" w:after="283"/>
              <w:jc w:val="left"/>
            </w:pPr>
            <w:r>
              <w:t> </w:t>
            </w:r>
          </w:p>
        </w:tc>
      </w:tr>
      <w:tr>
        <w:tc>
          <w:tcPr>
            <w:tcW w:w="33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Computer equipment and software</w:t>
            </w:r>
          </w:p>
        </w:tc>
        <w:tc>
          <w:tcPr>
            <w:tcW w:w="60" w:type="dxa"/>
            <w:tcBorders/>
            <w:shd w:fill="FFFFFF" w:val="clear"/>
            <w:vAlign w:val="center"/>
          </w:tcPr>
          <w:p>
            <w:pPr>
              <w:pStyle w:val="TableContents"/>
              <w:bidi w:val="0"/>
              <w:spacing w:before="0" w:after="283"/>
              <w:jc w:val="left"/>
            </w:pPr>
            <w:r>
              <w:t> </w:t>
            </w:r>
          </w:p>
        </w:tc>
        <w:tc>
          <w:tcPr>
            <w:tcW w:w="213" w:type="dxa"/>
            <w:tcBorders/>
            <w:shd w:fill="FFFFFF" w:val="clear"/>
            <w:vAlign w:val="center"/>
          </w:tcPr>
          <w:p>
            <w:pPr>
              <w:pStyle w:val="TableContents"/>
              <w:bidi w:val="0"/>
              <w:spacing w:before="0" w:after="283"/>
              <w:ind w:left="0" w:right="0" w:hanging="0"/>
              <w:jc w:val="left"/>
            </w:pPr>
            <w:r>
              <w:t> </w:t>
            </w:r>
          </w:p>
        </w:tc>
        <w:tc>
          <w:tcPr>
            <w:tcW w:w="14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21,870</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28" w:type="dxa"/>
            <w:tcBorders/>
            <w:shd w:fill="FFFFFF" w:val="clear"/>
            <w:vAlign w:val="center"/>
          </w:tcPr>
          <w:p>
            <w:pPr>
              <w:pStyle w:val="TableContents"/>
              <w:bidi w:val="0"/>
              <w:spacing w:before="0" w:after="283"/>
              <w:ind w:left="0" w:right="0" w:hanging="0"/>
              <w:jc w:val="left"/>
            </w:pPr>
            <w:r>
              <w:t> </w:t>
            </w:r>
          </w:p>
        </w:tc>
        <w:tc>
          <w:tcPr>
            <w:tcW w:w="13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17,180</w:t>
            </w:r>
          </w:p>
        </w:tc>
        <w:tc>
          <w:tcPr>
            <w:tcW w:w="80" w:type="dxa"/>
            <w:tcBorders/>
            <w:shd w:fill="FFFFFF" w:val="clear"/>
            <w:vAlign w:val="center"/>
          </w:tcPr>
          <w:p>
            <w:pPr>
              <w:pStyle w:val="TableContents"/>
              <w:bidi w:val="0"/>
              <w:spacing w:before="0" w:after="283"/>
              <w:jc w:val="left"/>
            </w:pPr>
            <w:r>
              <w:t> </w:t>
            </w:r>
          </w:p>
        </w:tc>
      </w:tr>
      <w:tr>
        <w:tc>
          <w:tcPr>
            <w:tcW w:w="33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Transportation equipment</w:t>
            </w:r>
          </w:p>
        </w:tc>
        <w:tc>
          <w:tcPr>
            <w:tcW w:w="60" w:type="dxa"/>
            <w:tcBorders/>
            <w:shd w:fill="CCEEFF" w:val="clear"/>
            <w:vAlign w:val="center"/>
          </w:tcPr>
          <w:p>
            <w:pPr>
              <w:pStyle w:val="TableContents"/>
              <w:bidi w:val="0"/>
              <w:spacing w:before="0" w:after="283"/>
              <w:jc w:val="left"/>
            </w:pPr>
            <w:r>
              <w:t> </w:t>
            </w:r>
          </w:p>
        </w:tc>
        <w:tc>
          <w:tcPr>
            <w:tcW w:w="21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4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1,213</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3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786</w:t>
            </w:r>
          </w:p>
        </w:tc>
        <w:tc>
          <w:tcPr>
            <w:tcW w:w="80" w:type="dxa"/>
            <w:tcBorders/>
            <w:shd w:fill="CCEEFF" w:val="clear"/>
            <w:vAlign w:val="center"/>
          </w:tcPr>
          <w:p>
            <w:pPr>
              <w:pStyle w:val="TableContents"/>
              <w:bidi w:val="0"/>
              <w:spacing w:before="0" w:after="283"/>
              <w:jc w:val="left"/>
            </w:pPr>
            <w:r>
              <w:t> </w:t>
            </w:r>
          </w:p>
        </w:tc>
      </w:tr>
      <w:tr>
        <w:tc>
          <w:tcPr>
            <w:tcW w:w="330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13" w:type="dxa"/>
            <w:tcBorders/>
            <w:shd w:fill="FFFFFF" w:val="clear"/>
            <w:vAlign w:val="center"/>
          </w:tcPr>
          <w:p>
            <w:pPr>
              <w:pStyle w:val="TableContents"/>
              <w:bidi w:val="0"/>
              <w:spacing w:before="0" w:after="283"/>
              <w:ind w:left="0" w:right="0" w:hanging="0"/>
              <w:jc w:val="left"/>
            </w:pPr>
            <w:r>
              <w:t> </w:t>
            </w:r>
          </w:p>
        </w:tc>
        <w:tc>
          <w:tcPr>
            <w:tcW w:w="14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1,074,877</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28" w:type="dxa"/>
            <w:tcBorders/>
            <w:shd w:fill="FFFFFF" w:val="clear"/>
            <w:vAlign w:val="center"/>
          </w:tcPr>
          <w:p>
            <w:pPr>
              <w:pStyle w:val="TableContents"/>
              <w:bidi w:val="0"/>
              <w:spacing w:before="0" w:after="283"/>
              <w:ind w:left="0" w:right="0" w:hanging="0"/>
              <w:jc w:val="left"/>
            </w:pPr>
            <w:r>
              <w:t> </w:t>
            </w:r>
          </w:p>
        </w:tc>
        <w:tc>
          <w:tcPr>
            <w:tcW w:w="13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569,155</w:t>
            </w:r>
          </w:p>
        </w:tc>
        <w:tc>
          <w:tcPr>
            <w:tcW w:w="80" w:type="dxa"/>
            <w:tcBorders/>
            <w:shd w:fill="FFFFFF" w:val="clear"/>
            <w:vAlign w:val="center"/>
          </w:tcPr>
          <w:p>
            <w:pPr>
              <w:pStyle w:val="TableContents"/>
              <w:bidi w:val="0"/>
              <w:spacing w:before="0" w:after="283"/>
              <w:jc w:val="left"/>
            </w:pPr>
            <w:r>
              <w:t> </w:t>
            </w:r>
          </w:p>
        </w:tc>
      </w:tr>
      <w:tr>
        <w:tc>
          <w:tcPr>
            <w:tcW w:w="33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accumulated depreciation</w:t>
            </w:r>
          </w:p>
        </w:tc>
        <w:tc>
          <w:tcPr>
            <w:tcW w:w="60" w:type="dxa"/>
            <w:tcBorders/>
            <w:shd w:fill="CCEEFF" w:val="clear"/>
            <w:vAlign w:val="center"/>
          </w:tcPr>
          <w:p>
            <w:pPr>
              <w:pStyle w:val="TableContents"/>
              <w:bidi w:val="0"/>
              <w:spacing w:before="0" w:after="283"/>
              <w:jc w:val="left"/>
            </w:pPr>
            <w:r>
              <w:t> </w:t>
            </w:r>
          </w:p>
        </w:tc>
        <w:tc>
          <w:tcPr>
            <w:tcW w:w="21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4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(265,622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2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3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(232,913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330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13" w:type="dxa"/>
            <w:tcBorders/>
            <w:shd w:fill="FFFFFF" w:val="clear"/>
            <w:vAlign w:val="center"/>
          </w:tcPr>
          <w:p>
            <w:pPr>
              <w:pStyle w:val="TableContents"/>
              <w:bidi w:val="0"/>
              <w:spacing w:before="0" w:after="283"/>
              <w:ind w:left="0" w:right="0" w:hanging="0"/>
              <w:jc w:val="left"/>
            </w:pPr>
            <w:r>
              <w:t> </w:t>
            </w:r>
          </w:p>
        </w:tc>
        <w:tc>
          <w:tcPr>
            <w:tcW w:w="14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809,255</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28" w:type="dxa"/>
            <w:tcBorders/>
            <w:shd w:fill="FFFFFF" w:val="clear"/>
            <w:vAlign w:val="center"/>
          </w:tcPr>
          <w:p>
            <w:pPr>
              <w:pStyle w:val="TableContents"/>
              <w:bidi w:val="0"/>
              <w:spacing w:before="0" w:after="283"/>
              <w:ind w:left="0" w:right="0" w:hanging="0"/>
              <w:jc w:val="left"/>
            </w:pPr>
            <w:r>
              <w:t> </w:t>
            </w:r>
          </w:p>
        </w:tc>
        <w:tc>
          <w:tcPr>
            <w:tcW w:w="13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336,242</w:t>
            </w:r>
          </w:p>
        </w:tc>
        <w:tc>
          <w:tcPr>
            <w:tcW w:w="80" w:type="dxa"/>
            <w:tcBorders/>
            <w:shd w:fill="FFFFFF" w:val="clear"/>
            <w:vAlign w:val="center"/>
          </w:tcPr>
          <w:p>
            <w:pPr>
              <w:pStyle w:val="TableContents"/>
              <w:bidi w:val="0"/>
              <w:spacing w:before="0" w:after="283"/>
              <w:jc w:val="left"/>
            </w:pPr>
            <w:r>
              <w:t> </w:t>
            </w:r>
          </w:p>
        </w:tc>
      </w:tr>
      <w:tr>
        <w:tc>
          <w:tcPr>
            <w:tcW w:w="33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Construction in progress</w:t>
            </w:r>
          </w:p>
        </w:tc>
        <w:tc>
          <w:tcPr>
            <w:tcW w:w="60" w:type="dxa"/>
            <w:tcBorders/>
            <w:shd w:fill="CCEEFF" w:val="clear"/>
            <w:vAlign w:val="center"/>
          </w:tcPr>
          <w:p>
            <w:pPr>
              <w:pStyle w:val="TableContents"/>
              <w:bidi w:val="0"/>
              <w:spacing w:before="0" w:after="283"/>
              <w:jc w:val="left"/>
            </w:pPr>
            <w:r>
              <w:t> </w:t>
            </w:r>
          </w:p>
        </w:tc>
        <w:tc>
          <w:tcPr>
            <w:tcW w:w="21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4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234,738</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3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39,808</w:t>
            </w:r>
          </w:p>
        </w:tc>
        <w:tc>
          <w:tcPr>
            <w:tcW w:w="80" w:type="dxa"/>
            <w:tcBorders/>
            <w:shd w:fill="CCEEFF" w:val="clear"/>
            <w:vAlign w:val="center"/>
          </w:tcPr>
          <w:p>
            <w:pPr>
              <w:pStyle w:val="TableContents"/>
              <w:bidi w:val="0"/>
              <w:spacing w:before="0" w:after="283"/>
              <w:jc w:val="left"/>
            </w:pPr>
            <w:r>
              <w:t> </w:t>
            </w:r>
          </w:p>
        </w:tc>
      </w:tr>
      <w:tr>
        <w:tc>
          <w:tcPr>
            <w:tcW w:w="33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property, plant and equipment, net</w:t>
            </w:r>
          </w:p>
        </w:tc>
        <w:tc>
          <w:tcPr>
            <w:tcW w:w="60" w:type="dxa"/>
            <w:tcBorders/>
            <w:shd w:fill="FFFFFF" w:val="clear"/>
            <w:vAlign w:val="center"/>
          </w:tcPr>
          <w:p>
            <w:pPr>
              <w:pStyle w:val="TableContents"/>
              <w:bidi w:val="0"/>
              <w:spacing w:before="0" w:after="283"/>
              <w:ind w:left="0" w:right="0" w:hanging="0"/>
              <w:jc w:val="left"/>
            </w:pPr>
            <w:r>
              <w:t> </w:t>
            </w:r>
          </w:p>
        </w:tc>
        <w:tc>
          <w:tcPr>
            <w:tcW w:w="21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4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1,043,993</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2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8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376,050</w:t>
            </w:r>
          </w:p>
        </w:tc>
        <w:tc>
          <w:tcPr>
            <w:tcW w:w="80" w:type="dxa"/>
            <w:tcBorders/>
            <w:shd w:fill="FFFFFF" w:val="clear"/>
            <w:vAlign w:val="center"/>
          </w:tcPr>
          <w:p>
            <w:pPr>
              <w:pStyle w:val="TableContents"/>
              <w:bidi w:val="0"/>
              <w:spacing w:before="0" w:after="283"/>
              <w:jc w:val="left"/>
            </w:pPr>
            <w:r>
              <w:t> </w:t>
            </w:r>
          </w:p>
        </w:tc>
      </w:tr>
    </w:tbl>
    <w:p>
      <w:pPr>
        <w:pStyle w:val="TextBody"/>
        <w:bidi w:val="0"/>
        <w:spacing w:before="0" w:after="0"/>
        <w:ind w:left="0" w:right="0" w:firstLine="720"/>
        <w:jc w:val="left"/>
      </w:pPr>
      <w: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Capital Equipment Prepayments</w:t>
      </w:r>
    </w:p>
    <w:p>
      <w:pPr>
        <w:pStyle w:val="TextBody"/>
        <w:bidi w:val="0"/>
        <w:spacing w:before="0" w:after="0"/>
        <w:ind w:left="0" w:right="0" w:firstLine="720"/>
        <w:jc w:val="left"/>
      </w:pPr>
      <w:r>
        <w:t> </w:t>
      </w:r>
    </w:p>
    <w:p>
      <w:pPr>
        <w:pStyle w:val="TextBody"/>
        <w:bidi w:val="0"/>
        <w:spacing w:before="0" w:after="0"/>
        <w:ind w:left="0" w:right="0" w:firstLine="720"/>
        <w:jc w:val="left"/>
      </w:pPr>
      <w:r>
        <w:rPr>
          <w:rFonts w:ascii="Times New Roman;Times;serif" w:hAnsi="Times New Roman;Times;serif"/>
          <w:sz w:val="20"/>
        </w:rPr>
        <w:t xml:space="preserve">Other assets, net primarily consist of long-term prepayments made in connection with the Company's capital expansion projects. As of </w:t>
      </w:r>
      <w:r>
        <w:rPr>
          <w:rStyle w:val="Emphasis"/>
          <w:rFonts w:ascii="Times New Roman;Times;serif" w:hAnsi="Times New Roman;Times;serif"/>
          <w:sz w:val="20"/>
        </w:rPr>
        <w:t>September 30, 2026</w:t>
      </w:r>
      <w:r>
        <w:rPr>
          <w:rFonts w:ascii="Times New Roman;Times;serif" w:hAnsi="Times New Roman;Times;serif"/>
          <w:sz w:val="20"/>
        </w:rPr>
        <w:t xml:space="preserve">, other assets, net was $465.7 million, compared to $50.9 million as of </w:t>
      </w:r>
      <w:r>
        <w:rPr>
          <w:rStyle w:val="Emphasis"/>
          <w:rFonts w:ascii="Times New Roman;Times;serif" w:hAnsi="Times New Roman;Times;serif"/>
          <w:sz w:val="20"/>
        </w:rPr>
        <w:t>December 31, 2025</w:t>
      </w:r>
      <w:r>
        <w:rPr>
          <w:rFonts w:ascii="Times New Roman;Times;serif" w:hAnsi="Times New Roman;Times;serif"/>
          <w:sz w:val="20"/>
        </w:rPr>
        <w:t>. The increase was primarily attributable to advance payments for equipment and facility related capital expenditures associated with the Company's manufacturing expansion initiatives. These amounts are expected to be reclassified to property, plant and equipment as the related assets are received and placed into service.</w:t>
      </w:r>
    </w:p>
    <w:p>
      <w:pPr>
        <w:pStyle w:val="TextBody"/>
        <w:bidi w:val="0"/>
        <w:spacing w:before="0" w:after="0"/>
        <w:ind w:left="0" w:right="0" w:firstLine="720"/>
        <w:jc w:val="left"/>
      </w:pPr>
      <w:r>
        <w:t> </w:t>
      </w:r>
    </w:p>
    <w:p>
      <w:pPr>
        <w:pStyle w:val="TextBody"/>
        <w:bidi w:val="0"/>
        <w:spacing w:before="0" w:after="0"/>
        <w:ind w:left="0" w:right="0" w:firstLine="720"/>
        <w:jc w:val="left"/>
      </w:pPr>
      <w:r>
        <w:rPr>
          <w:rFonts w:ascii="Times New Roman;Times;serif" w:hAnsi="Times New Roman;Times;serif"/>
          <w:sz w:val="20"/>
        </w:rPr>
        <w:t xml:space="preserve">For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 xml:space="preserve">September 30, 2026 </w:t>
      </w:r>
      <w:r>
        <w:rPr>
          <w:rFonts w:ascii="Times New Roman;Times;serif" w:hAnsi="Times New Roman;Times;serif"/>
          <w:sz w:val="20"/>
        </w:rPr>
        <w:t xml:space="preserve">and </w:t>
      </w:r>
      <w:r>
        <w:rPr>
          <w:rStyle w:val="Emphasis"/>
          <w:rFonts w:ascii="Times New Roman;Times;serif" w:hAnsi="Times New Roman;Times;serif"/>
          <w:sz w:val="20"/>
        </w:rPr>
        <w:t>2025</w:t>
      </w:r>
      <w:r>
        <w:rPr>
          <w:rFonts w:ascii="Times New Roman;Times;serif" w:hAnsi="Times New Roman;Times;serif"/>
          <w:sz w:val="20"/>
        </w:rPr>
        <w:t xml:space="preserve">, the depreciation expense of property, plant and equipment was $14.6 million and $7.3 million, respectively. For the </w:t>
      </w:r>
      <w:r>
        <w:rPr>
          <w:rStyle w:val="Emphasis"/>
          <w:rFonts w:ascii="Times New Roman;Times;serif" w:hAnsi="Times New Roman;Times;serif"/>
          <w:sz w:val="20"/>
        </w:rPr>
        <w:t>nine</w:t>
      </w:r>
      <w:r>
        <w:rPr>
          <w:rFonts w:ascii="Times New Roman;Times;serif" w:hAnsi="Times New Roman;Times;serif"/>
          <w:sz w:val="20"/>
        </w:rPr>
        <w:t xml:space="preserve"> months ended </w:t>
      </w:r>
      <w:r>
        <w:rPr>
          <w:rStyle w:val="Emphasis"/>
          <w:rFonts w:ascii="Times New Roman;Times;serif" w:hAnsi="Times New Roman;Times;serif"/>
          <w:sz w:val="20"/>
        </w:rPr>
        <w:t xml:space="preserve">September 30, 2026 </w:t>
      </w:r>
      <w:r>
        <w:rPr>
          <w:rFonts w:ascii="Times New Roman;Times;serif" w:hAnsi="Times New Roman;Times;serif"/>
          <w:sz w:val="20"/>
        </w:rPr>
        <w:t xml:space="preserve">and </w:t>
      </w:r>
      <w:r>
        <w:rPr>
          <w:rStyle w:val="Emphasis"/>
          <w:rFonts w:ascii="Times New Roman;Times;serif" w:hAnsi="Times New Roman;Times;serif"/>
          <w:sz w:val="20"/>
        </w:rPr>
        <w:t>2025</w:t>
      </w:r>
      <w:r>
        <w:rPr>
          <w:rFonts w:ascii="Times New Roman;Times;serif" w:hAnsi="Times New Roman;Times;serif"/>
          <w:sz w:val="20"/>
        </w:rPr>
        <w:t>, the depreciation expense of property, plant and equipment was $34.1 million and $19.2 million, respectively.</w:t>
      </w:r>
    </w:p>
    <w:p>
      <w:pPr>
        <w:pStyle w:val="TextBody"/>
        <w:bidi w:val="0"/>
        <w:spacing w:before="0" w:after="0"/>
        <w:ind w:left="0" w:right="0" w:firstLine="720"/>
        <w:jc w:val="left"/>
      </w:pPr>
      <w:r>
        <w:t> </w:t>
      </w:r>
    </w:p>
    <w:p>
      <w:pPr>
        <w:pStyle w:val="TextBody"/>
        <w:bidi w:val="0"/>
        <w:spacing w:before="0" w:after="283"/>
        <w:jc w:val="left"/>
      </w:pPr>
      <w:r>
        <w:t xml:space="preserve">  </w:t>
      </w:r>
    </w:p>
    <w:p>
      <w:pPr>
        <w:pStyle w:val="TextBody"/>
        <w:bidi w:val="0"/>
        <w:spacing w:before="0" w:after="0"/>
        <w:ind w:left="0" w:right="0" w:hanging="0"/>
        <w:jc w:val="left"/>
      </w:pPr>
      <w:r>
        <w:rPr>
          <w:rFonts w:ascii="Times New Roman;Times;serif" w:hAnsi="Times New Roman;Times;serif"/>
          <w:b/>
          <w:sz w:val="20"/>
        </w:rPr>
        <w:t xml:space="preserve">Note </w:t>
      </w:r>
      <w:r>
        <w:rPr>
          <w:rStyle w:val="Emphasis"/>
          <w:rFonts w:ascii="Times New Roman;Times;serif" w:hAnsi="Times New Roman;Times;serif"/>
          <w:b/>
          <w:sz w:val="20"/>
        </w:rPr>
        <w:t>9.</w:t>
      </w:r>
      <w:r>
        <w:rPr>
          <w:rFonts w:ascii="Times New Roman;Times;serif" w:hAnsi="Times New Roman;Times;serif"/>
          <w:b/>
          <w:sz w:val="20"/>
        </w:rPr>
        <w:t>  Intangible Assets, net</w:t>
      </w:r>
    </w:p>
    <w:p>
      <w:pPr>
        <w:pStyle w:val="TextBody"/>
        <w:bidi w:val="0"/>
        <w:spacing w:before="0" w:after="0"/>
        <w:ind w:left="0" w:right="0" w:hanging="0"/>
        <w:jc w:val="left"/>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Intangible assets consisted of the following for the periods indicated (in thousands):</w:t>
      </w:r>
    </w:p>
    <w:p>
      <w:pPr>
        <w:pStyle w:val="TextBody"/>
        <w:bidi w:val="0"/>
        <w:spacing w:before="0" w:after="0"/>
        <w:ind w:left="0" w:right="0" w:firstLine="720"/>
        <w:jc w:val="left"/>
      </w:pPr>
      <w:r>
        <w:t>​</w:t>
      </w:r>
    </w:p>
    <w:tbl>
      <w:tblPr>
        <w:tblW w:w="4950" w:type="dxa"/>
        <w:jc w:val="left"/>
        <w:tblInd w:w="0" w:type="dxa"/>
        <w:tblLayout w:type="fixed"/>
        <w:tblCellMar>
          <w:top w:w="0" w:type="dxa"/>
          <w:left w:w="0" w:type="dxa"/>
          <w:bottom w:w="0" w:type="dxa"/>
          <w:right w:w="0" w:type="dxa"/>
        </w:tblCellMar>
      </w:tblPr>
      <w:tblGrid>
        <w:gridCol w:w="1850"/>
        <w:gridCol w:w="60"/>
        <w:gridCol w:w="125"/>
        <w:gridCol w:w="590"/>
        <w:gridCol w:w="60"/>
        <w:gridCol w:w="60"/>
        <w:gridCol w:w="208"/>
        <w:gridCol w:w="907"/>
        <w:gridCol w:w="80"/>
        <w:gridCol w:w="60"/>
        <w:gridCol w:w="182"/>
        <w:gridCol w:w="708"/>
        <w:gridCol w:w="60"/>
      </w:tblGrid>
      <w:tr>
        <w:tc>
          <w:tcPr>
            <w:tcW w:w="185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980"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September 30, 2026</w:t>
            </w:r>
          </w:p>
        </w:tc>
        <w:tc>
          <w:tcPr>
            <w:tcW w:w="60" w:type="dxa"/>
            <w:tcBorders/>
            <w:shd w:fill="FFFFFF" w:val="clear"/>
            <w:vAlign w:val="center"/>
          </w:tcPr>
          <w:p>
            <w:pPr>
              <w:pStyle w:val="TableContents"/>
              <w:bidi w:val="0"/>
              <w:spacing w:before="0" w:after="283"/>
              <w:jc w:val="left"/>
            </w:pPr>
            <w:r>
              <w:t> </w:t>
            </w:r>
          </w:p>
        </w:tc>
      </w:tr>
      <w:tr>
        <w:tc>
          <w:tcPr>
            <w:tcW w:w="185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15"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Gross</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15"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Accumulated</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890"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Intangible</w:t>
            </w:r>
          </w:p>
        </w:tc>
        <w:tc>
          <w:tcPr>
            <w:tcW w:w="60" w:type="dxa"/>
            <w:tcBorders/>
            <w:shd w:fill="FFFFFF" w:val="clear"/>
            <w:vAlign w:val="center"/>
          </w:tcPr>
          <w:p>
            <w:pPr>
              <w:pStyle w:val="TableContents"/>
              <w:bidi w:val="0"/>
              <w:spacing w:before="0" w:after="283"/>
              <w:jc w:val="left"/>
            </w:pPr>
            <w:r>
              <w:t> </w:t>
            </w:r>
          </w:p>
        </w:tc>
      </w:tr>
      <w:tr>
        <w:tc>
          <w:tcPr>
            <w:tcW w:w="185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amortization</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89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assets, net</w:t>
            </w:r>
          </w:p>
        </w:tc>
        <w:tc>
          <w:tcPr>
            <w:tcW w:w="60" w:type="dxa"/>
            <w:tcBorders/>
            <w:shd w:fill="FFFFFF" w:val="clear"/>
            <w:vAlign w:val="center"/>
          </w:tcPr>
          <w:p>
            <w:pPr>
              <w:pStyle w:val="TableContents"/>
              <w:bidi w:val="0"/>
              <w:spacing w:before="0" w:after="283"/>
              <w:jc w:val="left"/>
            </w:pPr>
            <w:r>
              <w:t> </w:t>
            </w:r>
          </w:p>
        </w:tc>
      </w:tr>
      <w:tr>
        <w:tc>
          <w:tcPr>
            <w:tcW w:w="18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Patents</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10,686</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20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(7,134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pPr>
            <w:r>
              <w:t> </w:t>
            </w:r>
          </w:p>
        </w:tc>
        <w:tc>
          <w:tcPr>
            <w:tcW w:w="18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3,552</w:t>
            </w:r>
          </w:p>
        </w:tc>
        <w:tc>
          <w:tcPr>
            <w:tcW w:w="60" w:type="dxa"/>
            <w:tcBorders/>
            <w:shd w:fill="CCEEFF" w:val="clear"/>
            <w:vAlign w:val="center"/>
          </w:tcPr>
          <w:p>
            <w:pPr>
              <w:pStyle w:val="TableContents"/>
              <w:bidi w:val="0"/>
              <w:spacing w:before="0" w:after="283"/>
              <w:jc w:val="left"/>
            </w:pPr>
            <w:r>
              <w:t> </w:t>
            </w:r>
          </w:p>
        </w:tc>
      </w:tr>
      <w:tr>
        <w:tc>
          <w:tcPr>
            <w:tcW w:w="18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Trademarks</w:t>
            </w:r>
          </w:p>
        </w:tc>
        <w:tc>
          <w:tcPr>
            <w:tcW w:w="60" w:type="dxa"/>
            <w:tcBorders/>
            <w:shd w:fill="FFFFFF" w:val="clear"/>
            <w:vAlign w:val="center"/>
          </w:tcPr>
          <w:p>
            <w:pPr>
              <w:pStyle w:val="TableContents"/>
              <w:bidi w:val="0"/>
              <w:spacing w:before="0" w:after="283"/>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9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7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w:t>
            </w:r>
          </w:p>
        </w:tc>
        <w:tc>
          <w:tcPr>
            <w:tcW w:w="60" w:type="dxa"/>
            <w:tcBorders/>
            <w:shd w:fill="FFFFFF" w:val="clear"/>
            <w:vAlign w:val="center"/>
          </w:tcPr>
          <w:p>
            <w:pPr>
              <w:pStyle w:val="TableContents"/>
              <w:bidi w:val="0"/>
              <w:spacing w:before="0" w:after="283"/>
              <w:jc w:val="left"/>
            </w:pPr>
            <w:r>
              <w:t> </w:t>
            </w:r>
          </w:p>
        </w:tc>
      </w:tr>
      <w:tr>
        <w:tc>
          <w:tcPr>
            <w:tcW w:w="18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intangible assets</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10,938</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20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(7,246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pPr>
            <w:r>
              <w:t> </w:t>
            </w:r>
          </w:p>
        </w:tc>
        <w:tc>
          <w:tcPr>
            <w:tcW w:w="18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3,692</w:t>
            </w:r>
          </w:p>
        </w:tc>
        <w:tc>
          <w:tcPr>
            <w:tcW w:w="60" w:type="dxa"/>
            <w:tcBorders/>
            <w:shd w:fill="CCEEFF" w:val="clear"/>
            <w:vAlign w:val="center"/>
          </w:tcPr>
          <w:p>
            <w:pPr>
              <w:pStyle w:val="TableContents"/>
              <w:bidi w:val="0"/>
              <w:spacing w:before="0" w:after="283"/>
              <w:jc w:val="left"/>
            </w:pPr>
            <w:r>
              <w:t> </w:t>
            </w:r>
          </w:p>
        </w:tc>
      </w:tr>
    </w:tbl>
    <w:p>
      <w:pPr>
        <w:pStyle w:val="TextBody"/>
        <w:bidi w:val="0"/>
        <w:spacing w:before="0" w:after="0"/>
        <w:ind w:left="0" w:right="0" w:firstLine="720"/>
        <w:jc w:val="left"/>
      </w:pPr>
      <w:r>
        <w:t> </w:t>
      </w:r>
    </w:p>
    <w:tbl>
      <w:tblPr>
        <w:tblW w:w="4950" w:type="dxa"/>
        <w:jc w:val="left"/>
        <w:tblInd w:w="0" w:type="dxa"/>
        <w:tblLayout w:type="fixed"/>
        <w:tblCellMar>
          <w:top w:w="0" w:type="dxa"/>
          <w:left w:w="0" w:type="dxa"/>
          <w:bottom w:w="0" w:type="dxa"/>
          <w:right w:w="0" w:type="dxa"/>
        </w:tblCellMar>
      </w:tblPr>
      <w:tblGrid>
        <w:gridCol w:w="1850"/>
        <w:gridCol w:w="60"/>
        <w:gridCol w:w="125"/>
        <w:gridCol w:w="590"/>
        <w:gridCol w:w="60"/>
        <w:gridCol w:w="60"/>
        <w:gridCol w:w="208"/>
        <w:gridCol w:w="907"/>
        <w:gridCol w:w="80"/>
        <w:gridCol w:w="60"/>
        <w:gridCol w:w="182"/>
        <w:gridCol w:w="708"/>
        <w:gridCol w:w="60"/>
      </w:tblGrid>
      <w:tr>
        <w:tc>
          <w:tcPr>
            <w:tcW w:w="185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980"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December 31, 2025</w:t>
            </w:r>
          </w:p>
        </w:tc>
        <w:tc>
          <w:tcPr>
            <w:tcW w:w="60" w:type="dxa"/>
            <w:tcBorders/>
            <w:shd w:fill="FFFFFF" w:val="clear"/>
            <w:vAlign w:val="center"/>
          </w:tcPr>
          <w:p>
            <w:pPr>
              <w:pStyle w:val="TableContents"/>
              <w:bidi w:val="0"/>
              <w:spacing w:before="0" w:after="283"/>
              <w:jc w:val="left"/>
            </w:pPr>
            <w:r>
              <w:t> </w:t>
            </w:r>
          </w:p>
        </w:tc>
      </w:tr>
      <w:tr>
        <w:tc>
          <w:tcPr>
            <w:tcW w:w="185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15"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Gross</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15"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Accumulated</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890"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Intangible</w:t>
            </w:r>
          </w:p>
        </w:tc>
        <w:tc>
          <w:tcPr>
            <w:tcW w:w="60" w:type="dxa"/>
            <w:tcBorders/>
            <w:shd w:fill="FFFFFF" w:val="clear"/>
            <w:vAlign w:val="center"/>
          </w:tcPr>
          <w:p>
            <w:pPr>
              <w:pStyle w:val="TableContents"/>
              <w:bidi w:val="0"/>
              <w:spacing w:before="0" w:after="283"/>
              <w:jc w:val="left"/>
            </w:pPr>
            <w:r>
              <w:t> </w:t>
            </w:r>
          </w:p>
        </w:tc>
      </w:tr>
      <w:tr>
        <w:tc>
          <w:tcPr>
            <w:tcW w:w="185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amortization</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89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assets, net</w:t>
            </w:r>
          </w:p>
        </w:tc>
        <w:tc>
          <w:tcPr>
            <w:tcW w:w="60" w:type="dxa"/>
            <w:tcBorders/>
            <w:shd w:fill="FFFFFF" w:val="clear"/>
            <w:vAlign w:val="center"/>
          </w:tcPr>
          <w:p>
            <w:pPr>
              <w:pStyle w:val="TableContents"/>
              <w:bidi w:val="0"/>
              <w:spacing w:before="0" w:after="283"/>
              <w:jc w:val="left"/>
            </w:pPr>
            <w:r>
              <w:t> </w:t>
            </w:r>
          </w:p>
        </w:tc>
      </w:tr>
      <w:tr>
        <w:tc>
          <w:tcPr>
            <w:tcW w:w="18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Patents</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10,263</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20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(6,797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pPr>
            <w:r>
              <w:t> </w:t>
            </w:r>
          </w:p>
        </w:tc>
        <w:tc>
          <w:tcPr>
            <w:tcW w:w="18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3,466</w:t>
            </w:r>
          </w:p>
        </w:tc>
        <w:tc>
          <w:tcPr>
            <w:tcW w:w="60" w:type="dxa"/>
            <w:tcBorders/>
            <w:shd w:fill="CCEEFF" w:val="clear"/>
            <w:vAlign w:val="center"/>
          </w:tcPr>
          <w:p>
            <w:pPr>
              <w:pStyle w:val="TableContents"/>
              <w:bidi w:val="0"/>
              <w:spacing w:before="0" w:after="283"/>
              <w:jc w:val="left"/>
            </w:pPr>
            <w:r>
              <w:t> </w:t>
            </w:r>
          </w:p>
        </w:tc>
      </w:tr>
      <w:tr>
        <w:tc>
          <w:tcPr>
            <w:tcW w:w="18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Trademarks</w:t>
            </w:r>
          </w:p>
        </w:tc>
        <w:tc>
          <w:tcPr>
            <w:tcW w:w="60" w:type="dxa"/>
            <w:tcBorders/>
            <w:shd w:fill="FFFFFF" w:val="clear"/>
            <w:vAlign w:val="center"/>
          </w:tcPr>
          <w:p>
            <w:pPr>
              <w:pStyle w:val="TableContents"/>
              <w:bidi w:val="0"/>
              <w:spacing w:before="0" w:after="283"/>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243</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9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7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w:t>
            </w:r>
          </w:p>
        </w:tc>
        <w:tc>
          <w:tcPr>
            <w:tcW w:w="60" w:type="dxa"/>
            <w:tcBorders/>
            <w:shd w:fill="FFFFFF" w:val="clear"/>
            <w:vAlign w:val="center"/>
          </w:tcPr>
          <w:p>
            <w:pPr>
              <w:pStyle w:val="TableContents"/>
              <w:bidi w:val="0"/>
              <w:spacing w:before="0" w:after="283"/>
              <w:jc w:val="left"/>
            </w:pPr>
            <w:r>
              <w:t> </w:t>
            </w:r>
          </w:p>
        </w:tc>
      </w:tr>
      <w:tr>
        <w:tc>
          <w:tcPr>
            <w:tcW w:w="18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intangible assets</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10,506</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20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(6,883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pPr>
            <w:r>
              <w:t> </w:t>
            </w:r>
          </w:p>
        </w:tc>
        <w:tc>
          <w:tcPr>
            <w:tcW w:w="18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3,623</w:t>
            </w:r>
          </w:p>
        </w:tc>
        <w:tc>
          <w:tcPr>
            <w:tcW w:w="60" w:type="dxa"/>
            <w:tcBorders/>
            <w:shd w:fill="CCEEFF" w:val="clear"/>
            <w:vAlign w:val="center"/>
          </w:tcPr>
          <w:p>
            <w:pPr>
              <w:pStyle w:val="TableContents"/>
              <w:bidi w:val="0"/>
              <w:spacing w:before="0" w:after="283"/>
              <w:jc w:val="left"/>
            </w:pPr>
            <w:r>
              <w:t> </w:t>
            </w:r>
          </w:p>
        </w:tc>
      </w:tr>
    </w:tbl>
    <w:p>
      <w:pPr>
        <w:pStyle w:val="TextBody"/>
        <w:bidi w:val="0"/>
        <w:spacing w:before="0" w:after="0"/>
        <w:ind w:left="0" w:right="0" w:hanging="0"/>
        <w:jc w:val="left"/>
      </w:pPr>
      <w:r>
        <w:t>​</w:t>
      </w:r>
    </w:p>
    <w:p>
      <w:pPr>
        <w:pStyle w:val="TextBody"/>
        <w:bidi w:val="0"/>
        <w:spacing w:before="0" w:after="0"/>
        <w:ind w:left="0" w:right="0" w:firstLine="720"/>
        <w:jc w:val="left"/>
      </w:pPr>
      <w:r>
        <w:rPr>
          <w:rFonts w:ascii="Times New Roman;Times;serif" w:hAnsi="Times New Roman;Times;serif"/>
          <w:sz w:val="20"/>
        </w:rPr>
        <w:t xml:space="preserve">For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 xml:space="preserve"> September 30, 2026 </w:t>
      </w:r>
      <w:r>
        <w:rPr>
          <w:rFonts w:ascii="Times New Roman;Times;serif" w:hAnsi="Times New Roman;Times;serif"/>
          <w:sz w:val="20"/>
        </w:rPr>
        <w:t xml:space="preserve">and </w:t>
      </w:r>
      <w:r>
        <w:rPr>
          <w:rStyle w:val="Emphasis"/>
          <w:rFonts w:ascii="Times New Roman;Times;serif" w:hAnsi="Times New Roman;Times;serif"/>
          <w:sz w:val="20"/>
        </w:rPr>
        <w:t>2025</w:t>
      </w:r>
      <w:r>
        <w:rPr>
          <w:rFonts w:ascii="Times New Roman;Times;serif" w:hAnsi="Times New Roman;Times;serif"/>
          <w:sz w:val="20"/>
        </w:rPr>
        <w:t xml:space="preserve">, amortization expense for intangible assets, included in general and administrative expenses on the statement of operations, was $0.1 million and $0.1 million, respectively.  For the </w:t>
      </w:r>
      <w:r>
        <w:rPr>
          <w:rStyle w:val="Emphasis"/>
          <w:rFonts w:ascii="Times New Roman;Times;serif" w:hAnsi="Times New Roman;Times;serif"/>
          <w:sz w:val="20"/>
        </w:rPr>
        <w:t>nine</w:t>
      </w:r>
      <w:r>
        <w:rPr>
          <w:rFonts w:ascii="Times New Roman;Times;serif" w:hAnsi="Times New Roman;Times;serif"/>
          <w:sz w:val="20"/>
        </w:rPr>
        <w:t> months ended </w:t>
      </w:r>
      <w:r>
        <w:rPr>
          <w:rStyle w:val="Emphasis"/>
          <w:rFonts w:ascii="Times New Roman;Times;serif" w:hAnsi="Times New Roman;Times;serif"/>
          <w:sz w:val="20"/>
        </w:rPr>
        <w:t xml:space="preserve"> September 30, 2026 </w:t>
      </w:r>
      <w:r>
        <w:rPr>
          <w:rFonts w:ascii="Times New Roman;Times;serif" w:hAnsi="Times New Roman;Times;serif"/>
          <w:sz w:val="20"/>
        </w:rPr>
        <w:t xml:space="preserve">and </w:t>
      </w:r>
      <w:r>
        <w:rPr>
          <w:rStyle w:val="Emphasis"/>
          <w:rFonts w:ascii="Times New Roman;Times;serif" w:hAnsi="Times New Roman;Times;serif"/>
          <w:sz w:val="20"/>
        </w:rPr>
        <w:t>2025</w:t>
      </w:r>
      <w:r>
        <w:rPr>
          <w:rFonts w:ascii="Times New Roman;Times;serif" w:hAnsi="Times New Roman;Times;serif"/>
          <w:sz w:val="20"/>
        </w:rPr>
        <w:t>, amortization expense for intangible assets, included in general and administrative expenses on the statement of operations, was $0.4 million and $0.3 million, respectively.  The remaining weighted average amortization period for intangible assets is approximately 7.3 years.</w:t>
      </w:r>
    </w:p>
    <w:p>
      <w:pPr>
        <w:pStyle w:val="TextBody"/>
        <w:bidi w:val="0"/>
        <w:spacing w:before="0" w:after="0"/>
        <w:ind w:left="0" w:right="0" w:hanging="0"/>
        <w:jc w:val="left"/>
      </w:pPr>
      <w:r>
        <w:t> </w:t>
      </w:r>
    </w:p>
    <w:p>
      <w:pPr>
        <w:pStyle w:val="TextBody"/>
        <w:bidi w:val="0"/>
        <w:spacing w:before="0" w:after="0"/>
        <w:ind w:left="0" w:right="0" w:firstLine="720"/>
        <w:jc w:val="left"/>
      </w:pPr>
      <w:r>
        <w:rPr>
          <w:rFonts w:ascii="Times New Roman;Times;serif" w:hAnsi="Times New Roman;Times;serif"/>
          <w:sz w:val="20"/>
        </w:rPr>
        <w:t xml:space="preserve">On </w:t>
      </w:r>
      <w:r>
        <w:rPr>
          <w:rStyle w:val="Emphasis"/>
          <w:rFonts w:ascii="Times New Roman;Times;serif" w:hAnsi="Times New Roman;Times;serif"/>
          <w:sz w:val="20"/>
        </w:rPr>
        <w:t>September 30, 2026</w:t>
      </w:r>
      <w:r>
        <w:rPr>
          <w:rFonts w:ascii="Times New Roman;Times;serif" w:hAnsi="Times New Roman;Times;serif"/>
          <w:sz w:val="20"/>
        </w:rPr>
        <w:t>, future amortization expenses for intangible assets for future periods are estimated to be (in thousands):</w:t>
      </w:r>
    </w:p>
    <w:p>
      <w:pPr>
        <w:pStyle w:val="TextBody"/>
        <w:bidi w:val="0"/>
        <w:spacing w:before="0" w:after="0"/>
        <w:ind w:left="0" w:right="0" w:firstLine="720"/>
        <w:jc w:val="left"/>
      </w:pPr>
      <w:r>
        <w:t> </w:t>
      </w:r>
    </w:p>
    <w:tbl>
      <w:tblPr>
        <w:tblW w:w="2955" w:type="dxa"/>
        <w:jc w:val="left"/>
        <w:tblInd w:w="0" w:type="dxa"/>
        <w:tblLayout w:type="fixed"/>
        <w:tblCellMar>
          <w:top w:w="0" w:type="dxa"/>
          <w:left w:w="0" w:type="dxa"/>
          <w:bottom w:w="0" w:type="dxa"/>
          <w:right w:w="0" w:type="dxa"/>
        </w:tblCellMar>
      </w:tblPr>
      <w:tblGrid>
        <w:gridCol w:w="2225"/>
        <w:gridCol w:w="60"/>
        <w:gridCol w:w="125"/>
        <w:gridCol w:w="485"/>
        <w:gridCol w:w="60"/>
      </w:tblGrid>
      <w:tr>
        <w:tc>
          <w:tcPr>
            <w:tcW w:w="22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 (remaining 3 months)</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w:t>
            </w:r>
          </w:p>
        </w:tc>
        <w:tc>
          <w:tcPr>
            <w:tcW w:w="60" w:type="dxa"/>
            <w:tcBorders/>
            <w:shd w:fill="CCEEFF" w:val="clear"/>
            <w:vAlign w:val="center"/>
          </w:tcPr>
          <w:p>
            <w:pPr>
              <w:pStyle w:val="TableContents"/>
              <w:bidi w:val="0"/>
              <w:spacing w:before="0" w:after="283"/>
              <w:jc w:val="left"/>
            </w:pPr>
            <w:r>
              <w:t> </w:t>
            </w:r>
          </w:p>
        </w:tc>
      </w:tr>
      <w:tr>
        <w:tc>
          <w:tcPr>
            <w:tcW w:w="22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506</w:t>
            </w:r>
          </w:p>
        </w:tc>
        <w:tc>
          <w:tcPr>
            <w:tcW w:w="60" w:type="dxa"/>
            <w:tcBorders/>
            <w:shd w:fill="FFFFFF" w:val="clear"/>
            <w:vAlign w:val="center"/>
          </w:tcPr>
          <w:p>
            <w:pPr>
              <w:pStyle w:val="TableContents"/>
              <w:bidi w:val="0"/>
              <w:spacing w:before="0" w:after="283"/>
              <w:jc w:val="left"/>
            </w:pPr>
            <w:r>
              <w:t> </w:t>
            </w:r>
          </w:p>
        </w:tc>
      </w:tr>
      <w:tr>
        <w:tc>
          <w:tcPr>
            <w:tcW w:w="22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2028</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506</w:t>
            </w:r>
          </w:p>
        </w:tc>
        <w:tc>
          <w:tcPr>
            <w:tcW w:w="60" w:type="dxa"/>
            <w:tcBorders/>
            <w:shd w:fill="CCEEFF" w:val="clear"/>
            <w:vAlign w:val="center"/>
          </w:tcPr>
          <w:p>
            <w:pPr>
              <w:pStyle w:val="TableContents"/>
              <w:bidi w:val="0"/>
              <w:spacing w:before="0" w:after="283"/>
              <w:jc w:val="left"/>
            </w:pPr>
            <w:r>
              <w:t> </w:t>
            </w:r>
          </w:p>
        </w:tc>
      </w:tr>
      <w:tr>
        <w:tc>
          <w:tcPr>
            <w:tcW w:w="22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2029</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506</w:t>
            </w:r>
          </w:p>
        </w:tc>
        <w:tc>
          <w:tcPr>
            <w:tcW w:w="60" w:type="dxa"/>
            <w:tcBorders/>
            <w:shd w:fill="FFFFFF" w:val="clear"/>
            <w:vAlign w:val="center"/>
          </w:tcPr>
          <w:p>
            <w:pPr>
              <w:pStyle w:val="TableContents"/>
              <w:bidi w:val="0"/>
              <w:spacing w:before="0" w:after="283"/>
              <w:jc w:val="left"/>
            </w:pPr>
            <w:r>
              <w:t> </w:t>
            </w:r>
          </w:p>
        </w:tc>
      </w:tr>
      <w:tr>
        <w:tc>
          <w:tcPr>
            <w:tcW w:w="22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2030</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506</w:t>
            </w:r>
          </w:p>
        </w:tc>
        <w:tc>
          <w:tcPr>
            <w:tcW w:w="60" w:type="dxa"/>
            <w:tcBorders/>
            <w:shd w:fill="CCEEFF" w:val="clear"/>
            <w:vAlign w:val="center"/>
          </w:tcPr>
          <w:p>
            <w:pPr>
              <w:pStyle w:val="TableContents"/>
              <w:bidi w:val="0"/>
              <w:spacing w:before="0" w:after="283"/>
              <w:jc w:val="left"/>
            </w:pPr>
            <w:r>
              <w:t> </w:t>
            </w:r>
          </w:p>
        </w:tc>
      </w:tr>
      <w:tr>
        <w:tc>
          <w:tcPr>
            <w:tcW w:w="22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2031 and thereafter</w:t>
            </w:r>
          </w:p>
        </w:tc>
        <w:tc>
          <w:tcPr>
            <w:tcW w:w="60" w:type="dxa"/>
            <w:tcBorders/>
            <w:shd w:fill="FFFFFF" w:val="clear"/>
            <w:vAlign w:val="center"/>
          </w:tcPr>
          <w:p>
            <w:pPr>
              <w:pStyle w:val="TableContents"/>
              <w:bidi w:val="0"/>
              <w:spacing w:before="0" w:after="283"/>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1,541</w:t>
            </w:r>
          </w:p>
        </w:tc>
        <w:tc>
          <w:tcPr>
            <w:tcW w:w="60" w:type="dxa"/>
            <w:tcBorders/>
            <w:shd w:fill="FFFFFF" w:val="clear"/>
            <w:vAlign w:val="center"/>
          </w:tcPr>
          <w:p>
            <w:pPr>
              <w:pStyle w:val="TableContents"/>
              <w:bidi w:val="0"/>
              <w:spacing w:before="0" w:after="283"/>
              <w:jc w:val="left"/>
            </w:pPr>
            <w:r>
              <w:t> </w:t>
            </w:r>
          </w:p>
        </w:tc>
      </w:tr>
      <w:tr>
        <w:tc>
          <w:tcPr>
            <w:tcW w:w="22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3,692</w:t>
            </w:r>
          </w:p>
        </w:tc>
        <w:tc>
          <w:tcPr>
            <w:tcW w:w="60" w:type="dxa"/>
            <w:tcBorders/>
            <w:shd w:fill="CCEEFF" w:val="clear"/>
            <w:vAlign w:val="center"/>
          </w:tcPr>
          <w:p>
            <w:pPr>
              <w:pStyle w:val="TableContents"/>
              <w:bidi w:val="0"/>
              <w:spacing w:before="0" w:after="283"/>
              <w:jc w:val="left"/>
            </w:pPr>
            <w:r>
              <w:t> </w:t>
            </w:r>
          </w:p>
        </w:tc>
      </w:tr>
    </w:tbl>
    <w:p>
      <w:pPr>
        <w:pStyle w:val="TextBody"/>
        <w:bidi w:val="0"/>
        <w:spacing w:before="0" w:after="0"/>
        <w:ind w:left="0" w:right="0" w:firstLine="720"/>
        <w:jc w:val="left"/>
      </w:pPr>
      <w:r>
        <w:t> </w:t>
      </w:r>
    </w:p>
    <w:p>
      <w:pPr>
        <w:pStyle w:val="TextBody"/>
        <w:bidi w:val="0"/>
        <w:spacing w:before="0" w:after="283"/>
        <w:jc w:val="left"/>
      </w:pPr>
      <w:r>
        <w:t xml:space="preserve">  </w:t>
      </w:r>
    </w:p>
    <w:p>
      <w:pPr>
        <w:pStyle w:val="TextBody"/>
        <w:bidi w:val="0"/>
        <w:spacing w:before="0" w:after="0"/>
        <w:ind w:left="0" w:right="0" w:hanging="0"/>
        <w:jc w:val="left"/>
      </w:pPr>
      <w:r>
        <w:rPr>
          <w:rFonts w:ascii="Times New Roman;Times;serif" w:hAnsi="Times New Roman;Times;serif"/>
          <w:b/>
          <w:sz w:val="20"/>
        </w:rPr>
        <w:t xml:space="preserve">Note </w:t>
      </w:r>
      <w:r>
        <w:rPr>
          <w:rStyle w:val="Emphasis"/>
          <w:rFonts w:ascii="Times New Roman;Times;serif" w:hAnsi="Times New Roman;Times;serif"/>
          <w:b/>
          <w:sz w:val="20"/>
        </w:rPr>
        <w:t>10.</w:t>
      </w:r>
      <w:r>
        <w:rPr>
          <w:rFonts w:ascii="Times New Roman;Times;serif" w:hAnsi="Times New Roman;Times;serif"/>
          <w:b/>
          <w:sz w:val="20"/>
        </w:rPr>
        <w:t>  Fair Value of Financial Instruments​</w:t>
      </w:r>
    </w:p>
    <w:p>
      <w:pPr>
        <w:pStyle w:val="TextBody"/>
        <w:bidi w:val="0"/>
        <w:spacing w:before="0" w:after="0"/>
        <w:ind w:left="0" w:right="0" w:hanging="0"/>
        <w:jc w:val="left"/>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carrying value amounts of cash and cash equivalents, restricted cash, accounts receivable, prepaid expenses, notes receivable and other current assets, accounts payable, accrued expenses, bank acceptance payable and other current liabilities approximate fair value because of the short-term maturity of these instruments. The Company believes that the interest rates in effect at each period end represent the current market rates for similar borrowings.</w:t>
      </w:r>
    </w:p>
    <w:p>
      <w:pPr>
        <w:pStyle w:val="TextBody"/>
        <w:bidi w:val="0"/>
        <w:spacing w:before="0" w:after="0"/>
        <w:ind w:left="0" w:right="0" w:firstLine="720"/>
        <w:jc w:val="left"/>
      </w:pPr>
      <w:r>
        <w:t> </w:t>
      </w:r>
    </w:p>
    <w:p>
      <w:pPr>
        <w:pStyle w:val="TextBody"/>
        <w:bidi w:val="0"/>
        <w:spacing w:before="0" w:after="0"/>
        <w:ind w:left="0" w:right="0" w:firstLine="720"/>
        <w:jc w:val="left"/>
      </w:pPr>
      <w:r>
        <w:rPr>
          <w:rFonts w:ascii="Times New Roman;Times;serif" w:hAnsi="Times New Roman;Times;serif"/>
          <w:sz w:val="20"/>
        </w:rPr>
        <w:t>The Company's accounts receivable was $413.8 million as of </w:t>
      </w:r>
      <w:r>
        <w:rPr>
          <w:rStyle w:val="Emphasis"/>
          <w:rFonts w:ascii="Times New Roman;Times;serif" w:hAnsi="Times New Roman;Times;serif"/>
          <w:sz w:val="20"/>
        </w:rPr>
        <w:t xml:space="preserve"> September 30, 2026</w:t>
      </w:r>
      <w:r>
        <w:rPr>
          <w:rFonts w:ascii="Times New Roman;Times;serif" w:hAnsi="Times New Roman;Times;serif"/>
          <w:sz w:val="20"/>
        </w:rPr>
        <w:t xml:space="preserve">. Of this amount, $234.5 million was due from Digicomm International Inc. For each of the </w:t>
      </w:r>
      <w:r>
        <w:rPr>
          <w:rStyle w:val="Emphasis"/>
          <w:rFonts w:ascii="Times New Roman;Times;serif" w:hAnsi="Times New Roman;Times;serif"/>
          <w:sz w:val="20"/>
        </w:rPr>
        <w:t>three</w:t>
      </w:r>
      <w:r>
        <w:rPr>
          <w:rFonts w:ascii="Times New Roman;Times;serif" w:hAnsi="Times New Roman;Times;serif"/>
          <w:sz w:val="20"/>
        </w:rPr>
        <w:t xml:space="preserve"> and </w:t>
      </w:r>
      <w:r>
        <w:rPr>
          <w:rStyle w:val="Emphasis"/>
          <w:rFonts w:ascii="Times New Roman;Times;serif" w:hAnsi="Times New Roman;Times;serif"/>
          <w:sz w:val="20"/>
        </w:rPr>
        <w:t>nine</w:t>
      </w:r>
      <w:r>
        <w:rPr>
          <w:rFonts w:ascii="Times New Roman;Times;serif" w:hAnsi="Times New Roman;Times;serif"/>
          <w:sz w:val="20"/>
        </w:rPr>
        <w:t xml:space="preserve"> months ended </w:t>
      </w:r>
      <w:r>
        <w:rPr>
          <w:rStyle w:val="Emphasis"/>
          <w:rFonts w:ascii="Times New Roman;Times;serif" w:hAnsi="Times New Roman;Times;serif"/>
          <w:sz w:val="20"/>
        </w:rPr>
        <w:t xml:space="preserve">September 30, 2026 </w:t>
      </w:r>
      <w:r>
        <w:rPr>
          <w:rFonts w:ascii="Times New Roman;Times;serif" w:hAnsi="Times New Roman;Times;serif"/>
          <w:sz w:val="20"/>
        </w:rPr>
        <w:t xml:space="preserve">and </w:t>
      </w:r>
      <w:r>
        <w:rPr>
          <w:rStyle w:val="Emphasis"/>
          <w:rFonts w:ascii="Times New Roman;Times;serif" w:hAnsi="Times New Roman;Times;serif"/>
          <w:sz w:val="20"/>
        </w:rPr>
        <w:t>2025</w:t>
      </w:r>
      <w:r>
        <w:rPr>
          <w:rFonts w:ascii="Times New Roman;Times;serif" w:hAnsi="Times New Roman;Times;serif"/>
          <w:sz w:val="20"/>
        </w:rPr>
        <w:t xml:space="preserve">, our top </w:t>
      </w:r>
      <w:r>
        <w:rPr>
          <w:rStyle w:val="Emphasis"/>
          <w:rFonts w:ascii="Times New Roman;Times;serif" w:hAnsi="Times New Roman;Times;serif"/>
          <w:sz w:val="20"/>
        </w:rPr>
        <w:t>ten</w:t>
      </w:r>
      <w:r>
        <w:rPr>
          <w:rFonts w:ascii="Times New Roman;Times;serif" w:hAnsi="Times New Roman;Times;serif"/>
          <w:sz w:val="20"/>
        </w:rPr>
        <w:t xml:space="preserve"> customers represented 99% and 97% of our revenue, respectively. For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 xml:space="preserve"> September 30, 2026</w:t>
      </w:r>
      <w:r>
        <w:rPr>
          <w:rFonts w:ascii="Times New Roman;Times;serif" w:hAnsi="Times New Roman;Times;serif"/>
          <w:sz w:val="20"/>
        </w:rPr>
        <w:t xml:space="preserve">, our top </w:t>
      </w:r>
      <w:r>
        <w:rPr>
          <w:rStyle w:val="Emphasis"/>
          <w:rFonts w:ascii="Times New Roman;Times;serif" w:hAnsi="Times New Roman;Times;serif"/>
          <w:sz w:val="20"/>
        </w:rPr>
        <w:t>three</w:t>
      </w:r>
      <w:r>
        <w:rPr>
          <w:rFonts w:ascii="Times New Roman;Times;serif" w:hAnsi="Times New Roman;Times;serif"/>
          <w:sz w:val="20"/>
        </w:rPr>
        <w:t xml:space="preserve"> customers represented 41%, 28% and 23% of our revenue, respectively. For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September 30, 2025</w:t>
      </w:r>
      <w:r>
        <w:rPr>
          <w:rFonts w:ascii="Times New Roman;Times;serif" w:hAnsi="Times New Roman;Times;serif"/>
          <w:sz w:val="20"/>
        </w:rPr>
        <w:t xml:space="preserve">, our top </w:t>
      </w:r>
      <w:r>
        <w:rPr>
          <w:rStyle w:val="Emphasis"/>
          <w:rFonts w:ascii="Times New Roman;Times;serif" w:hAnsi="Times New Roman;Times;serif"/>
          <w:sz w:val="20"/>
        </w:rPr>
        <w:t>three</w:t>
      </w:r>
      <w:r>
        <w:rPr>
          <w:rFonts w:ascii="Times New Roman;Times;serif" w:hAnsi="Times New Roman;Times;serif"/>
          <w:sz w:val="20"/>
        </w:rPr>
        <w:t xml:space="preserve"> customers represented 66%, 24% and 3% of our revenue, respectively. For the </w:t>
      </w:r>
      <w:r>
        <w:rPr>
          <w:rStyle w:val="Emphasis"/>
          <w:rFonts w:ascii="Times New Roman;Times;serif" w:hAnsi="Times New Roman;Times;serif"/>
          <w:sz w:val="20"/>
        </w:rPr>
        <w:t>nine</w:t>
      </w:r>
      <w:r>
        <w:rPr>
          <w:rFonts w:ascii="Times New Roman;Times;serif" w:hAnsi="Times New Roman;Times;serif"/>
          <w:sz w:val="20"/>
        </w:rPr>
        <w:t xml:space="preserve"> months ended </w:t>
      </w:r>
      <w:r>
        <w:rPr>
          <w:rStyle w:val="Emphasis"/>
          <w:rFonts w:ascii="Times New Roman;Times;serif" w:hAnsi="Times New Roman;Times;serif"/>
          <w:sz w:val="20"/>
        </w:rPr>
        <w:t xml:space="preserve"> September 30, 2026</w:t>
      </w:r>
      <w:r>
        <w:rPr>
          <w:rFonts w:ascii="Times New Roman;Times;serif" w:hAnsi="Times New Roman;Times;serif"/>
          <w:sz w:val="20"/>
        </w:rPr>
        <w:t xml:space="preserve">, our top </w:t>
      </w:r>
      <w:r>
        <w:rPr>
          <w:rStyle w:val="Emphasis"/>
          <w:rFonts w:ascii="Times New Roman;Times;serif" w:hAnsi="Times New Roman;Times;serif"/>
          <w:sz w:val="20"/>
        </w:rPr>
        <w:t>three</w:t>
      </w:r>
      <w:r>
        <w:rPr>
          <w:rFonts w:ascii="Times New Roman;Times;serif" w:hAnsi="Times New Roman;Times;serif"/>
          <w:sz w:val="20"/>
        </w:rPr>
        <w:t xml:space="preserve"> customers represented 42%, 26% and 17% of our revenue, respectively. For the </w:t>
      </w:r>
      <w:r>
        <w:rPr>
          <w:rStyle w:val="Emphasis"/>
          <w:rFonts w:ascii="Times New Roman;Times;serif" w:hAnsi="Times New Roman;Times;serif"/>
          <w:sz w:val="20"/>
        </w:rPr>
        <w:t>nine</w:t>
      </w:r>
      <w:r>
        <w:rPr>
          <w:rFonts w:ascii="Times New Roman;Times;serif" w:hAnsi="Times New Roman;Times;serif"/>
          <w:sz w:val="20"/>
        </w:rPr>
        <w:t xml:space="preserve"> months ended </w:t>
      </w:r>
      <w:r>
        <w:rPr>
          <w:rStyle w:val="Emphasis"/>
          <w:rFonts w:ascii="Times New Roman;Times;serif" w:hAnsi="Times New Roman;Times;serif"/>
          <w:sz w:val="20"/>
        </w:rPr>
        <w:t>September 30, 2025</w:t>
      </w:r>
      <w:r>
        <w:rPr>
          <w:rFonts w:ascii="Times New Roman;Times;serif" w:hAnsi="Times New Roman;Times;serif"/>
          <w:sz w:val="20"/>
        </w:rPr>
        <w:t xml:space="preserve">, our top </w:t>
      </w:r>
      <w:r>
        <w:rPr>
          <w:rStyle w:val="Emphasis"/>
          <w:rFonts w:ascii="Times New Roman;Times;serif" w:hAnsi="Times New Roman;Times;serif"/>
          <w:sz w:val="20"/>
        </w:rPr>
        <w:t>three</w:t>
      </w:r>
      <w:r>
        <w:rPr>
          <w:rFonts w:ascii="Times New Roman;Times;serif" w:hAnsi="Times New Roman;Times;serif"/>
          <w:sz w:val="20"/>
        </w:rPr>
        <w:t> customers represented 61%, 28% and 4% of our revenue, respectively.</w:t>
      </w:r>
    </w:p>
    <w:p>
      <w:pPr>
        <w:pStyle w:val="TextBody"/>
        <w:bidi w:val="0"/>
        <w:spacing w:before="0" w:after="0"/>
        <w:ind w:left="0" w:right="0" w:firstLine="720"/>
        <w:jc w:val="left"/>
      </w:pPr>
      <w:r>
        <w:t> </w:t>
      </w:r>
    </w:p>
    <w:p>
      <w:pPr>
        <w:pStyle w:val="TextBody"/>
        <w:bidi w:val="0"/>
        <w:spacing w:before="0" w:after="0"/>
        <w:ind w:left="0" w:right="0" w:firstLine="720"/>
        <w:jc w:val="left"/>
      </w:pPr>
      <w:r>
        <w:rPr>
          <w:rFonts w:ascii="Times New Roman;Times;serif" w:hAnsi="Times New Roman;Times;serif"/>
          <w:sz w:val="20"/>
        </w:rPr>
        <w:t>The fair value of convertible senior notes is measured for disclosure purposes only. The fair value and carrying amount of our convertible senior notes as of </w:t>
      </w:r>
      <w:r>
        <w:rPr>
          <w:rStyle w:val="Emphasis"/>
          <w:rFonts w:ascii="Times New Roman;Times;serif" w:hAnsi="Times New Roman;Times;serif"/>
          <w:sz w:val="20"/>
        </w:rPr>
        <w:t xml:space="preserve"> September 30, 2026</w:t>
      </w:r>
      <w:r>
        <w:rPr>
          <w:rFonts w:ascii="Times New Roman;Times;serif" w:hAnsi="Times New Roman;Times;serif"/>
          <w:sz w:val="20"/>
        </w:rPr>
        <w:t xml:space="preserve"> was $305.7 million and $128.8 million, respectively. As of </w:t>
      </w:r>
      <w:r>
        <w:rPr>
          <w:rStyle w:val="Emphasis"/>
          <w:rFonts w:ascii="Times New Roman;Times;serif" w:hAnsi="Times New Roman;Times;serif"/>
          <w:sz w:val="20"/>
        </w:rPr>
        <w:t>December 31, 2025</w:t>
      </w:r>
      <w:r>
        <w:rPr>
          <w:rFonts w:ascii="Times New Roman;Times;serif" w:hAnsi="Times New Roman;Times;serif"/>
          <w:sz w:val="20"/>
        </w:rPr>
        <w:t xml:space="preserve">, the fair value and carrying amount of our convertible senior notes was $145.2 million and $129.8 million, respectively. The fair value is based on observable market prices for this debt, which is traded in less active markets and is therefore classified as a Level </w:t>
      </w:r>
      <w:r>
        <w:rPr>
          <w:rStyle w:val="Emphasis"/>
          <w:rFonts w:ascii="Times New Roman;Times;serif" w:hAnsi="Times New Roman;Times;serif"/>
          <w:sz w:val="20"/>
        </w:rPr>
        <w:t>2</w:t>
      </w:r>
      <w:r>
        <w:rPr>
          <w:rFonts w:ascii="Times New Roman;Times;serif" w:hAnsi="Times New Roman;Times;serif"/>
          <w:sz w:val="20"/>
        </w:rPr>
        <w:t xml:space="preserve"> fair value measurement. The significant increase in the fair value of the convertible senior notes relative to their carrying amount as of </w:t>
      </w:r>
      <w:r>
        <w:rPr>
          <w:rStyle w:val="Emphasis"/>
          <w:rFonts w:ascii="Times New Roman;Times;serif" w:hAnsi="Times New Roman;Times;serif"/>
          <w:sz w:val="20"/>
        </w:rPr>
        <w:t xml:space="preserve"> September 30, 2026</w:t>
      </w:r>
      <w:r>
        <w:rPr>
          <w:rFonts w:ascii="Times New Roman;Times;serif" w:hAnsi="Times New Roman;Times;serif"/>
          <w:sz w:val="20"/>
        </w:rPr>
        <w:t xml:space="preserve"> is primarily attributable to a substantial increase in the market price of the Company's common stock during the quarter, which increased the value of the conversion feature embedded in the notes.</w:t>
      </w:r>
    </w:p>
    <w:p>
      <w:pPr>
        <w:pStyle w:val="TextBody"/>
        <w:bidi w:val="0"/>
        <w:spacing w:before="0" w:after="0"/>
        <w:ind w:left="0" w:right="144" w:firstLine="720"/>
        <w:jc w:val="left"/>
      </w:pPr>
      <w:r>
        <w:t>  </w:t>
      </w:r>
    </w:p>
    <w:p>
      <w:pPr>
        <w:pStyle w:val="TextBody"/>
        <w:bidi w:val="0"/>
        <w:spacing w:before="0" w:after="0"/>
        <w:jc w:val="center"/>
      </w:pPr>
      <w:r>
        <w:rPr>
          <w:rStyle w:val="Emphasis"/>
          <w:rFonts w:ascii="Times New Roman" w:hAnsi="Times New Roman"/>
          <w:sz w:val="20"/>
        </w:rPr>
        <w:t>15</w:t>
      </w:r>
      <w:r>
        <w:rPr>
          <w:rFonts w:ascii="Times New Roman" w:hAnsi="Times New Roman"/>
          <w:sz w:val="20"/>
        </w:rPr>
        <w:t xml:space="preserve"> </w:t>
      </w:r>
    </w:p>
    <w:p>
      <w:pPr>
        <w:pStyle w:val="HorizontalLine"/>
        <w:pBdr>
          <w:bottom w:val="double" w:sz="2" w:space="0" w:color="808080"/>
        </w:pBdr>
        <w:bidi w:val="0"/>
        <w:spacing w:before="0" w:after="283"/>
        <w:jc w:val="left"/>
      </w:pPr>
      <w:r/>
    </w:p>
    <w:p>
      <w:pPr>
        <w:pStyle w:val="TextBody"/>
        <w:bidi w:val="0"/>
        <w:spacing w:before="0" w:after="0"/>
        <w:jc w:val="left"/>
      </w:pPr>
      <w:hyperlink w:anchor="toc">
        <w:r>
          <w:rPr>
            <w:rStyle w:val="InternetLink"/>
            <w:rFonts w:ascii="Times New Roman;Times;serif" w:hAnsi="Times New Roman;Times;serif"/>
            <w:sz w:val="20"/>
          </w:rPr>
          <w:t>Table of Contents</w:t>
        </w:r>
      </w:hyperlink>
      <w:r>
        <w:t xml:space="preserve"> </w:t>
      </w:r>
    </w:p>
    <w:p>
      <w:pPr>
        <w:pStyle w:val="TextBody"/>
        <w:bidi w:val="0"/>
        <w:spacing w:before="0" w:after="0"/>
        <w:jc w:val="left"/>
      </w:pPr>
      <w:r>
        <w:t xml:space="preserve">  </w:t>
      </w:r>
    </w:p>
    <w:p>
      <w:pPr>
        <w:pStyle w:val="TextBody"/>
        <w:bidi w:val="0"/>
        <w:spacing w:before="0" w:after="283"/>
        <w:jc w:val="left"/>
      </w:pPr>
      <w:r>
        <w:t xml:space="preserve">  </w:t>
      </w:r>
    </w:p>
    <w:p>
      <w:pPr>
        <w:pStyle w:val="TextBody"/>
        <w:bidi w:val="0"/>
        <w:spacing w:before="0" w:after="0"/>
        <w:ind w:left="0" w:right="0" w:hanging="0"/>
        <w:jc w:val="left"/>
      </w:pPr>
      <w:r>
        <w:rPr>
          <w:rFonts w:ascii="Times New Roman;Times;serif" w:hAnsi="Times New Roman;Times;serif"/>
          <w:b/>
          <w:sz w:val="20"/>
        </w:rPr>
        <w:t xml:space="preserve">Note </w:t>
      </w:r>
      <w:r>
        <w:rPr>
          <w:rStyle w:val="Emphasis"/>
          <w:rFonts w:ascii="Times New Roman;Times;serif" w:hAnsi="Times New Roman;Times;serif"/>
          <w:b/>
          <w:sz w:val="20"/>
        </w:rPr>
        <w:t>11.</w:t>
      </w:r>
      <w:r>
        <w:rPr>
          <w:rFonts w:ascii="Times New Roman;Times;serif" w:hAnsi="Times New Roman;Times;serif"/>
          <w:b/>
          <w:sz w:val="20"/>
        </w:rPr>
        <w:t>  Notes Payable and Long-Term Debt</w:t>
      </w:r>
    </w:p>
    <w:p>
      <w:pPr>
        <w:pStyle w:val="TextBody"/>
        <w:bidi w:val="0"/>
        <w:spacing w:before="0" w:after="0"/>
        <w:ind w:left="0" w:right="0" w:hanging="0"/>
        <w:jc w:val="left"/>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Notes payable and long-term debt consisted of the following for the periods indicated (in thousands):</w:t>
      </w:r>
    </w:p>
    <w:p>
      <w:pPr>
        <w:pStyle w:val="TextBody"/>
        <w:bidi w:val="0"/>
        <w:spacing w:before="0" w:after="0"/>
        <w:ind w:left="0" w:right="0" w:firstLine="720"/>
        <w:jc w:val="left"/>
      </w:pPr>
      <w:r>
        <w:t>​</w:t>
      </w:r>
    </w:p>
    <w:tbl>
      <w:tblPr>
        <w:tblW w:w="10205" w:type="dxa"/>
        <w:jc w:val="left"/>
        <w:tblInd w:w="0" w:type="dxa"/>
        <w:tblLayout w:type="fixed"/>
        <w:tblCellMar>
          <w:top w:w="0" w:type="dxa"/>
          <w:left w:w="0" w:type="dxa"/>
          <w:bottom w:w="0" w:type="dxa"/>
          <w:right w:w="0" w:type="dxa"/>
        </w:tblCellMar>
      </w:tblPr>
      <w:tblGrid>
        <w:gridCol w:w="7446"/>
        <w:gridCol w:w="60"/>
        <w:gridCol w:w="202"/>
        <w:gridCol w:w="1059"/>
        <w:gridCol w:w="80"/>
        <w:gridCol w:w="60"/>
        <w:gridCol w:w="195"/>
        <w:gridCol w:w="1020"/>
        <w:gridCol w:w="83"/>
      </w:tblGrid>
      <w:tr>
        <w:tc>
          <w:tcPr>
            <w:tcW w:w="7446"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6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September 30, 2026</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December 31, 2025</w:t>
            </w:r>
          </w:p>
        </w:tc>
        <w:tc>
          <w:tcPr>
            <w:tcW w:w="83" w:type="dxa"/>
            <w:tcBorders/>
            <w:shd w:fill="FFFFFF" w:val="clear"/>
            <w:vAlign w:val="center"/>
          </w:tcPr>
          <w:p>
            <w:pPr>
              <w:pStyle w:val="TableContents"/>
              <w:bidi w:val="0"/>
              <w:spacing w:before="0" w:after="283"/>
              <w:jc w:val="left"/>
            </w:pPr>
            <w:r>
              <w:t> </w:t>
            </w:r>
          </w:p>
        </w:tc>
      </w:tr>
      <w:tr>
        <w:tc>
          <w:tcPr>
            <w:tcW w:w="7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Revolving line of credit and equipment term loan with a China bank up to $44.5 million with interest at 2.45% and 3%, maturing July 27, 2027 and June 12, 2032, respectively</w:t>
            </w:r>
          </w:p>
        </w:tc>
        <w:tc>
          <w:tcPr>
            <w:tcW w:w="60" w:type="dxa"/>
            <w:tcBorders/>
            <w:shd w:fill="CCEEFF" w:val="clear"/>
            <w:vAlign w:val="center"/>
          </w:tcPr>
          <w:p>
            <w:pPr>
              <w:pStyle w:val="TableContents"/>
              <w:bidi w:val="0"/>
              <w:spacing w:before="0" w:after="283"/>
              <w:jc w:val="left"/>
            </w:pPr>
            <w:r>
              <w:t> </w:t>
            </w:r>
          </w:p>
        </w:tc>
        <w:tc>
          <w:tcPr>
            <w:tcW w:w="20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44,543</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20,203</w:t>
            </w:r>
          </w:p>
        </w:tc>
        <w:tc>
          <w:tcPr>
            <w:tcW w:w="83" w:type="dxa"/>
            <w:tcBorders/>
            <w:shd w:fill="CCEEFF" w:val="clear"/>
            <w:vAlign w:val="center"/>
          </w:tcPr>
          <w:p>
            <w:pPr>
              <w:pStyle w:val="TableContents"/>
              <w:bidi w:val="0"/>
              <w:spacing w:before="0" w:after="283"/>
              <w:ind w:left="0" w:right="0" w:hanging="0"/>
              <w:jc w:val="left"/>
            </w:pPr>
            <w:r>
              <w:t> </w:t>
            </w:r>
          </w:p>
        </w:tc>
      </w:tr>
      <w:tr>
        <w:tc>
          <w:tcPr>
            <w:tcW w:w="744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Revolving line of credit with a China bank up to $14.8 million with interest at 2.45%, maturing March 26, 2027</w:t>
            </w:r>
          </w:p>
        </w:tc>
        <w:tc>
          <w:tcPr>
            <w:tcW w:w="60" w:type="dxa"/>
            <w:tcBorders/>
            <w:shd w:fill="FFFFFF" w:val="clear"/>
            <w:vAlign w:val="center"/>
          </w:tcPr>
          <w:p>
            <w:pPr>
              <w:pStyle w:val="TableContents"/>
              <w:bidi w:val="0"/>
              <w:spacing w:before="0" w:after="0"/>
              <w:ind w:left="0" w:right="0" w:hanging="0"/>
              <w:jc w:val="left"/>
            </w:pPr>
            <w:r>
              <w:t> </w:t>
            </w:r>
          </w:p>
        </w:tc>
        <w:tc>
          <w:tcPr>
            <w:tcW w:w="202" w:type="dxa"/>
            <w:tcBorders/>
            <w:shd w:fill="FFFFFF" w:val="clear"/>
            <w:vAlign w:val="center"/>
          </w:tcPr>
          <w:p>
            <w:pPr>
              <w:pStyle w:val="TableContents"/>
              <w:bidi w:val="0"/>
              <w:spacing w:before="0" w:after="0"/>
              <w:ind w:left="0" w:right="0" w:hanging="0"/>
              <w:jc w:val="left"/>
            </w:pPr>
            <w:r>
              <w:t> </w:t>
            </w:r>
          </w:p>
        </w:tc>
        <w:tc>
          <w:tcPr>
            <w:tcW w:w="1059"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14,848</w:t>
            </w:r>
          </w:p>
        </w:tc>
        <w:tc>
          <w:tcPr>
            <w:tcW w:w="80" w:type="dxa"/>
            <w:tcBorders/>
            <w:shd w:fill="FFFFFF" w:val="clear"/>
            <w:vAlign w:val="center"/>
          </w:tcPr>
          <w:p>
            <w:pPr>
              <w:pStyle w:val="TableContents"/>
              <w:bidi w:val="0"/>
              <w:spacing w:before="0" w:after="0"/>
              <w:ind w:left="0" w:right="0" w:hanging="0"/>
              <w:jc w:val="left"/>
            </w:pPr>
            <w:r>
              <w:t> </w:t>
            </w:r>
          </w:p>
        </w:tc>
        <w:tc>
          <w:tcPr>
            <w:tcW w:w="60" w:type="dxa"/>
            <w:tcBorders/>
            <w:shd w:fill="FFFFFF" w:val="clear"/>
            <w:vAlign w:val="center"/>
          </w:tcPr>
          <w:p>
            <w:pPr>
              <w:pStyle w:val="TableContents"/>
              <w:bidi w:val="0"/>
              <w:spacing w:before="0" w:after="0"/>
              <w:ind w:left="0" w:right="0" w:hanging="0"/>
              <w:jc w:val="left"/>
            </w:pPr>
            <w:r>
              <w:t> </w:t>
            </w:r>
          </w:p>
        </w:tc>
        <w:tc>
          <w:tcPr>
            <w:tcW w:w="195" w:type="dxa"/>
            <w:tcBorders/>
            <w:shd w:fill="FFFFFF" w:val="clear"/>
            <w:vAlign w:val="center"/>
          </w:tcPr>
          <w:p>
            <w:pPr>
              <w:pStyle w:val="TableContents"/>
              <w:bidi w:val="0"/>
              <w:spacing w:before="0" w:after="0"/>
              <w:ind w:left="0" w:right="0" w:hanging="0"/>
              <w:jc w:val="left"/>
            </w:pPr>
            <w:r>
              <w:t> </w:t>
            </w:r>
          </w:p>
        </w:tc>
        <w:tc>
          <w:tcPr>
            <w:tcW w:w="1020"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13,772</w:t>
            </w:r>
          </w:p>
        </w:tc>
        <w:tc>
          <w:tcPr>
            <w:tcW w:w="83" w:type="dxa"/>
            <w:tcBorders/>
            <w:shd w:fill="FFFFFF" w:val="clear"/>
            <w:vAlign w:val="center"/>
          </w:tcPr>
          <w:p>
            <w:pPr>
              <w:pStyle w:val="TableContents"/>
              <w:bidi w:val="0"/>
              <w:spacing w:before="0" w:after="0"/>
              <w:jc w:val="left"/>
            </w:pPr>
            <w:r>
              <w:t> </w:t>
            </w:r>
          </w:p>
        </w:tc>
      </w:tr>
      <w:tr>
        <w:tc>
          <w:tcPr>
            <w:tcW w:w="7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Revolving line of credit and equipment term loan with a China bank up to $3.0 million with interest at 3%, maturing May 8, 2028</w:t>
            </w:r>
          </w:p>
        </w:tc>
        <w:tc>
          <w:tcPr>
            <w:tcW w:w="60" w:type="dxa"/>
            <w:tcBorders/>
            <w:shd w:fill="CCEEFF" w:val="clear"/>
            <w:vAlign w:val="center"/>
          </w:tcPr>
          <w:p>
            <w:pPr>
              <w:pStyle w:val="TableContents"/>
              <w:bidi w:val="0"/>
              <w:spacing w:before="0" w:after="283"/>
              <w:jc w:val="left"/>
            </w:pPr>
            <w:r>
              <w:t> </w:t>
            </w:r>
          </w:p>
        </w:tc>
        <w:tc>
          <w:tcPr>
            <w:tcW w:w="202" w:type="dxa"/>
            <w:tcBorders/>
            <w:shd w:fill="CCEEFF" w:val="clear"/>
            <w:vAlign w:val="center"/>
          </w:tcPr>
          <w:p>
            <w:pPr>
              <w:pStyle w:val="TableContents"/>
              <w:bidi w:val="0"/>
              <w:spacing w:before="0" w:after="283"/>
              <w:jc w:val="left"/>
            </w:pPr>
            <w:r>
              <w:t> </w:t>
            </w:r>
          </w:p>
        </w:tc>
        <w:tc>
          <w:tcPr>
            <w:tcW w:w="105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2,969</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95" w:type="dxa"/>
            <w:tcBorders/>
            <w:shd w:fill="CCEEFF" w:val="clear"/>
            <w:vAlign w:val="center"/>
          </w:tcPr>
          <w:p>
            <w:pPr>
              <w:pStyle w:val="TableContents"/>
              <w:bidi w:val="0"/>
              <w:spacing w:before="0" w:after="283"/>
              <w:jc w:val="left"/>
            </w:pPr>
            <w:r>
              <w:t> </w:t>
            </w:r>
          </w:p>
        </w:tc>
        <w:tc>
          <w:tcPr>
            <w:tcW w:w="10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3" w:type="dxa"/>
            <w:tcBorders/>
            <w:shd w:fill="CCEEFF" w:val="clear"/>
            <w:vAlign w:val="center"/>
          </w:tcPr>
          <w:p>
            <w:pPr>
              <w:pStyle w:val="TableContents"/>
              <w:bidi w:val="0"/>
              <w:spacing w:before="0" w:after="283"/>
              <w:jc w:val="left"/>
            </w:pPr>
            <w:r>
              <w:t> </w:t>
            </w:r>
          </w:p>
        </w:tc>
      </w:tr>
      <w:tr>
        <w:tc>
          <w:tcPr>
            <w:tcW w:w="744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Revolving line of credit with a China bank up to $14.8 million with interest at 2.31%, maturing June 25, 2027</w:t>
            </w:r>
          </w:p>
        </w:tc>
        <w:tc>
          <w:tcPr>
            <w:tcW w:w="60" w:type="dxa"/>
            <w:tcBorders/>
            <w:shd w:fill="FFFFFF" w:val="clear"/>
            <w:vAlign w:val="center"/>
          </w:tcPr>
          <w:p>
            <w:pPr>
              <w:pStyle w:val="TableContents"/>
              <w:bidi w:val="0"/>
              <w:spacing w:before="0" w:after="283"/>
              <w:jc w:val="left"/>
            </w:pPr>
            <w:r>
              <w:t> </w:t>
            </w:r>
          </w:p>
        </w:tc>
        <w:tc>
          <w:tcPr>
            <w:tcW w:w="202" w:type="dxa"/>
            <w:tcBorders/>
            <w:shd w:fill="FFFFFF" w:val="clear"/>
            <w:vAlign w:val="center"/>
          </w:tcPr>
          <w:p>
            <w:pPr>
              <w:pStyle w:val="TableContents"/>
              <w:bidi w:val="0"/>
              <w:spacing w:before="0" w:after="283"/>
              <w:jc w:val="left"/>
            </w:pPr>
            <w:r>
              <w:t> </w:t>
            </w:r>
          </w:p>
        </w:tc>
        <w:tc>
          <w:tcPr>
            <w:tcW w:w="105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14,848</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95" w:type="dxa"/>
            <w:tcBorders/>
            <w:shd w:fill="FFFFFF" w:val="clear"/>
            <w:vAlign w:val="center"/>
          </w:tcPr>
          <w:p>
            <w:pPr>
              <w:pStyle w:val="TableContents"/>
              <w:bidi w:val="0"/>
              <w:spacing w:before="0" w:after="283"/>
              <w:jc w:val="left"/>
            </w:pPr>
            <w:r>
              <w:t> </w:t>
            </w:r>
          </w:p>
        </w:tc>
        <w:tc>
          <w:tcPr>
            <w:tcW w:w="102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3" w:type="dxa"/>
            <w:tcBorders/>
            <w:shd w:fill="FFFFFF" w:val="clear"/>
            <w:vAlign w:val="center"/>
          </w:tcPr>
          <w:p>
            <w:pPr>
              <w:pStyle w:val="TableContents"/>
              <w:bidi w:val="0"/>
              <w:spacing w:before="0" w:after="283"/>
              <w:jc w:val="left"/>
            </w:pPr>
            <w:r>
              <w:t> </w:t>
            </w:r>
          </w:p>
        </w:tc>
      </w:tr>
      <w:tr>
        <w:tc>
          <w:tcPr>
            <w:tcW w:w="744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Revolving line of credit with a China bank up to $3.0 million with interest at 2.4%, maturing June 11, 2027</w:t>
            </w:r>
          </w:p>
        </w:tc>
        <w:tc>
          <w:tcPr>
            <w:tcW w:w="60" w:type="dxa"/>
            <w:tcBorders/>
            <w:shd w:fill="CCEEFF" w:val="clear"/>
            <w:vAlign w:val="center"/>
          </w:tcPr>
          <w:p>
            <w:pPr>
              <w:pStyle w:val="TableContents"/>
              <w:bidi w:val="0"/>
              <w:spacing w:before="0" w:after="283"/>
              <w:jc w:val="left"/>
            </w:pPr>
            <w:r>
              <w:t> </w:t>
            </w:r>
          </w:p>
        </w:tc>
        <w:tc>
          <w:tcPr>
            <w:tcW w:w="202" w:type="dxa"/>
            <w:tcBorders/>
            <w:shd w:fill="CCEEFF" w:val="clear"/>
            <w:vAlign w:val="center"/>
          </w:tcPr>
          <w:p>
            <w:pPr>
              <w:pStyle w:val="TableContents"/>
              <w:bidi w:val="0"/>
              <w:spacing w:before="0" w:after="283"/>
              <w:jc w:val="left"/>
            </w:pPr>
            <w:r>
              <w:t> </w:t>
            </w:r>
          </w:p>
        </w:tc>
        <w:tc>
          <w:tcPr>
            <w:tcW w:w="105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1,485</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95" w:type="dxa"/>
            <w:tcBorders/>
            <w:shd w:fill="CCEEFF" w:val="clear"/>
            <w:vAlign w:val="center"/>
          </w:tcPr>
          <w:p>
            <w:pPr>
              <w:pStyle w:val="TableContents"/>
              <w:bidi w:val="0"/>
              <w:spacing w:before="0" w:after="283"/>
              <w:jc w:val="left"/>
            </w:pPr>
            <w:r>
              <w:t> </w:t>
            </w:r>
          </w:p>
        </w:tc>
        <w:tc>
          <w:tcPr>
            <w:tcW w:w="10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3" w:type="dxa"/>
            <w:tcBorders/>
            <w:shd w:fill="CCEEFF" w:val="clear"/>
            <w:vAlign w:val="center"/>
          </w:tcPr>
          <w:p>
            <w:pPr>
              <w:pStyle w:val="TableContents"/>
              <w:bidi w:val="0"/>
              <w:spacing w:before="0" w:after="283"/>
              <w:jc w:val="left"/>
            </w:pPr>
            <w:r>
              <w:t> </w:t>
            </w:r>
          </w:p>
        </w:tc>
      </w:tr>
      <w:tr>
        <w:tc>
          <w:tcPr>
            <w:tcW w:w="744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Revolving line of credit with a Taiwan bank up to $3.1 million with interest at 2.55%, maturing October 14, 2026</w:t>
            </w:r>
          </w:p>
        </w:tc>
        <w:tc>
          <w:tcPr>
            <w:tcW w:w="60" w:type="dxa"/>
            <w:tcBorders/>
            <w:shd w:fill="FFFFFF" w:val="clear"/>
            <w:vAlign w:val="center"/>
          </w:tcPr>
          <w:p>
            <w:pPr>
              <w:pStyle w:val="TableContents"/>
              <w:bidi w:val="0"/>
              <w:spacing w:before="0" w:after="283"/>
              <w:jc w:val="left"/>
            </w:pPr>
            <w:r>
              <w:t> </w:t>
            </w:r>
          </w:p>
        </w:tc>
        <w:tc>
          <w:tcPr>
            <w:tcW w:w="202" w:type="dxa"/>
            <w:tcBorders/>
            <w:shd w:fill="FFFFFF" w:val="clear"/>
            <w:vAlign w:val="center"/>
          </w:tcPr>
          <w:p>
            <w:pPr>
              <w:pStyle w:val="TableContents"/>
              <w:bidi w:val="0"/>
              <w:spacing w:before="0" w:after="283"/>
              <w:jc w:val="left"/>
            </w:pPr>
            <w:r>
              <w:t> </w:t>
            </w:r>
          </w:p>
        </w:tc>
        <w:tc>
          <w:tcPr>
            <w:tcW w:w="105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3,140</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95" w:type="dxa"/>
            <w:tcBorders/>
            <w:shd w:fill="FFFFFF" w:val="clear"/>
            <w:vAlign w:val="center"/>
          </w:tcPr>
          <w:p>
            <w:pPr>
              <w:pStyle w:val="TableContents"/>
              <w:bidi w:val="0"/>
              <w:spacing w:before="0" w:after="283"/>
              <w:jc w:val="left"/>
            </w:pPr>
            <w:r>
              <w:t> </w:t>
            </w:r>
          </w:p>
        </w:tc>
        <w:tc>
          <w:tcPr>
            <w:tcW w:w="102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3" w:type="dxa"/>
            <w:tcBorders/>
            <w:shd w:fill="FFFFFF" w:val="clear"/>
            <w:vAlign w:val="center"/>
          </w:tcPr>
          <w:p>
            <w:pPr>
              <w:pStyle w:val="TableContents"/>
              <w:bidi w:val="0"/>
              <w:spacing w:before="0" w:after="283"/>
              <w:ind w:left="0" w:right="0" w:hanging="0"/>
              <w:jc w:val="left"/>
            </w:pPr>
            <w:r>
              <w:t> </w:t>
            </w:r>
          </w:p>
        </w:tc>
      </w:tr>
      <w:tr>
        <w:tc>
          <w:tcPr>
            <w:tcW w:w="7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Revolving line of credit with a Taiwan bank up to $3.1 million with interest at 3.2%, maturing February 25, 2027</w:t>
            </w:r>
          </w:p>
        </w:tc>
        <w:tc>
          <w:tcPr>
            <w:tcW w:w="60" w:type="dxa"/>
            <w:tcBorders/>
            <w:shd w:fill="CCEEFF" w:val="clear"/>
            <w:vAlign w:val="center"/>
          </w:tcPr>
          <w:p>
            <w:pPr>
              <w:pStyle w:val="TableContents"/>
              <w:bidi w:val="0"/>
              <w:spacing w:before="0" w:after="0"/>
              <w:ind w:left="0" w:right="0" w:hanging="0"/>
              <w:jc w:val="left"/>
            </w:pPr>
            <w:r>
              <w:t> </w:t>
            </w:r>
          </w:p>
        </w:tc>
        <w:tc>
          <w:tcPr>
            <w:tcW w:w="202" w:type="dxa"/>
            <w:tcBorders/>
            <w:shd w:fill="CCEEFF" w:val="clear"/>
            <w:vAlign w:val="center"/>
          </w:tcPr>
          <w:p>
            <w:pPr>
              <w:pStyle w:val="TableContents"/>
              <w:bidi w:val="0"/>
              <w:spacing w:before="0" w:after="0"/>
              <w:ind w:left="0" w:right="0" w:hanging="0"/>
              <w:jc w:val="left"/>
            </w:pPr>
            <w:r>
              <w:t> </w:t>
            </w:r>
          </w:p>
        </w:tc>
        <w:tc>
          <w:tcPr>
            <w:tcW w:w="10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3,140</w:t>
            </w:r>
          </w:p>
        </w:tc>
        <w:tc>
          <w:tcPr>
            <w:tcW w:w="80" w:type="dxa"/>
            <w:tcBorders/>
            <w:shd w:fill="CCEEFF" w:val="clear"/>
            <w:vAlign w:val="center"/>
          </w:tcPr>
          <w:p>
            <w:pPr>
              <w:pStyle w:val="TableContents"/>
              <w:bidi w:val="0"/>
              <w:spacing w:before="0" w:after="0"/>
              <w:ind w:left="0" w:right="0" w:hanging="0"/>
              <w:jc w:val="left"/>
            </w:pPr>
            <w:r>
              <w:t> </w:t>
            </w:r>
          </w:p>
        </w:tc>
        <w:tc>
          <w:tcPr>
            <w:tcW w:w="60" w:type="dxa"/>
            <w:tcBorders/>
            <w:shd w:fill="CCEEFF" w:val="clear"/>
            <w:vAlign w:val="center"/>
          </w:tcPr>
          <w:p>
            <w:pPr>
              <w:pStyle w:val="TableContents"/>
              <w:bidi w:val="0"/>
              <w:spacing w:before="0" w:after="0"/>
              <w:ind w:left="0" w:right="0" w:hanging="0"/>
              <w:jc w:val="left"/>
            </w:pPr>
            <w:r>
              <w:t> </w:t>
            </w:r>
          </w:p>
        </w:tc>
        <w:tc>
          <w:tcPr>
            <w:tcW w:w="195" w:type="dxa"/>
            <w:tcBorders/>
            <w:shd w:fill="CCEEFF" w:val="clear"/>
            <w:vAlign w:val="center"/>
          </w:tcPr>
          <w:p>
            <w:pPr>
              <w:pStyle w:val="TableContents"/>
              <w:bidi w:val="0"/>
              <w:spacing w:before="0" w:after="0"/>
              <w:ind w:left="0" w:right="0" w:hanging="0"/>
              <w:jc w:val="left"/>
            </w:pPr>
            <w:r>
              <w:t> </w:t>
            </w:r>
          </w:p>
        </w:tc>
        <w:tc>
          <w:tcPr>
            <w:tcW w:w="102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83" w:type="dxa"/>
            <w:tcBorders/>
            <w:shd w:fill="CCEEFF" w:val="clear"/>
            <w:vAlign w:val="center"/>
          </w:tcPr>
          <w:p>
            <w:pPr>
              <w:pStyle w:val="TableContents"/>
              <w:bidi w:val="0"/>
              <w:spacing w:before="0" w:after="0"/>
              <w:jc w:val="left"/>
            </w:pPr>
            <w:r>
              <w:t> </w:t>
            </w:r>
          </w:p>
        </w:tc>
      </w:tr>
      <w:tr>
        <w:tc>
          <w:tcPr>
            <w:tcW w:w="744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Revolving line of credit and equipment term loan with a Taiwan bank up to $8.8 million with interest at 3.4%, maturing July 15, 2029</w:t>
            </w:r>
          </w:p>
        </w:tc>
        <w:tc>
          <w:tcPr>
            <w:tcW w:w="60" w:type="dxa"/>
            <w:tcBorders/>
            <w:shd w:fill="FFFFFF" w:val="clear"/>
            <w:vAlign w:val="center"/>
          </w:tcPr>
          <w:p>
            <w:pPr>
              <w:pStyle w:val="TableContents"/>
              <w:bidi w:val="0"/>
              <w:spacing w:before="0" w:after="283"/>
              <w:jc w:val="left"/>
            </w:pPr>
            <w:r>
              <w:t> </w:t>
            </w:r>
          </w:p>
        </w:tc>
        <w:tc>
          <w:tcPr>
            <w:tcW w:w="202" w:type="dxa"/>
            <w:tcBorders/>
            <w:shd w:fill="FFFFFF" w:val="clear"/>
            <w:vAlign w:val="center"/>
          </w:tcPr>
          <w:p>
            <w:pPr>
              <w:pStyle w:val="TableContents"/>
              <w:bidi w:val="0"/>
              <w:spacing w:before="0" w:after="283"/>
              <w:jc w:val="left"/>
            </w:pPr>
            <w:r>
              <w:t> </w:t>
            </w:r>
          </w:p>
        </w:tc>
        <w:tc>
          <w:tcPr>
            <w:tcW w:w="105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5,651</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95" w:type="dxa"/>
            <w:tcBorders/>
            <w:shd w:fill="FFFFFF" w:val="clear"/>
            <w:vAlign w:val="center"/>
          </w:tcPr>
          <w:p>
            <w:pPr>
              <w:pStyle w:val="TableContents"/>
              <w:bidi w:val="0"/>
              <w:spacing w:before="0" w:after="283"/>
              <w:jc w:val="left"/>
            </w:pPr>
            <w:r>
              <w:t> </w:t>
            </w:r>
          </w:p>
        </w:tc>
        <w:tc>
          <w:tcPr>
            <w:tcW w:w="102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3" w:type="dxa"/>
            <w:tcBorders/>
            <w:shd w:fill="FFFFFF" w:val="clear"/>
            <w:vAlign w:val="center"/>
          </w:tcPr>
          <w:p>
            <w:pPr>
              <w:pStyle w:val="TableContents"/>
              <w:bidi w:val="0"/>
              <w:spacing w:before="0" w:after="283"/>
              <w:jc w:val="left"/>
            </w:pPr>
            <w:r>
              <w:t> </w:t>
            </w:r>
          </w:p>
        </w:tc>
      </w:tr>
      <w:tr>
        <w:tc>
          <w:tcPr>
            <w:tcW w:w="7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sale and purchase, and a finance lease agreement with a Taiwan financial institution up to $6.3 million with interest at 4.5%, maturing July 17, 2029</w:t>
            </w:r>
          </w:p>
        </w:tc>
        <w:tc>
          <w:tcPr>
            <w:tcW w:w="60" w:type="dxa"/>
            <w:tcBorders/>
            <w:shd w:fill="CCEEFF" w:val="clear"/>
            <w:vAlign w:val="center"/>
          </w:tcPr>
          <w:p>
            <w:pPr>
              <w:pStyle w:val="TableContents"/>
              <w:bidi w:val="0"/>
              <w:spacing w:before="0" w:after="283"/>
              <w:ind w:left="0" w:right="0" w:hanging="0"/>
              <w:jc w:val="left"/>
            </w:pPr>
            <w:r>
              <w:t> </w:t>
            </w:r>
          </w:p>
        </w:tc>
        <w:tc>
          <w:tcPr>
            <w:tcW w:w="20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1059"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5,952</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9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1020"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w:t>
            </w:r>
          </w:p>
        </w:tc>
        <w:tc>
          <w:tcPr>
            <w:tcW w:w="83" w:type="dxa"/>
            <w:tcBorders/>
            <w:shd w:fill="CCEEFF" w:val="clear"/>
            <w:vAlign w:val="center"/>
          </w:tcPr>
          <w:p>
            <w:pPr>
              <w:pStyle w:val="TableContents"/>
              <w:bidi w:val="0"/>
              <w:spacing w:before="0" w:after="283"/>
              <w:jc w:val="left"/>
            </w:pPr>
            <w:r>
              <w:t> </w:t>
            </w:r>
          </w:p>
        </w:tc>
      </w:tr>
      <w:tr>
        <w:tc>
          <w:tcPr>
            <w:tcW w:w="744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jc w:val="left"/>
            </w:pPr>
            <w:r>
              <w:t> </w:t>
            </w:r>
          </w:p>
        </w:tc>
        <w:tc>
          <w:tcPr>
            <w:tcW w:w="20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96,576</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9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33,975</w:t>
            </w:r>
          </w:p>
        </w:tc>
        <w:tc>
          <w:tcPr>
            <w:tcW w:w="83" w:type="dxa"/>
            <w:tcBorders/>
            <w:shd w:fill="FFFFFF" w:val="clear"/>
            <w:vAlign w:val="center"/>
          </w:tcPr>
          <w:p>
            <w:pPr>
              <w:pStyle w:val="TableContents"/>
              <w:bidi w:val="0"/>
              <w:spacing w:before="0" w:after="283"/>
              <w:jc w:val="left"/>
            </w:pPr>
            <w:r>
              <w:t> </w:t>
            </w:r>
          </w:p>
        </w:tc>
      </w:tr>
      <w:tr>
        <w:tc>
          <w:tcPr>
            <w:tcW w:w="744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current portion</w:t>
            </w:r>
          </w:p>
        </w:tc>
        <w:tc>
          <w:tcPr>
            <w:tcW w:w="60" w:type="dxa"/>
            <w:tcBorders/>
            <w:shd w:fill="CCEEFF" w:val="clear"/>
            <w:vAlign w:val="center"/>
          </w:tcPr>
          <w:p>
            <w:pPr>
              <w:pStyle w:val="TableContents"/>
              <w:bidi w:val="0"/>
              <w:spacing w:before="0" w:after="283"/>
              <w:jc w:val="left"/>
            </w:pPr>
            <w:r>
              <w:t> </w:t>
            </w:r>
          </w:p>
        </w:tc>
        <w:tc>
          <w:tcPr>
            <w:tcW w:w="20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0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(59,990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19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0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(33,975</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744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Non-current portion</w:t>
            </w:r>
          </w:p>
        </w:tc>
        <w:tc>
          <w:tcPr>
            <w:tcW w:w="60" w:type="dxa"/>
            <w:tcBorders/>
            <w:shd w:fill="FFFFFF" w:val="clear"/>
            <w:vAlign w:val="center"/>
          </w:tcPr>
          <w:p>
            <w:pPr>
              <w:pStyle w:val="TableContents"/>
              <w:bidi w:val="0"/>
              <w:spacing w:before="0" w:after="283"/>
              <w:ind w:left="0" w:right="0" w:hanging="0"/>
              <w:jc w:val="left"/>
            </w:pPr>
            <w:r>
              <w:t> </w:t>
            </w:r>
          </w:p>
        </w:tc>
        <w:tc>
          <w:tcPr>
            <w:tcW w:w="20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36,586</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9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3" w:type="dxa"/>
            <w:tcBorders/>
            <w:shd w:fill="FFFFFF" w:val="clear"/>
            <w:vAlign w:val="center"/>
          </w:tcPr>
          <w:p>
            <w:pPr>
              <w:pStyle w:val="TableContents"/>
              <w:bidi w:val="0"/>
              <w:spacing w:before="0" w:after="283"/>
              <w:jc w:val="left"/>
            </w:pPr>
            <w:r>
              <w:t> </w:t>
            </w:r>
          </w:p>
        </w:tc>
      </w:tr>
    </w:tbl>
    <w:p>
      <w:pPr>
        <w:pStyle w:val="TextBody"/>
        <w:bidi w:val="0"/>
        <w:spacing w:before="0" w:after="0"/>
        <w:ind w:left="0" w:right="0" w:hanging="0"/>
        <w:jc w:val="left"/>
      </w:pPr>
      <w:r>
        <w:t> </w:t>
      </w:r>
    </w:p>
    <w:tbl>
      <w:tblPr>
        <w:tblW w:w="8953" w:type="dxa"/>
        <w:jc w:val="left"/>
        <w:tblInd w:w="0" w:type="dxa"/>
        <w:tblLayout w:type="fixed"/>
        <w:tblCellMar>
          <w:top w:w="0" w:type="dxa"/>
          <w:left w:w="0" w:type="dxa"/>
          <w:bottom w:w="0" w:type="dxa"/>
          <w:right w:w="0" w:type="dxa"/>
        </w:tblCellMar>
      </w:tblPr>
      <w:tblGrid>
        <w:gridCol w:w="5450"/>
        <w:gridCol w:w="60"/>
        <w:gridCol w:w="288"/>
        <w:gridCol w:w="1366"/>
        <w:gridCol w:w="60"/>
        <w:gridCol w:w="60"/>
        <w:gridCol w:w="280"/>
        <w:gridCol w:w="1329"/>
        <w:gridCol w:w="60"/>
      </w:tblGrid>
      <w:tr>
        <w:tc>
          <w:tcPr>
            <w:tcW w:w="545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Bank Acceptance Notes Payable</w:t>
            </w:r>
          </w:p>
        </w:tc>
        <w:tc>
          <w:tcPr>
            <w:tcW w:w="60" w:type="dxa"/>
            <w:tcBorders/>
            <w:shd w:fill="FFFFFF" w:val="clear"/>
            <w:vAlign w:val="center"/>
          </w:tcPr>
          <w:p>
            <w:pPr>
              <w:pStyle w:val="TableContents"/>
              <w:bidi w:val="0"/>
              <w:spacing w:before="0" w:after="283"/>
              <w:ind w:left="0" w:right="0" w:hanging="0"/>
              <w:jc w:val="left"/>
            </w:pPr>
            <w:r>
              <w:t> </w:t>
            </w:r>
          </w:p>
        </w:tc>
        <w:tc>
          <w:tcPr>
            <w:tcW w:w="1654" w:type="dxa"/>
            <w:gridSpan w:val="2"/>
            <w:tcBorders>
              <w:bottom w:val="single" w:sz="2" w:space="0" w:color="000000"/>
            </w:tcBorders>
            <w:shd w:fill="FFFFFF" w:val="clear"/>
            <w:tcMar>
              <w:bottom w:w="28" w:type="dxa"/>
            </w:tcMar>
            <w:vAlign w:val="center"/>
          </w:tcPr>
          <w:p>
            <w:pPr>
              <w:pStyle w:val="TableContents"/>
              <w:bidi w:val="0"/>
              <w:spacing w:before="0" w:after="283"/>
              <w:jc w:val="center"/>
            </w:pPr>
            <w:r>
              <w:rPr>
                <w:rStyle w:val="Emphasis"/>
                <w:rFonts w:ascii="Times New Roman;Times;serif" w:hAnsi="Times New Roman;Times;serif"/>
                <w:b/>
                <w:sz w:val="20"/>
              </w:rPr>
              <w:t>September 30, 2026</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283"/>
              <w:jc w:val="center"/>
            </w:pPr>
            <w:r>
              <w:rPr>
                <w:rStyle w:val="Emphasis"/>
                <w:rFonts w:ascii="Times New Roman;Times;serif" w:hAnsi="Times New Roman;Times;serif"/>
                <w:b/>
                <w:sz w:val="20"/>
              </w:rPr>
              <w:t>December 31, 2025</w:t>
            </w:r>
          </w:p>
        </w:tc>
        <w:tc>
          <w:tcPr>
            <w:tcW w:w="60" w:type="dxa"/>
            <w:tcBorders/>
            <w:shd w:fill="FFFFFF" w:val="clear"/>
            <w:vAlign w:val="center"/>
          </w:tcPr>
          <w:p>
            <w:pPr>
              <w:pStyle w:val="TableContents"/>
              <w:bidi w:val="0"/>
              <w:spacing w:before="0" w:after="283"/>
              <w:jc w:val="left"/>
            </w:pPr>
            <w:r>
              <w:t> </w:t>
            </w:r>
          </w:p>
        </w:tc>
      </w:tr>
      <w:tr>
        <w:tc>
          <w:tcPr>
            <w:tcW w:w="54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Bank acceptance notes issued to vendors with 0.05% handling fees</w:t>
            </w:r>
          </w:p>
        </w:tc>
        <w:tc>
          <w:tcPr>
            <w:tcW w:w="60" w:type="dxa"/>
            <w:tcBorders/>
            <w:shd w:fill="CCEEFF" w:val="clear"/>
            <w:vAlign w:val="center"/>
          </w:tcPr>
          <w:p>
            <w:pPr>
              <w:pStyle w:val="TableContents"/>
              <w:bidi w:val="0"/>
              <w:spacing w:before="0" w:after="283"/>
              <w:ind w:left="0" w:right="0" w:hanging="0"/>
              <w:jc w:val="left"/>
            </w:pPr>
            <w:r>
              <w:t> </w:t>
            </w:r>
          </w:p>
        </w:tc>
        <w:tc>
          <w:tcPr>
            <w:tcW w:w="28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51,509</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2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33,363</w:t>
            </w:r>
          </w:p>
        </w:tc>
        <w:tc>
          <w:tcPr>
            <w:tcW w:w="60" w:type="dxa"/>
            <w:tcBorders/>
            <w:shd w:fill="CCEEFF" w:val="clear"/>
            <w:vAlign w:val="center"/>
          </w:tcPr>
          <w:p>
            <w:pPr>
              <w:pStyle w:val="TableContents"/>
              <w:bidi w:val="0"/>
              <w:spacing w:before="0" w:after="283"/>
              <w:jc w:val="left"/>
            </w:pPr>
            <w:r>
              <w:t> </w:t>
            </w:r>
          </w:p>
        </w:tc>
      </w:tr>
    </w:tbl>
    <w:p>
      <w:pPr>
        <w:pStyle w:val="TextBody"/>
        <w:bidi w:val="0"/>
        <w:spacing w:before="0" w:after="0"/>
        <w:ind w:left="0" w:right="0" w:hanging="0"/>
        <w:jc w:val="left"/>
      </w:pPr>
      <w:r>
        <w:t> </w:t>
      </w:r>
    </w:p>
    <w:p>
      <w:pPr>
        <w:pStyle w:val="TextBody"/>
        <w:bidi w:val="0"/>
        <w:spacing w:before="0" w:after="0"/>
        <w:ind w:left="0" w:right="0" w:firstLine="720"/>
        <w:jc w:val="left"/>
      </w:pPr>
      <w: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SPD Credit Line</w:t>
      </w:r>
    </w:p>
    <w:p>
      <w:pPr>
        <w:pStyle w:val="TextBody"/>
        <w:bidi w:val="0"/>
        <w:spacing w:before="0" w:after="0"/>
        <w:ind w:left="0" w:right="0" w:firstLine="720"/>
        <w:jc w:val="left"/>
      </w:pPr>
      <w:r>
        <w:t> </w:t>
      </w:r>
    </w:p>
    <w:p>
      <w:pPr>
        <w:pStyle w:val="TextBody"/>
        <w:bidi w:val="0"/>
        <w:spacing w:before="0" w:after="0"/>
        <w:ind w:left="0" w:right="0" w:firstLine="720"/>
        <w:jc w:val="left"/>
      </w:pPr>
      <w:r>
        <w:rPr>
          <w:rFonts w:ascii="Times New Roman;Times;serif" w:hAnsi="Times New Roman;Times;serif"/>
          <w:sz w:val="20"/>
        </w:rPr>
        <w:t xml:space="preserve">On </w:t>
      </w:r>
      <w:r>
        <w:rPr>
          <w:rStyle w:val="Emphasis"/>
          <w:rFonts w:ascii="Times New Roman;Times;serif" w:hAnsi="Times New Roman;Times;serif"/>
          <w:sz w:val="20"/>
        </w:rPr>
        <w:t xml:space="preserve">July 29, 2025, </w:t>
      </w:r>
      <w:r>
        <w:rPr>
          <w:rFonts w:ascii="Times New Roman;Times;serif" w:hAnsi="Times New Roman;Times;serif"/>
          <w:sz w:val="20"/>
        </w:rPr>
        <w:t xml:space="preserve">Global entered into a five-year revolving credit line agreement with Shanghai Pudong Development Bank Co., Ltd. in Ningbo City, China ("SPD"), totaling </w:t>
      </w:r>
      <w:r>
        <w:rPr>
          <w:rStyle w:val="Emphasis"/>
          <w:rFonts w:ascii="Times New Roman;Times;serif" w:hAnsi="Times New Roman;Times;serif"/>
          <w:sz w:val="20"/>
        </w:rPr>
        <w:t>250,000,000</w:t>
      </w:r>
      <w:r>
        <w:rPr>
          <w:rFonts w:ascii="Times New Roman;Times;serif" w:hAnsi="Times New Roman;Times;serif"/>
          <w:sz w:val="20"/>
        </w:rPr>
        <w:t xml:space="preserve"> RMB (the "¥250M SPD Credit Line"), or approximately $34.9 million at that time, and a mortgage contract. The ¥250M SPD Credit Line is included in the prior 82,000,000 RMB credit facility entered into by Global on </w:t>
      </w:r>
      <w:r>
        <w:rPr>
          <w:rStyle w:val="Emphasis"/>
          <w:rFonts w:ascii="Times New Roman;Times;serif" w:hAnsi="Times New Roman;Times;serif"/>
          <w:sz w:val="20"/>
        </w:rPr>
        <w:t>July 18, 2025.</w:t>
      </w:r>
    </w:p>
    <w:p>
      <w:pPr>
        <w:pStyle w:val="TextBody"/>
        <w:bidi w:val="0"/>
        <w:spacing w:before="0" w:after="0"/>
        <w:ind w:left="0" w:right="0" w:hanging="0"/>
        <w:jc w:val="left"/>
      </w:pPr>
      <w:r>
        <w:t> </w:t>
      </w:r>
    </w:p>
    <w:p>
      <w:pPr>
        <w:pStyle w:val="TextBody"/>
        <w:bidi w:val="0"/>
        <w:spacing w:before="0" w:after="0"/>
        <w:ind w:left="0" w:right="0" w:firstLine="720"/>
        <w:jc w:val="left"/>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June 11, 2026, </w:t>
      </w:r>
      <w:r>
        <w:rPr>
          <w:rFonts w:ascii="Times New Roman" w:hAnsi="Times New Roman"/>
          <w:caps w:val="false"/>
          <w:smallCaps w:val="false"/>
          <w:sz w:val="20"/>
        </w:rPr>
        <w:t xml:space="preserve">Global entered into a one-year revolving credit line agreement with SPD increasing the ¥250M SPD Credit Line to 500,000,000 RMB (the "¥500M SPD Credit Line"), or approximately $73.8 million at that time. Borrowing under the ¥500M SPD Credit Line will be used for general corporate and capital investment purposes. Global's obligation under the ¥500M SPD Credit Line will be secured by certain real property owned by Global. As of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 xml:space="preserve">, $44.5 million was outstanding under the ¥500M SPD Credit Line, and the outstanding balance of bank acceptance notes under this bank issued to vendors was $19.8 million. The unused credit as of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 was $15.8 million.</w:t>
      </w:r>
    </w:p>
    <w:p>
      <w:pPr>
        <w:pStyle w:val="TextBody"/>
        <w:bidi w:val="0"/>
        <w:spacing w:before="0" w:after="0"/>
        <w:ind w:left="0" w:right="0" w:hanging="0"/>
        <w:jc w:val="left"/>
      </w:pPr>
      <w:r>
        <w:t> </w:t>
      </w:r>
    </w:p>
    <w:p>
      <w:pPr>
        <w:pStyle w:val="TextBody"/>
        <w:bidi w:val="0"/>
        <w:spacing w:before="0" w:after="0"/>
        <w:ind w:left="180" w:right="0" w:hanging="180"/>
        <w:jc w:val="left"/>
        <w:rPr>
          <w:rFonts w:ascii="Times New Roman;Times;serif" w:hAnsi="Times New Roman;Times;serif"/>
          <w:i/>
          <w:sz w:val="20"/>
        </w:rPr>
      </w:pPr>
      <w:r>
        <w:rPr>
          <w:rFonts w:ascii="Times New Roman;Times;serif" w:hAnsi="Times New Roman;Times;serif"/>
          <w:i/>
          <w:sz w:val="20"/>
        </w:rPr>
        <w:t xml:space="preserve">CCB Loan </w:t>
      </w:r>
    </w:p>
    <w:p>
      <w:pPr>
        <w:pStyle w:val="TextBody"/>
        <w:bidi w:val="0"/>
        <w:spacing w:before="0" w:after="0"/>
        <w:ind w:left="180" w:right="0" w:hanging="0"/>
        <w:jc w:val="left"/>
      </w:pPr>
      <w:r>
        <w:t> </w:t>
      </w:r>
    </w:p>
    <w:p>
      <w:pPr>
        <w:pStyle w:val="TextBody"/>
        <w:bidi w:val="0"/>
        <w:spacing w:before="0" w:after="0"/>
        <w:ind w:left="0" w:right="0" w:firstLine="720"/>
        <w:jc w:val="left"/>
      </w:pPr>
      <w:r>
        <w:rPr>
          <w:rFonts w:ascii="Times New Roman;Times;serif" w:hAnsi="Times New Roman;Times;serif"/>
          <w:sz w:val="20"/>
        </w:rPr>
        <w:t xml:space="preserve">On </w:t>
      </w:r>
      <w:r>
        <w:rPr>
          <w:rStyle w:val="Emphasis"/>
          <w:rFonts w:ascii="Times New Roman;Times;serif" w:hAnsi="Times New Roman;Times;serif"/>
          <w:sz w:val="20"/>
        </w:rPr>
        <w:t xml:space="preserve">June 12, 2025, </w:t>
      </w:r>
      <w:r>
        <w:rPr>
          <w:rFonts w:ascii="Times New Roman;Times;serif" w:hAnsi="Times New Roman;Times;serif"/>
          <w:sz w:val="20"/>
        </w:rPr>
        <w:t>Global entered into a one-year credit facility with China Construction Bank Co., Ltd., in Ningbo, City, China ("CCB"), totaling 96,800,000 RMB (the "CCB Credit Facility"), or approximately $13.5 million at that time.</w:t>
      </w:r>
    </w:p>
    <w:p>
      <w:pPr>
        <w:pStyle w:val="TextBody"/>
        <w:bidi w:val="0"/>
        <w:spacing w:before="0" w:after="0"/>
        <w:ind w:left="0" w:right="0" w:firstLine="720"/>
        <w:jc w:val="left"/>
      </w:pPr>
      <w:r>
        <w:t> </w:t>
      </w:r>
    </w:p>
    <w:p>
      <w:pPr>
        <w:pStyle w:val="TextBody"/>
        <w:bidi w:val="0"/>
        <w:spacing w:before="0" w:after="0"/>
        <w:ind w:left="0" w:right="0" w:firstLine="720"/>
        <w:jc w:val="left"/>
      </w:pPr>
      <w:r>
        <w:rPr>
          <w:rFonts w:ascii="Times New Roman;Times;serif" w:hAnsi="Times New Roman;Times;serif"/>
          <w:sz w:val="20"/>
        </w:rPr>
        <w:t xml:space="preserve">On </w:t>
      </w:r>
      <w:r>
        <w:rPr>
          <w:rStyle w:val="Emphasis"/>
          <w:rFonts w:ascii="Times New Roman;Times;serif" w:hAnsi="Times New Roman;Times;serif"/>
          <w:sz w:val="20"/>
        </w:rPr>
        <w:t xml:space="preserve">June 26, 2025, </w:t>
      </w:r>
      <w:r>
        <w:rPr>
          <w:rFonts w:ascii="Times New Roman;Times;serif" w:hAnsi="Times New Roman;Times;serif"/>
          <w:sz w:val="20"/>
        </w:rPr>
        <w:t xml:space="preserve">Global entered into a five-year revolving credit line agreement with CCB, totaling 162,260,000 RMB (the "CCB Credit Line"), or approximately $22.7 million at that time. The amount available under the CCB Credit Line is inclusive of the CCB Credit Facility previously granted by CCB on </w:t>
      </w:r>
      <w:r>
        <w:rPr>
          <w:rStyle w:val="Emphasis"/>
          <w:rFonts w:ascii="Times New Roman;Times;serif" w:hAnsi="Times New Roman;Times;serif"/>
          <w:sz w:val="20"/>
        </w:rPr>
        <w:t xml:space="preserve">June 12, 2025.  </w:t>
      </w:r>
      <w:r>
        <w:rPr>
          <w:rFonts w:ascii="Times New Roman;Times;serif" w:hAnsi="Times New Roman;Times;serif"/>
          <w:sz w:val="20"/>
        </w:rPr>
        <w:t xml:space="preserve">On </w:t>
      </w:r>
      <w:r>
        <w:rPr>
          <w:rStyle w:val="Emphasis"/>
          <w:rFonts w:ascii="Times New Roman;Times;serif" w:hAnsi="Times New Roman;Times;serif"/>
          <w:sz w:val="20"/>
        </w:rPr>
        <w:t xml:space="preserve">December 19, 2025, </w:t>
      </w:r>
      <w:r>
        <w:rPr>
          <w:rFonts w:ascii="Times New Roman;Times;serif" w:hAnsi="Times New Roman;Times;serif"/>
          <w:sz w:val="20"/>
        </w:rPr>
        <w:t xml:space="preserve">the CCB Credit Line was increased to 250,000,000 RMB. Global's obligation under the CCB Credit Line is secured by certain real property owned by Global. As of </w:t>
      </w:r>
      <w:r>
        <w:rPr>
          <w:rStyle w:val="Emphasis"/>
          <w:rFonts w:ascii="Times New Roman;Times;serif" w:hAnsi="Times New Roman;Times;serif"/>
          <w:sz w:val="20"/>
        </w:rPr>
        <w:t>September 30, 2026</w:t>
      </w:r>
      <w:r>
        <w:rPr>
          <w:rFonts w:ascii="Times New Roman;Times;serif" w:hAnsi="Times New Roman;Times;serif"/>
          <w:sz w:val="20"/>
        </w:rPr>
        <w:t xml:space="preserve">, there was $14.8 million outstanding under the CCB Credit Line. The outstanding balance of bank acceptances notes under this bank issued to vendors was $27.4 million as of </w:t>
      </w:r>
      <w:r>
        <w:rPr>
          <w:rStyle w:val="Emphasis"/>
          <w:rFonts w:ascii="Times New Roman;Times;serif" w:hAnsi="Times New Roman;Times;serif"/>
          <w:sz w:val="20"/>
        </w:rPr>
        <w:t>September 30, 2026</w:t>
      </w:r>
      <w:r>
        <w:rPr>
          <w:rFonts w:ascii="Times New Roman;Times;serif" w:hAnsi="Times New Roman;Times;serif"/>
          <w:sz w:val="20"/>
        </w:rPr>
        <w:t xml:space="preserve">. The unused credit as of </w:t>
      </w:r>
      <w:r>
        <w:rPr>
          <w:rStyle w:val="Emphasis"/>
          <w:rFonts w:ascii="Times New Roman;Times;serif" w:hAnsi="Times New Roman;Times;serif"/>
          <w:sz w:val="20"/>
        </w:rPr>
        <w:t>September 30, 2026</w:t>
      </w:r>
      <w:r>
        <w:rPr>
          <w:rFonts w:ascii="Times New Roman;Times;serif" w:hAnsi="Times New Roman;Times;serif"/>
          <w:sz w:val="20"/>
        </w:rPr>
        <w:t> was $0.3 million.  </w:t>
      </w:r>
    </w:p>
    <w:p>
      <w:pPr>
        <w:pStyle w:val="TextBody"/>
        <w:bidi w:val="0"/>
        <w:spacing w:before="0" w:after="0"/>
        <w:ind w:left="0" w:right="0" w:firstLine="720"/>
        <w:jc w:val="left"/>
      </w:pPr>
      <w: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NBCB Loan</w:t>
      </w:r>
    </w:p>
    <w:p>
      <w:pPr>
        <w:pStyle w:val="TextBody"/>
        <w:bidi w:val="0"/>
        <w:spacing w:before="0" w:after="0"/>
        <w:ind w:left="0" w:right="0" w:hanging="0"/>
        <w:jc w:val="left"/>
      </w:pPr>
      <w:r>
        <w:t> </w:t>
      </w:r>
    </w:p>
    <w:p>
      <w:pPr>
        <w:pStyle w:val="TextBody"/>
        <w:bidi w:val="0"/>
        <w:spacing w:before="0" w:after="0"/>
        <w:ind w:left="0" w:right="0" w:firstLine="720"/>
        <w:jc w:val="left"/>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June 23, 2025, </w:t>
      </w:r>
      <w:r>
        <w:rPr>
          <w:rFonts w:ascii="Times New Roman" w:hAnsi="Times New Roman"/>
          <w:caps w:val="false"/>
          <w:smallCaps w:val="false"/>
          <w:sz w:val="20"/>
        </w:rPr>
        <w:t xml:space="preserve">Global entered into a five-year credit facility with Bank of Ningbo, in Ningbo City, China, totaling 20,000,000 RMB (the "NBCB Credit Facility"), or approximately $2.8 million at that time. On </w:t>
      </w:r>
      <w:r>
        <w:rPr>
          <w:rStyle w:val="Emphasis"/>
          <w:rFonts w:ascii="Times New Roman" w:hAnsi="Times New Roman"/>
          <w:caps w:val="false"/>
          <w:smallCaps w:val="false"/>
          <w:sz w:val="20"/>
        </w:rPr>
        <w:t xml:space="preserve">December 19, 2025, </w:t>
      </w:r>
      <w:r>
        <w:rPr>
          <w:rFonts w:ascii="Times New Roman" w:hAnsi="Times New Roman"/>
          <w:caps w:val="false"/>
          <w:smallCaps w:val="false"/>
          <w:sz w:val="20"/>
        </w:rPr>
        <w:t xml:space="preserve">the parties entered into an amendment to the NBCB Credit Facility, increasing the credit limit to 50,000,000 RMB, or approximately $7.1 million at that time (the "NBCB Credit Line"). As of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 xml:space="preserve">, there was $3.0 million outstanding under the NBCB Credit Line. The outstanding balance of bank acceptance notes issued to vendors under this bank was $4.2 million as of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 xml:space="preserve">. The unused credit as of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 was $0.2 million.  </w:t>
      </w:r>
    </w:p>
    <w:p>
      <w:pPr>
        <w:pStyle w:val="TextBody"/>
        <w:bidi w:val="0"/>
        <w:spacing w:before="0" w:after="0"/>
        <w:ind w:left="0" w:right="0" w:hanging="0"/>
        <w:jc w:val="left"/>
      </w:pPr>
      <w: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CZB Loan</w:t>
      </w:r>
    </w:p>
    <w:p>
      <w:pPr>
        <w:pStyle w:val="TextBody"/>
        <w:bidi w:val="0"/>
        <w:spacing w:before="0" w:after="0"/>
        <w:ind w:left="0" w:right="0" w:hanging="0"/>
        <w:jc w:val="left"/>
      </w:pPr>
      <w:r>
        <w:t> </w:t>
      </w:r>
    </w:p>
    <w:p>
      <w:pPr>
        <w:pStyle w:val="TextBody"/>
        <w:bidi w:val="0"/>
        <w:spacing w:before="0" w:after="0"/>
        <w:ind w:left="0" w:right="0" w:firstLine="720"/>
        <w:jc w:val="left"/>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December 26, 2025, </w:t>
      </w:r>
      <w:r>
        <w:rPr>
          <w:rFonts w:ascii="Times New Roman" w:hAnsi="Times New Roman"/>
          <w:caps w:val="false"/>
          <w:smallCaps w:val="false"/>
          <w:sz w:val="20"/>
        </w:rPr>
        <w:t xml:space="preserve">Global entered into an asset pooling cooperation agreement with China Zheshang Bank in Ningbo City, China totaling 40,000,000 RMB (the "CZB Credit Line"), or approximately $5.7 million at that time. As of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 xml:space="preserve">, there was $1.5 million outstanding under the CZB Credit Line. The unused credit as of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 xml:space="preserve"> was $1.5 million.</w:t>
      </w:r>
    </w:p>
    <w:p>
      <w:pPr>
        <w:pStyle w:val="TextBody"/>
        <w:bidi w:val="0"/>
        <w:spacing w:before="0" w:after="0"/>
        <w:ind w:left="0" w:right="0" w:hanging="0"/>
        <w:jc w:val="left"/>
      </w:pPr>
      <w: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BOC Loan</w:t>
      </w:r>
    </w:p>
    <w:p>
      <w:pPr>
        <w:pStyle w:val="TextBody"/>
        <w:bidi w:val="0"/>
        <w:spacing w:before="0" w:after="0"/>
        <w:ind w:left="0" w:right="0" w:hanging="0"/>
        <w:jc w:val="left"/>
      </w:pPr>
      <w:r>
        <w:t> </w:t>
      </w:r>
    </w:p>
    <w:p>
      <w:pPr>
        <w:pStyle w:val="TextBody"/>
        <w:bidi w:val="0"/>
        <w:spacing w:before="0" w:after="0"/>
        <w:ind w:left="0" w:right="0" w:firstLine="720"/>
        <w:jc w:val="left"/>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April 29, 2026, </w:t>
      </w:r>
      <w:r>
        <w:rPr>
          <w:rFonts w:ascii="Times New Roman" w:hAnsi="Times New Roman"/>
          <w:caps w:val="false"/>
          <w:smallCaps w:val="false"/>
          <w:sz w:val="20"/>
        </w:rPr>
        <w:t xml:space="preserve">Global entered into a one-year credit facility with Bank of China in Ningbo City, China, totaling 100,000,000 RMB (the "BOC Credit Line"), or approximately $14.8 million at that time. As of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 there was $14.8 million outstanding under the BOC Credit Line.  </w:t>
      </w:r>
    </w:p>
    <w:p>
      <w:pPr>
        <w:pStyle w:val="TextBody"/>
        <w:bidi w:val="0"/>
        <w:spacing w:before="0" w:after="0"/>
        <w:ind w:left="0" w:right="0" w:hanging="0"/>
        <w:jc w:val="left"/>
      </w:pPr>
      <w: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BOKF Loan</w:t>
      </w:r>
    </w:p>
    <w:p>
      <w:pPr>
        <w:pStyle w:val="TextBody"/>
        <w:bidi w:val="0"/>
        <w:spacing w:before="0" w:after="0"/>
        <w:ind w:left="0" w:right="0" w:hanging="0"/>
        <w:jc w:val="left"/>
      </w:pPr>
      <w:r>
        <w:t> </w:t>
      </w:r>
    </w:p>
    <w:p>
      <w:pPr>
        <w:pStyle w:val="TextBody"/>
        <w:bidi w:val="0"/>
        <w:spacing w:before="0" w:after="0"/>
        <w:ind w:left="0" w:right="0" w:firstLine="720"/>
        <w:jc w:val="left"/>
      </w:pPr>
      <w:r>
        <w:rPr>
          <w:rFonts w:ascii="Times New Roman;Times;serif" w:hAnsi="Times New Roman;Times;serif"/>
          <w:sz w:val="20"/>
        </w:rPr>
        <w:t xml:space="preserve">On </w:t>
      </w:r>
      <w:r>
        <w:rPr>
          <w:rStyle w:val="Emphasis"/>
          <w:rFonts w:ascii="Times New Roman;Times;serif" w:hAnsi="Times New Roman;Times;serif"/>
          <w:sz w:val="20"/>
        </w:rPr>
        <w:t xml:space="preserve">July 31, 2025, </w:t>
      </w:r>
      <w:r>
        <w:rPr>
          <w:rFonts w:ascii="Times New Roman;Times;serif" w:hAnsi="Times New Roman;Times;serif"/>
          <w:sz w:val="20"/>
        </w:rPr>
        <w:t xml:space="preserve">the Company entered into a Loan and Security Agreement with BOKF, NA dba BOK Financial, as agent for secured parties (the "BOKF Credit Facility"). The BOKF Credit Facility provides the Company with a three-year, $35 million revolving line of credit, with the ability to request additional lender commitments in an aggregate amount </w:t>
      </w:r>
      <w:r>
        <w:rPr>
          <w:rStyle w:val="Emphasis"/>
          <w:rFonts w:ascii="Times New Roman;Times;serif" w:hAnsi="Times New Roman;Times;serif"/>
          <w:sz w:val="20"/>
        </w:rPr>
        <w:t>not</w:t>
      </w:r>
      <w:r>
        <w:rPr>
          <w:rFonts w:ascii="Times New Roman;Times;serif" w:hAnsi="Times New Roman;Times;serif"/>
          <w:sz w:val="20"/>
        </w:rPr>
        <w:t xml:space="preserve"> to exceed $40 million (for a total aggregate amount of $75 million) pursuant to certain conditions. As of </w:t>
      </w:r>
      <w:r>
        <w:rPr>
          <w:rStyle w:val="Emphasis"/>
          <w:rFonts w:ascii="Times New Roman;Times;serif" w:hAnsi="Times New Roman;Times;serif"/>
          <w:sz w:val="20"/>
        </w:rPr>
        <w:t>September 30, 2026</w:t>
      </w:r>
      <w:r>
        <w:rPr>
          <w:rFonts w:ascii="Times New Roman;Times;serif" w:hAnsi="Times New Roman;Times;serif"/>
          <w:sz w:val="20"/>
        </w:rPr>
        <w:t>, $0 was outstanding under the BOKF Credit Facility.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Taishin Loan</w:t>
      </w:r>
    </w:p>
    <w:p>
      <w:pPr>
        <w:pStyle w:val="TextBody"/>
        <w:bidi w:val="0"/>
        <w:spacing w:before="0" w:after="283"/>
        <w:jc w:val="left"/>
      </w:pPr>
      <w:r>
        <w:t xml:space="preserve">  </w:t>
      </w:r>
    </w:p>
    <w:p>
      <w:pPr>
        <w:pStyle w:val="TextBody"/>
        <w:bidi w:val="0"/>
        <w:spacing w:before="0" w:after="0"/>
        <w:ind w:left="0" w:right="0" w:firstLine="720"/>
        <w:jc w:val="left"/>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November 27, 2025, </w:t>
      </w:r>
      <w:r>
        <w:rPr>
          <w:rFonts w:ascii="Times New Roman" w:hAnsi="Times New Roman"/>
          <w:caps w:val="false"/>
          <w:smallCaps w:val="false"/>
          <w:sz w:val="20"/>
        </w:rPr>
        <w:t xml:space="preserve">Prime World entered into a credit facility with Taishin International Bank in Taiwan, consisting of a NT$100,000,000 line of credit (the "NT$100M Credit Line"), or approximately $3.1 million at that time, and a US$2,000,000 line of credit (the "US$2M Credit Line", collectively, with the </w:t>
      </w:r>
      <w:r>
        <w:rPr>
          <w:rStyle w:val="Emphasis"/>
          <w:rFonts w:ascii="Times New Roman" w:hAnsi="Times New Roman"/>
          <w:caps w:val="false"/>
          <w:smallCaps w:val="false"/>
          <w:sz w:val="20"/>
        </w:rPr>
        <w:t>NT$100M</w:t>
      </w:r>
      <w:r>
        <w:rPr>
          <w:rFonts w:ascii="Times New Roman" w:hAnsi="Times New Roman"/>
          <w:caps w:val="false"/>
          <w:smallCaps w:val="false"/>
          <w:sz w:val="20"/>
        </w:rPr>
        <w:t xml:space="preserve"> Credit Line, the "Taishin Credit Facility"). Prime World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utilize the Taishin Credit Facility from </w:t>
      </w:r>
      <w:r>
        <w:rPr>
          <w:rStyle w:val="Emphasis"/>
          <w:rFonts w:ascii="Times New Roman" w:hAnsi="Times New Roman"/>
          <w:caps w:val="false"/>
          <w:smallCaps w:val="false"/>
          <w:sz w:val="20"/>
        </w:rPr>
        <w:t xml:space="preserve">November 27, 2025 </w:t>
      </w:r>
      <w:r>
        <w:rPr>
          <w:rFonts w:ascii="Times New Roman" w:hAnsi="Times New Roman"/>
          <w:caps w:val="false"/>
          <w:smallCaps w:val="false"/>
          <w:sz w:val="20"/>
        </w:rPr>
        <w:t xml:space="preserve">through </w:t>
      </w:r>
      <w:r>
        <w:rPr>
          <w:rStyle w:val="Emphasis"/>
          <w:rFonts w:ascii="Times New Roman" w:hAnsi="Times New Roman"/>
          <w:caps w:val="false"/>
          <w:smallCaps w:val="false"/>
          <w:sz w:val="20"/>
        </w:rPr>
        <w:t xml:space="preserve">October 31, 2026. </w:t>
      </w:r>
      <w:r>
        <w:rPr>
          <w:rFonts w:ascii="Times New Roman" w:hAnsi="Times New Roman"/>
          <w:caps w:val="false"/>
          <w:smallCaps w:val="false"/>
          <w:sz w:val="20"/>
        </w:rPr>
        <w:t xml:space="preserve">Borrowings under the </w:t>
      </w:r>
      <w:r>
        <w:rPr>
          <w:rStyle w:val="Emphasis"/>
          <w:rFonts w:ascii="Times New Roman" w:hAnsi="Times New Roman"/>
          <w:caps w:val="false"/>
          <w:smallCaps w:val="false"/>
          <w:sz w:val="20"/>
        </w:rPr>
        <w:t>NT$100M</w:t>
      </w:r>
      <w:r>
        <w:rPr>
          <w:rFonts w:ascii="Times New Roman" w:hAnsi="Times New Roman"/>
          <w:caps w:val="false"/>
          <w:smallCaps w:val="false"/>
          <w:sz w:val="20"/>
        </w:rPr>
        <w:t xml:space="preserve"> Credit Line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drawn as short-term loans, while the </w:t>
      </w:r>
      <w:r>
        <w:rPr>
          <w:rStyle w:val="Emphasis"/>
          <w:rFonts w:ascii="Times New Roman" w:hAnsi="Times New Roman"/>
          <w:caps w:val="false"/>
          <w:smallCaps w:val="false"/>
          <w:sz w:val="20"/>
        </w:rPr>
        <w:t>US$2M</w:t>
      </w:r>
      <w:r>
        <w:rPr>
          <w:rFonts w:ascii="Times New Roman" w:hAnsi="Times New Roman"/>
          <w:caps w:val="false"/>
          <w:smallCaps w:val="false"/>
          <w:sz w:val="20"/>
        </w:rPr>
        <w:t xml:space="preserve"> Credit Line is a derivatives-based facility and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used by Prime World to enter into foreign exchange hedging transactions. As of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 $3.1 million was outstanding under the NT$100M Credit Line and the US$2M Credit Line was unutilized.</w:t>
      </w:r>
    </w:p>
    <w:p>
      <w:pPr>
        <w:pStyle w:val="TextBody"/>
        <w:bidi w:val="0"/>
        <w:spacing w:before="0" w:after="0"/>
        <w:ind w:left="0" w:right="0" w:hanging="0"/>
        <w:jc w:val="left"/>
      </w:pPr>
      <w:r>
        <w:t> </w:t>
      </w:r>
    </w:p>
    <w:p>
      <w:pPr>
        <w:pStyle w:val="TextBody"/>
        <w:bidi w:val="0"/>
        <w:jc w:val="left"/>
        <w:rPr>
          <w:rFonts w:ascii="Times New Roman;Times;serif" w:hAnsi="Times New Roman;Times;serif"/>
          <w:sz w:val="20"/>
        </w:rPr>
      </w:pPr>
      <w:r>
        <w:rPr>
          <w:rFonts w:ascii="Times New Roman;Times;serif" w:hAnsi="Times New Roman;Times;serif"/>
          <w:i/>
          <w:sz w:val="20"/>
        </w:rPr>
        <w:t>FCB Loan</w:t>
      </w:r>
      <w:r>
        <w:rPr>
          <w:rFonts w:ascii="Times New Roman;Times;serif" w:hAnsi="Times New Roman;Times;serif"/>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left"/>
      </w:pPr>
      <w:r>
        <w:rPr>
          <w:caps w:val="false"/>
          <w:smallCaps w:val="false"/>
        </w:rPr>
        <w:t>           </w:t>
      </w: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January 2, 2026, </w:t>
      </w:r>
      <w:r>
        <w:rPr>
          <w:rFonts w:ascii="Times New Roman" w:hAnsi="Times New Roman"/>
          <w:caps w:val="false"/>
          <w:smallCaps w:val="false"/>
          <w:sz w:val="20"/>
        </w:rPr>
        <w:t xml:space="preserve">Prime World entered into a credit facility with First Commercial Bank in Taiwan, consisting of a NT$100,000,000 line of credit (the "FCB Credit Facility"), or approximately $3.1 million at that time. As of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 there was $3.1 million outstanding under the FCB Credit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CTBC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June 11, 2026, </w:t>
      </w:r>
      <w:r>
        <w:rPr>
          <w:rFonts w:ascii="Times New Roman" w:hAnsi="Times New Roman"/>
          <w:caps w:val="false"/>
          <w:smallCaps w:val="false"/>
          <w:sz w:val="20"/>
        </w:rPr>
        <w:t>Prime World entered into a credit facility with CTBC Bank Co., Ltd. in Taiwan, consisting of a NT$100,000,000 line of credit and a NT$180,000,000 equipment term loan (collectively, the "CTBC Credit Facility"), or approximately a total of $8.8 million at that time. As of </w:t>
      </w:r>
      <w:r>
        <w:rPr>
          <w:rStyle w:val="Emphasis"/>
          <w:rFonts w:ascii="Times New Roman" w:hAnsi="Times New Roman"/>
          <w:caps w:val="false"/>
          <w:smallCaps w:val="false"/>
          <w:sz w:val="20"/>
        </w:rPr>
        <w:t xml:space="preserve"> September 30, 2026</w:t>
      </w:r>
      <w:r>
        <w:rPr>
          <w:rFonts w:ascii="Times New Roman" w:hAnsi="Times New Roman"/>
          <w:caps w:val="false"/>
          <w:smallCaps w:val="false"/>
          <w:sz w:val="20"/>
        </w:rPr>
        <w:t> $5.7 million was outstanding under the CTBC Credit Facility. The unused credit as of </w:t>
      </w:r>
      <w:r>
        <w:rPr>
          <w:rStyle w:val="Emphasis"/>
          <w:rFonts w:ascii="Times New Roman" w:hAnsi="Times New Roman"/>
          <w:caps w:val="false"/>
          <w:smallCaps w:val="false"/>
          <w:sz w:val="20"/>
        </w:rPr>
        <w:t xml:space="preserve"> September 30, 2026</w:t>
      </w:r>
      <w:r>
        <w:rPr>
          <w:rFonts w:ascii="Times New Roman" w:hAnsi="Times New Roman"/>
          <w:caps w:val="false"/>
          <w:smallCaps w:val="false"/>
          <w:sz w:val="20"/>
        </w:rPr>
        <w:t> was $3.1 million.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Chailease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July 14, 2026</w:t>
      </w:r>
      <w:r>
        <w:rPr>
          <w:rFonts w:ascii="Times New Roman" w:hAnsi="Times New Roman"/>
          <w:i/>
          <w:caps w:val="false"/>
          <w:smallCaps w:val="false"/>
          <w:sz w:val="20"/>
        </w:rPr>
        <w:t>,</w:t>
      </w:r>
      <w:r>
        <w:rPr>
          <w:rFonts w:ascii="Times New Roman" w:hAnsi="Times New Roman"/>
          <w:caps w:val="false"/>
          <w:smallCaps w:val="false"/>
          <w:sz w:val="20"/>
        </w:rPr>
        <w:t> Prime World entered into a sale and purchase agreement and a finance lease agreement credit facility with Chailease Finance Co., Ltd. in Taiwan, providing financing of NT$200,000,000 (collectively, the "Chailease Financing Arrangement"), or approximately $6.0 million at that time. As of </w:t>
      </w:r>
      <w:r>
        <w:rPr>
          <w:rStyle w:val="Emphasis"/>
          <w:rFonts w:ascii="Times New Roman" w:hAnsi="Times New Roman"/>
          <w:caps w:val="false"/>
          <w:smallCaps w:val="false"/>
          <w:sz w:val="20"/>
        </w:rPr>
        <w:t xml:space="preserve"> September 30, 2026</w:t>
      </w:r>
      <w:r>
        <w:rPr>
          <w:rFonts w:ascii="Times New Roman" w:hAnsi="Times New Roman"/>
          <w:i/>
          <w:caps w:val="false"/>
          <w:smallCaps w:val="false"/>
          <w:sz w:val="20"/>
        </w:rPr>
        <w:t>,</w:t>
      </w:r>
      <w:r>
        <w:rPr>
          <w:rFonts w:ascii="Times New Roman" w:hAnsi="Times New Roman"/>
          <w:caps w:val="false"/>
          <w:smallCaps w:val="false"/>
          <w:sz w:val="20"/>
        </w:rPr>
        <w:t> $6.0 million was outstanding under the Chailease Financing Arrangement.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Covenants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pPr>
      <w:r>
        <w:rPr>
          <w:rFonts w:ascii="Times New Roman" w:hAnsi="Times New Roman"/>
          <w:caps w:val="false"/>
          <w:smallCaps w:val="false"/>
          <w:sz w:val="20"/>
        </w:rPr>
        <w:t>As of</w:t>
      </w:r>
      <w:r>
        <w:rPr>
          <w:rFonts w:ascii="Times New Roman" w:hAnsi="Times New Roman"/>
          <w:caps w:val="false"/>
          <w:smallCaps w:val="false"/>
          <w:sz w:val="20"/>
          <w:shd w:fill="FFFFFF" w:val="clear"/>
        </w:rPr>
        <w:t> </w:t>
      </w:r>
      <w:r>
        <w:rPr>
          <w:rStyle w:val="Emphasis"/>
          <w:rFonts w:ascii="Times New Roman" w:hAnsi="Times New Roman"/>
          <w:caps w:val="false"/>
          <w:smallCaps w:val="false"/>
          <w:sz w:val="20"/>
        </w:rPr>
        <w:t xml:space="preserve"> September 30, 2026</w:t>
      </w:r>
      <w:r>
        <w:rPr>
          <w:rFonts w:ascii="Times New Roman" w:hAnsi="Times New Roman"/>
          <w:caps w:val="false"/>
          <w:smallCaps w:val="false"/>
          <w:sz w:val="20"/>
        </w:rPr>
        <w:t>, we were in compliance with the covenants in the lending arrangements.</w:t>
      </w:r>
    </w:p>
    <w:p>
      <w:pPr>
        <w:pStyle w:val="TextBody"/>
        <w:bidi w:val="0"/>
        <w:spacing w:before="0" w:after="0"/>
        <w:ind w:left="0" w:right="0" w:hanging="0"/>
        <w:jc w:val="left"/>
      </w:pPr>
      <w:r>
        <w:t> </w:t>
      </w:r>
    </w:p>
    <w:p>
      <w:pPr>
        <w:pStyle w:val="TextBody"/>
        <w:bidi w:val="0"/>
        <w:spacing w:before="0" w:after="0"/>
        <w:jc w:val="center"/>
      </w:pPr>
      <w:r>
        <w:rPr>
          <w:rStyle w:val="Emphasis"/>
          <w:rFonts w:ascii="Times New Roman" w:hAnsi="Times New Roman"/>
          <w:sz w:val="20"/>
        </w:rPr>
        <w:t>16</w:t>
      </w:r>
      <w:r>
        <w:rPr>
          <w:rFonts w:ascii="Times New Roman" w:hAnsi="Times New Roman"/>
          <w:sz w:val="20"/>
        </w:rPr>
        <w:t xml:space="preserve"> </w:t>
      </w:r>
    </w:p>
    <w:p>
      <w:pPr>
        <w:pStyle w:val="HorizontalLine"/>
        <w:pBdr>
          <w:bottom w:val="double" w:sz="2" w:space="0" w:color="808080"/>
        </w:pBdr>
        <w:bidi w:val="0"/>
        <w:spacing w:before="0" w:after="283"/>
        <w:jc w:val="left"/>
      </w:pPr>
      <w:r/>
    </w:p>
    <w:p>
      <w:pPr>
        <w:pStyle w:val="TextBody"/>
        <w:bidi w:val="0"/>
        <w:spacing w:before="0" w:after="0"/>
        <w:jc w:val="left"/>
      </w:pPr>
      <w:hyperlink w:anchor="toc">
        <w:r>
          <w:rPr>
            <w:rStyle w:val="InternetLink"/>
            <w:rFonts w:ascii="Times New Roman;Times;serif" w:hAnsi="Times New Roman;Times;serif"/>
            <w:sz w:val="20"/>
          </w:rPr>
          <w:t>Table of Contents</w:t>
        </w:r>
      </w:hyperlink>
      <w:r>
        <w:t xml:space="preserve"> </w:t>
      </w:r>
    </w:p>
    <w:p>
      <w:pPr>
        <w:pStyle w:val="TextBody"/>
        <w:bidi w:val="0"/>
        <w:spacing w:before="0" w:after="283"/>
        <w:jc w:val="left"/>
      </w:pPr>
      <w:r>
        <w:t xml:space="preserve">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Unused Borrowing Capacity</w:t>
      </w:r>
    </w:p>
    <w:p>
      <w:pPr>
        <w:pStyle w:val="TextBody"/>
        <w:bidi w:val="0"/>
        <w:spacing w:before="0" w:after="0"/>
        <w:ind w:left="0" w:right="0" w:firstLine="720"/>
        <w:jc w:val="left"/>
      </w:pPr>
      <w:r>
        <w:t> </w:t>
      </w:r>
    </w:p>
    <w:p>
      <w:pPr>
        <w:pStyle w:val="TextBody"/>
        <w:bidi w:val="0"/>
        <w:ind w:left="0" w:right="0" w:firstLine="720"/>
        <w:jc w:val="left"/>
      </w:pPr>
      <w:r>
        <w:rPr>
          <w:rFonts w:ascii="Times New Roman;Times;serif" w:hAnsi="Times New Roman;Times;serif"/>
          <w:sz w:val="20"/>
          <w:shd w:fill="FFFFFF" w:val="clear"/>
        </w:rPr>
        <w:t>As of </w:t>
      </w:r>
      <w:r>
        <w:rPr>
          <w:rFonts w:ascii="Times New Roman;Times;serif" w:hAnsi="Times New Roman;Times;serif"/>
          <w:sz w:val="20"/>
        </w:rPr>
        <w:t xml:space="preserve"> </w:t>
      </w:r>
      <w:r>
        <w:rPr>
          <w:rStyle w:val="Emphasis"/>
          <w:rFonts w:ascii="Times New Roman;Times;serif" w:hAnsi="Times New Roman;Times;serif"/>
          <w:sz w:val="20"/>
        </w:rPr>
        <w:t>September 30, 2026</w:t>
      </w:r>
      <w:r>
        <w:rPr>
          <w:rFonts w:ascii="Times New Roman;Times;serif" w:hAnsi="Times New Roman;Times;serif"/>
          <w:sz w:val="20"/>
        </w:rPr>
        <w:t xml:space="preserve"> </w:t>
      </w:r>
      <w:r>
        <w:rPr>
          <w:rFonts w:ascii="Times New Roman;Times;serif" w:hAnsi="Times New Roman;Times;serif"/>
          <w:sz w:val="20"/>
          <w:shd w:fill="FFFFFF" w:val="clear"/>
        </w:rPr>
        <w:t>, the Company had $63.4</w:t>
      </w:r>
      <w:r>
        <w:rPr>
          <w:rFonts w:ascii="Times New Roman;Times;serif" w:hAnsi="Times New Roman;Times;serif"/>
          <w:sz w:val="20"/>
        </w:rPr>
        <w:t xml:space="preserve"> </w:t>
      </w:r>
      <w:r>
        <w:rPr>
          <w:rFonts w:ascii="Times New Roman;Times;serif" w:hAnsi="Times New Roman;Times;serif"/>
          <w:sz w:val="20"/>
          <w:shd w:fill="FFFFFF" w:val="clear"/>
        </w:rPr>
        <w:t> million of unused borrowing capacity under the SPD Credit Line, CCB Loan, NBCB Loan, CZB Loan, BOKF Loan, and CTBC Loan. This also includes $7.5 million of available borrowing capacity from BOCOM. </w:t>
      </w:r>
      <w:r>
        <w:rPr>
          <w:rFonts w:ascii="Times New Roman;Times;serif" w:hAnsi="Times New Roman;Times;serif"/>
          <w:sz w:val="20"/>
        </w:rPr>
        <w:t xml:space="preserve"> </w:t>
      </w:r>
      <w:r>
        <w:rPr>
          <w:rFonts w:ascii="Times New Roman;Times;serif" w:hAnsi="Times New Roman;Times;serif"/>
          <w:sz w:val="20"/>
          <w:shd w:fill="FFFFFF" w:val="clear"/>
        </w:rPr>
        <w:t>As of </w:t>
      </w:r>
      <w:r>
        <w:rPr>
          <w:rFonts w:ascii="Times New Roman;Times;serif" w:hAnsi="Times New Roman;Times;serif"/>
          <w:sz w:val="20"/>
        </w:rPr>
        <w:t xml:space="preserve"> </w:t>
      </w:r>
      <w:r>
        <w:rPr>
          <w:rStyle w:val="Emphasis"/>
          <w:rFonts w:ascii="Times New Roman;Times;serif" w:hAnsi="Times New Roman;Times;serif"/>
          <w:sz w:val="20"/>
        </w:rPr>
        <w:t>December 31, 2025</w:t>
      </w:r>
      <w:r>
        <w:rPr>
          <w:rFonts w:ascii="Times New Roman;Times;serif" w:hAnsi="Times New Roman;Times;serif"/>
          <w:sz w:val="20"/>
        </w:rPr>
        <w:t xml:space="preserve"> </w:t>
      </w:r>
      <w:r>
        <w:rPr>
          <w:rFonts w:ascii="Times New Roman;Times;serif" w:hAnsi="Times New Roman;Times;serif"/>
          <w:sz w:val="20"/>
          <w:shd w:fill="FFFFFF" w:val="clear"/>
        </w:rPr>
        <w:t>, the Company had $60.7</w:t>
      </w:r>
      <w:r>
        <w:rPr>
          <w:rFonts w:ascii="Times New Roman;Times;serif" w:hAnsi="Times New Roman;Times;serif"/>
          <w:sz w:val="20"/>
        </w:rPr>
        <w:t xml:space="preserve"> million </w:t>
      </w:r>
      <w:r>
        <w:rPr>
          <w:rFonts w:ascii="Times New Roman;Times;serif" w:hAnsi="Times New Roman;Times;serif"/>
          <w:sz w:val="20"/>
          <w:shd w:fill="FFFFFF" w:val="clear"/>
        </w:rPr>
        <w:t> of unused borrowing capacity under the SPD Credit Line, CCB Loan, NBCB Loan, CZB Loan, BOKF Loan and Taishin Loan.</w:t>
      </w:r>
      <w:r>
        <w:rPr>
          <w:rFonts w:ascii="Times New Roman;Times;serif" w:hAnsi="Times New Roman;Times;serif"/>
          <w:sz w:val="20"/>
        </w:rPr>
        <w:t xml:space="preserve"> </w:t>
      </w:r>
    </w:p>
    <w:p>
      <w:pPr>
        <w:pStyle w:val="TextBody"/>
        <w:bidi w:val="0"/>
        <w:spacing w:before="0" w:after="0"/>
        <w:ind w:left="0" w:right="0" w:hanging="0"/>
        <w:jc w:val="left"/>
      </w:pPr>
      <w:r>
        <w:t> </w:t>
      </w:r>
    </w:p>
    <w:p>
      <w:pPr>
        <w:pStyle w:val="TextBody"/>
        <w:bidi w:val="0"/>
        <w:ind w:left="0" w:right="0" w:firstLine="720"/>
        <w:jc w:val="left"/>
      </w:pPr>
      <w:r>
        <w:rPr>
          <w:rFonts w:ascii="Times New Roman;Times;serif" w:hAnsi="Times New Roman;Times;serif"/>
          <w:sz w:val="20"/>
        </w:rPr>
        <w:t xml:space="preserve">As of  </w:t>
      </w:r>
      <w:r>
        <w:rPr>
          <w:rStyle w:val="Emphasis"/>
          <w:rFonts w:ascii="Times New Roman;Times;serif" w:hAnsi="Times New Roman;Times;serif"/>
          <w:sz w:val="20"/>
        </w:rPr>
        <w:t>September 30, 2026</w:t>
      </w:r>
      <w:r>
        <w:rPr>
          <w:rFonts w:ascii="Times New Roman;Times;serif" w:hAnsi="Times New Roman;Times;serif"/>
          <w:sz w:val="20"/>
        </w:rPr>
        <w:t xml:space="preserve"> and </w:t>
      </w:r>
      <w:r>
        <w:rPr>
          <w:rStyle w:val="Emphasis"/>
          <w:rFonts w:ascii="Times New Roman;Times;serif" w:hAnsi="Times New Roman;Times;serif"/>
          <w:sz w:val="20"/>
        </w:rPr>
        <w:t>December 31, 2025</w:t>
      </w:r>
      <w:r>
        <w:rPr>
          <w:rFonts w:ascii="Times New Roman;Times;serif" w:hAnsi="Times New Roman;Times;serif"/>
          <w:sz w:val="20"/>
        </w:rPr>
        <w:t xml:space="preserve">, there </w:t>
      </w:r>
      <w:r>
        <w:rPr>
          <w:rFonts w:ascii="Times New Roman;Times;serif" w:hAnsi="Times New Roman;Times;serif"/>
          <w:sz w:val="20"/>
          <w:shd w:fill="FFFFFF" w:val="clear"/>
        </w:rPr>
        <w:t>was $11.4</w:t>
      </w:r>
      <w:r>
        <w:rPr>
          <w:rFonts w:ascii="Times New Roman;Times;serif" w:hAnsi="Times New Roman;Times;serif"/>
          <w:sz w:val="20"/>
        </w:rPr>
        <w:t xml:space="preserve"> </w:t>
      </w:r>
      <w:r>
        <w:rPr>
          <w:rFonts w:ascii="Times New Roman;Times;serif" w:hAnsi="Times New Roman;Times;serif"/>
          <w:sz w:val="20"/>
          <w:shd w:fill="FFFFFF" w:val="clear"/>
        </w:rPr>
        <w:t> million and $8.7 million of restricted cash, investme</w:t>
      </w:r>
      <w:r>
        <w:rPr>
          <w:rFonts w:ascii="Times New Roman;Times;serif" w:hAnsi="Times New Roman;Times;serif"/>
          <w:sz w:val="20"/>
        </w:rPr>
        <w:t xml:space="preserve">nts or security deposits associated with the loan facilities, respectively. </w:t>
      </w:r>
    </w:p>
    <w:p>
      <w:pPr>
        <w:pStyle w:val="TextBody"/>
        <w:bidi w:val="0"/>
        <w:spacing w:before="0" w:after="0"/>
        <w:ind w:left="0" w:right="0" w:hanging="0"/>
        <w:jc w:val="left"/>
      </w:pPr>
      <w:r>
        <w:t> </w:t>
      </w:r>
    </w:p>
    <w:p>
      <w:pPr>
        <w:pStyle w:val="TextBody"/>
        <w:bidi w:val="0"/>
        <w:spacing w:before="0" w:after="283"/>
        <w:jc w:val="left"/>
      </w:pPr>
      <w:r>
        <w:t xml:space="preserve">  </w:t>
      </w:r>
    </w:p>
    <w:p>
      <w:pPr>
        <w:pStyle w:val="TextBody"/>
        <w:bidi w:val="0"/>
        <w:spacing w:before="0" w:after="0"/>
        <w:ind w:left="0" w:right="0" w:hanging="0"/>
        <w:jc w:val="left"/>
      </w:pPr>
      <w:r>
        <w:rPr>
          <w:rFonts w:ascii="Times New Roman" w:hAnsi="Times New Roman"/>
          <w:b/>
          <w:sz w:val="20"/>
        </w:rPr>
        <w:t xml:space="preserve">Note </w:t>
      </w:r>
      <w:r>
        <w:rPr>
          <w:rStyle w:val="Emphasis"/>
          <w:rFonts w:ascii="Times New Roman" w:hAnsi="Times New Roman"/>
          <w:b/>
          <w:sz w:val="20"/>
        </w:rPr>
        <w:t>12.</w:t>
      </w:r>
      <w:r>
        <w:rPr>
          <w:rFonts w:ascii="Times New Roman" w:hAnsi="Times New Roman"/>
          <w:b/>
          <w:sz w:val="20"/>
        </w:rPr>
        <w:t>  Convertible Senior Notes</w:t>
      </w:r>
    </w:p>
    <w:p>
      <w:pPr>
        <w:pStyle w:val="TextBody"/>
        <w:bidi w:val="0"/>
        <w:spacing w:before="0" w:after="0"/>
        <w:ind w:left="0" w:right="0" w:hanging="0"/>
        <w:jc w:val="left"/>
      </w:pPr>
      <w:r>
        <w:t>​</w:t>
      </w:r>
    </w:p>
    <w:p>
      <w:pPr>
        <w:pStyle w:val="TextBody"/>
        <w:bidi w:val="0"/>
        <w:spacing w:before="0" w:after="0"/>
        <w:ind w:left="0" w:right="0" w:firstLine="720"/>
        <w:jc w:val="left"/>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December 18, 2024, </w:t>
      </w:r>
      <w:r>
        <w:rPr>
          <w:rFonts w:ascii="Times New Roman" w:hAnsi="Times New Roman"/>
          <w:caps w:val="false"/>
          <w:smallCaps w:val="false"/>
          <w:sz w:val="20"/>
        </w:rPr>
        <w:t xml:space="preserve">the Company entered into exchange agreements with certain holders of its 5.25% senior convertible notes due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(the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Notes”) to exchange approximately $76.7 million principal amount of the </w:t>
      </w:r>
      <w:r>
        <w:rPr>
          <w:rStyle w:val="Emphasis"/>
          <w:rFonts w:ascii="Times New Roman" w:hAnsi="Times New Roman"/>
          <w:caps w:val="false"/>
          <w:smallCaps w:val="false"/>
          <w:sz w:val="20"/>
        </w:rPr>
        <w:t>2026</w:t>
      </w:r>
      <w:r>
        <w:rPr>
          <w:rFonts w:ascii="Times New Roman" w:hAnsi="Times New Roman"/>
          <w:caps w:val="false"/>
          <w:smallCaps w:val="false"/>
          <w:sz w:val="20"/>
        </w:rPr>
        <w:t> Notes for aggregate consideration consisting of (i) $125.0 million aggregate principal amount of 2.75% Convertible Senior Notes due </w:t>
      </w:r>
      <w:r>
        <w:rPr>
          <w:rStyle w:val="Emphasis"/>
          <w:rFonts w:ascii="Times New Roman" w:hAnsi="Times New Roman"/>
          <w:caps w:val="false"/>
          <w:smallCaps w:val="false"/>
          <w:sz w:val="20"/>
        </w:rPr>
        <w:t>2030</w:t>
      </w:r>
      <w:r>
        <w:rPr>
          <w:rFonts w:ascii="Times New Roman" w:hAnsi="Times New Roman"/>
          <w:caps w:val="false"/>
          <w:smallCaps w:val="false"/>
          <w:sz w:val="20"/>
        </w:rPr>
        <w:t> (the </w:t>
      </w:r>
      <w:r>
        <w:rPr>
          <w:rStyle w:val="Emphasis"/>
          <w:rFonts w:ascii="Times New Roman" w:hAnsi="Times New Roman"/>
          <w:caps w:val="false"/>
          <w:smallCaps w:val="false"/>
          <w:sz w:val="20"/>
        </w:rPr>
        <w:t>"2030</w:t>
      </w:r>
      <w:r>
        <w:rPr>
          <w:rFonts w:ascii="Times New Roman" w:hAnsi="Times New Roman"/>
          <w:caps w:val="false"/>
          <w:smallCaps w:val="false"/>
          <w:sz w:val="20"/>
        </w:rPr>
        <w:t> Notes"), (ii) 1,487,874 shares of the Company’s common stock, par value $0.001 per share (the "Common Stock") and (iii) approximately $0.1 million of cash in aggregate, representing accrued and unpaid interest on the </w:t>
      </w:r>
      <w:r>
        <w:rPr>
          <w:rStyle w:val="Emphasis"/>
          <w:rFonts w:ascii="Times New Roman" w:hAnsi="Times New Roman"/>
          <w:caps w:val="false"/>
          <w:smallCaps w:val="false"/>
          <w:sz w:val="20"/>
        </w:rPr>
        <w:t>2026</w:t>
      </w:r>
      <w:r>
        <w:rPr>
          <w:rFonts w:ascii="Times New Roman" w:hAnsi="Times New Roman"/>
          <w:caps w:val="false"/>
          <w:smallCaps w:val="false"/>
          <w:sz w:val="20"/>
        </w:rPr>
        <w:t> Notes and the value of fractional shares of Common Stock (such transactions, collectively, the "Exchanges"). The Exchanges closed on </w:t>
      </w:r>
      <w:r>
        <w:rPr>
          <w:rStyle w:val="Emphasis"/>
          <w:rFonts w:ascii="Times New Roman" w:hAnsi="Times New Roman"/>
          <w:caps w:val="false"/>
          <w:smallCaps w:val="false"/>
          <w:sz w:val="20"/>
        </w:rPr>
        <w:t xml:space="preserve"> December 23, 2024, </w:t>
      </w:r>
      <w:r>
        <w:rPr>
          <w:rFonts w:ascii="Times New Roman" w:hAnsi="Times New Roman"/>
          <w:caps w:val="false"/>
          <w:smallCaps w:val="false"/>
          <w:sz w:val="20"/>
        </w:rPr>
        <w:t>and we recorded a debt extinguishment loss of $112.0 million due to these Exchanges. There was $3.5 million principal amount for the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Notes remaining. On </w:t>
      </w:r>
      <w:r>
        <w:rPr>
          <w:rStyle w:val="Emphasis"/>
          <w:rFonts w:ascii="Times New Roman" w:hAnsi="Times New Roman"/>
          <w:caps w:val="false"/>
          <w:smallCaps w:val="false"/>
          <w:sz w:val="20"/>
        </w:rPr>
        <w:t xml:space="preserve">July 30, 2025, </w:t>
      </w:r>
      <w:r>
        <w:rPr>
          <w:rFonts w:ascii="Times New Roman" w:hAnsi="Times New Roman"/>
          <w:caps w:val="false"/>
          <w:smallCaps w:val="false"/>
          <w:sz w:val="20"/>
        </w:rPr>
        <w:t xml:space="preserve">the Company retired the final $3.5 million principal and accrued and unpaid interest on the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Notes by exchanging such outstanding principal for 239,404 shares of the Company's common stock and by paying the accrued and outstanding interest in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pPr>
      <w:r>
        <w:rPr>
          <w:rFonts w:ascii="Times New Roman" w:hAnsi="Times New Roman"/>
          <w:caps w:val="false"/>
          <w:smallCaps w:val="false"/>
          <w:sz w:val="20"/>
        </w:rPr>
        <w:t>The </w:t>
      </w:r>
      <w:r>
        <w:rPr>
          <w:rStyle w:val="Emphasis"/>
          <w:rFonts w:ascii="Times New Roman" w:hAnsi="Times New Roman"/>
          <w:caps w:val="false"/>
          <w:smallCaps w:val="false"/>
          <w:sz w:val="20"/>
        </w:rPr>
        <w:t>2030</w:t>
      </w:r>
      <w:r>
        <w:rPr>
          <w:rFonts w:ascii="Times New Roman" w:hAnsi="Times New Roman"/>
          <w:caps w:val="false"/>
          <w:smallCaps w:val="false"/>
          <w:sz w:val="20"/>
        </w:rPr>
        <w:t> Notes were issued pursuant to an Indenture, dated as of </w:t>
      </w:r>
      <w:r>
        <w:rPr>
          <w:rStyle w:val="Emphasis"/>
          <w:rFonts w:ascii="Times New Roman" w:hAnsi="Times New Roman"/>
          <w:caps w:val="false"/>
          <w:smallCaps w:val="false"/>
          <w:sz w:val="20"/>
        </w:rPr>
        <w:t xml:space="preserve"> December 23, 2024 (</w:t>
      </w:r>
      <w:r>
        <w:rPr>
          <w:rFonts w:ascii="Times New Roman" w:hAnsi="Times New Roman"/>
          <w:caps w:val="false"/>
          <w:smallCaps w:val="false"/>
          <w:sz w:val="20"/>
        </w:rPr>
        <w:t>the "Indenture"), between the Company, as issuer, and Computershare Trust Company, N.A., as trustee. The </w:t>
      </w:r>
      <w:r>
        <w:rPr>
          <w:rStyle w:val="Emphasis"/>
          <w:rFonts w:ascii="Times New Roman" w:hAnsi="Times New Roman"/>
          <w:caps w:val="false"/>
          <w:smallCaps w:val="false"/>
          <w:sz w:val="20"/>
        </w:rPr>
        <w:t>2030</w:t>
      </w:r>
      <w:r>
        <w:rPr>
          <w:rFonts w:ascii="Times New Roman" w:hAnsi="Times New Roman"/>
          <w:caps w:val="false"/>
          <w:smallCaps w:val="false"/>
          <w:sz w:val="20"/>
        </w:rPr>
        <w:t> Notes bear interest at a rate of 2.75% per year and will pay interest semiannually in arrears on </w:t>
      </w:r>
      <w:r>
        <w:rPr>
          <w:rStyle w:val="Emphasis"/>
          <w:rFonts w:ascii="Times New Roman" w:hAnsi="Times New Roman"/>
          <w:caps w:val="false"/>
          <w:smallCaps w:val="false"/>
          <w:sz w:val="20"/>
        </w:rPr>
        <w:t xml:space="preserve"> January 15 </w:t>
      </w:r>
      <w:r>
        <w:rPr>
          <w:rFonts w:ascii="Times New Roman" w:hAnsi="Times New Roman"/>
          <w:caps w:val="false"/>
          <w:smallCaps w:val="false"/>
          <w:sz w:val="20"/>
        </w:rPr>
        <w:t>and </w:t>
      </w:r>
      <w:r>
        <w:rPr>
          <w:rStyle w:val="Emphasis"/>
          <w:rFonts w:ascii="Times New Roman" w:hAnsi="Times New Roman"/>
          <w:caps w:val="false"/>
          <w:smallCaps w:val="false"/>
          <w:sz w:val="20"/>
        </w:rPr>
        <w:t xml:space="preserve"> July 15 </w:t>
      </w:r>
      <w:r>
        <w:rPr>
          <w:rFonts w:ascii="Times New Roman" w:hAnsi="Times New Roman"/>
          <w:caps w:val="false"/>
          <w:smallCaps w:val="false"/>
          <w:sz w:val="20"/>
        </w:rPr>
        <w:t>of each year, beginning on </w:t>
      </w:r>
      <w:r>
        <w:rPr>
          <w:rStyle w:val="Emphasis"/>
          <w:rFonts w:ascii="Times New Roman" w:hAnsi="Times New Roman"/>
          <w:caps w:val="false"/>
          <w:smallCaps w:val="false"/>
          <w:sz w:val="20"/>
        </w:rPr>
        <w:t xml:space="preserve"> July 15, 2025. </w:t>
      </w:r>
      <w:r>
        <w:rPr>
          <w:rFonts w:ascii="Times New Roman" w:hAnsi="Times New Roman"/>
          <w:caps w:val="false"/>
          <w:smallCaps w:val="false"/>
          <w:sz w:val="20"/>
        </w:rPr>
        <w:t>The </w:t>
      </w:r>
      <w:r>
        <w:rPr>
          <w:rStyle w:val="Emphasis"/>
          <w:rFonts w:ascii="Times New Roman" w:hAnsi="Times New Roman"/>
          <w:caps w:val="false"/>
          <w:smallCaps w:val="false"/>
          <w:sz w:val="20"/>
        </w:rPr>
        <w:t>2030</w:t>
      </w:r>
      <w:r>
        <w:rPr>
          <w:rFonts w:ascii="Times New Roman" w:hAnsi="Times New Roman"/>
          <w:caps w:val="false"/>
          <w:smallCaps w:val="false"/>
          <w:sz w:val="20"/>
        </w:rPr>
        <w:t> Notes will mature on </w:t>
      </w:r>
      <w:r>
        <w:rPr>
          <w:rStyle w:val="Emphasis"/>
          <w:rFonts w:ascii="Times New Roman" w:hAnsi="Times New Roman"/>
          <w:caps w:val="false"/>
          <w:smallCaps w:val="false"/>
          <w:sz w:val="20"/>
        </w:rPr>
        <w:t xml:space="preserve"> January 15, 2030, </w:t>
      </w:r>
      <w:r>
        <w:rPr>
          <w:rFonts w:ascii="Times New Roman" w:hAnsi="Times New Roman"/>
          <w:caps w:val="false"/>
          <w:smallCaps w:val="false"/>
          <w:sz w:val="20"/>
        </w:rPr>
        <w:t>unless earlier converted, redeemed or repurchased in accordance with their terms.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pPr>
      <w:r>
        <w:rPr>
          <w:rFonts w:ascii="Times New Roman" w:hAnsi="Times New Roman"/>
          <w:caps w:val="false"/>
          <w:smallCaps w:val="false"/>
          <w:sz w:val="20"/>
        </w:rPr>
        <w:t xml:space="preserve">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a holder of the </w:t>
      </w:r>
      <w:r>
        <w:rPr>
          <w:rStyle w:val="Emphasis"/>
          <w:rFonts w:ascii="Times New Roman" w:hAnsi="Times New Roman"/>
          <w:caps w:val="false"/>
          <w:smallCaps w:val="false"/>
          <w:sz w:val="20"/>
        </w:rPr>
        <w:t>2030</w:t>
      </w:r>
      <w:r>
        <w:rPr>
          <w:rFonts w:ascii="Times New Roman" w:hAnsi="Times New Roman"/>
          <w:caps w:val="false"/>
          <w:smallCaps w:val="false"/>
          <w:sz w:val="20"/>
        </w:rPr>
        <w:t xml:space="preserve"> Notes exercised its conversion right with respect to $75,000 in aggregate principal amount of </w:t>
      </w:r>
      <w:r>
        <w:rPr>
          <w:rStyle w:val="Emphasis"/>
          <w:rFonts w:ascii="Times New Roman" w:hAnsi="Times New Roman"/>
          <w:caps w:val="false"/>
          <w:smallCaps w:val="false"/>
          <w:sz w:val="20"/>
        </w:rPr>
        <w:t>2030</w:t>
      </w:r>
      <w:r>
        <w:rPr>
          <w:rFonts w:ascii="Times New Roman" w:hAnsi="Times New Roman"/>
          <w:caps w:val="false"/>
          <w:smallCaps w:val="false"/>
          <w:sz w:val="20"/>
        </w:rPr>
        <w:t xml:space="preserve"> Notes. The Company settled the conversion by delivering 1,731 shares of Common Stock and $84 in cash to the converting holder based on the applicable conversion rate of 23.0884 shares per </w:t>
      </w:r>
      <w:r>
        <w:rPr>
          <w:rStyle w:val="Emphasis"/>
          <w:rFonts w:ascii="Times New Roman" w:hAnsi="Times New Roman"/>
          <w:caps w:val="false"/>
          <w:smallCaps w:val="false"/>
          <w:sz w:val="20"/>
        </w:rPr>
        <w:t>$1,000</w:t>
      </w:r>
      <w:r>
        <w:rPr>
          <w:rFonts w:ascii="Times New Roman" w:hAnsi="Times New Roman"/>
          <w:caps w:val="false"/>
          <w:smallCaps w:val="false"/>
          <w:sz w:val="20"/>
        </w:rPr>
        <w:t xml:space="preserve"> principal amount. Following this conversion, the aggregate principal amount of </w:t>
      </w:r>
      <w:r>
        <w:rPr>
          <w:rStyle w:val="Emphasis"/>
          <w:rFonts w:ascii="Times New Roman" w:hAnsi="Times New Roman"/>
          <w:caps w:val="false"/>
          <w:smallCaps w:val="false"/>
          <w:sz w:val="20"/>
        </w:rPr>
        <w:t>2030</w:t>
      </w:r>
      <w:r>
        <w:rPr>
          <w:rFonts w:ascii="Times New Roman" w:hAnsi="Times New Roman"/>
          <w:caps w:val="false"/>
          <w:smallCaps w:val="false"/>
          <w:sz w:val="20"/>
        </w:rPr>
        <w:t xml:space="preserve"> Notes outstanding was approximately $124.9 million as of </w:t>
      </w:r>
      <w:r>
        <w:rPr>
          <w:rStyle w:val="Emphasis"/>
          <w:rFonts w:ascii="Times New Roman" w:hAnsi="Times New Roman"/>
          <w:caps w:val="false"/>
          <w:smallCaps w:val="false"/>
          <w:sz w:val="20"/>
        </w:rPr>
        <w:t>September 30,</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2026.</w:t>
      </w:r>
    </w:p>
    <w:p>
      <w:pPr>
        <w:pStyle w:val="TextBody"/>
        <w:bidi w:val="0"/>
        <w:spacing w:before="0" w:after="0"/>
        <w:ind w:left="0" w:right="0" w:hanging="0"/>
        <w:jc w:val="left"/>
      </w:pPr>
      <w:r>
        <w:t> </w:t>
      </w:r>
    </w:p>
    <w:p>
      <w:pPr>
        <w:pStyle w:val="TextBody"/>
        <w:bidi w:val="0"/>
        <w:spacing w:before="0" w:after="0"/>
        <w:ind w:left="0" w:right="0" w:firstLine="720"/>
        <w:jc w:val="left"/>
      </w:pPr>
      <w:r>
        <w:rPr>
          <w:rFonts w:ascii="Times New Roman" w:hAnsi="Times New Roman"/>
          <w:caps w:val="false"/>
          <w:smallCaps w:val="false"/>
          <w:sz w:val="20"/>
        </w:rPr>
        <w:t>The following table presents the carrying value of the </w:t>
      </w:r>
      <w:r>
        <w:rPr>
          <w:rStyle w:val="Emphasis"/>
          <w:rFonts w:ascii="Times New Roman" w:hAnsi="Times New Roman"/>
          <w:caps w:val="false"/>
          <w:smallCaps w:val="false"/>
          <w:sz w:val="20"/>
        </w:rPr>
        <w:t>2030</w:t>
      </w:r>
      <w:r>
        <w:rPr>
          <w:rFonts w:ascii="Times New Roman" w:hAnsi="Times New Roman"/>
          <w:caps w:val="false"/>
          <w:smallCaps w:val="false"/>
          <w:sz w:val="20"/>
        </w:rPr>
        <w:t xml:space="preserve"> Notes for the periods indicated (in thousands):</w:t>
      </w:r>
    </w:p>
    <w:p>
      <w:pPr>
        <w:pStyle w:val="TextBody"/>
        <w:bidi w:val="0"/>
        <w:spacing w:before="0" w:after="0"/>
        <w:ind w:left="0" w:right="0" w:firstLine="941"/>
        <w:jc w:val="left"/>
      </w:pPr>
      <w:r>
        <w:t>​</w:t>
      </w:r>
    </w:p>
    <w:tbl>
      <w:tblPr>
        <w:tblW w:w="5273" w:type="dxa"/>
        <w:jc w:val="left"/>
        <w:tblInd w:w="0" w:type="dxa"/>
        <w:tblLayout w:type="fixed"/>
        <w:tblCellMar>
          <w:top w:w="0" w:type="dxa"/>
          <w:left w:w="0" w:type="dxa"/>
          <w:bottom w:w="0" w:type="dxa"/>
          <w:right w:w="0" w:type="dxa"/>
        </w:tblCellMar>
      </w:tblPr>
      <w:tblGrid>
        <w:gridCol w:w="2660"/>
        <w:gridCol w:w="60"/>
        <w:gridCol w:w="180"/>
        <w:gridCol w:w="1009"/>
        <w:gridCol w:w="80"/>
        <w:gridCol w:w="60"/>
        <w:gridCol w:w="173"/>
        <w:gridCol w:w="971"/>
        <w:gridCol w:w="80"/>
      </w:tblGrid>
      <w:tr>
        <w:tc>
          <w:tcPr>
            <w:tcW w:w="26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89"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September 30,</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44"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December 31,</w:t>
            </w:r>
          </w:p>
        </w:tc>
        <w:tc>
          <w:tcPr>
            <w:tcW w:w="80" w:type="dxa"/>
            <w:tcBorders/>
            <w:shd w:fill="FFFFFF" w:val="clear"/>
            <w:vAlign w:val="center"/>
          </w:tcPr>
          <w:p>
            <w:pPr>
              <w:pStyle w:val="TableContents"/>
              <w:bidi w:val="0"/>
              <w:spacing w:before="0" w:after="283"/>
              <w:jc w:val="left"/>
            </w:pPr>
            <w:r>
              <w:t> </w:t>
            </w:r>
          </w:p>
        </w:tc>
      </w:tr>
      <w:tr>
        <w:tc>
          <w:tcPr>
            <w:tcW w:w="26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2026</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pPr>
            <w:r>
              <w:t> </w:t>
            </w:r>
          </w:p>
        </w:tc>
      </w:tr>
      <w:tr>
        <w:tc>
          <w:tcPr>
            <w:tcW w:w="26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 Notes</w:t>
            </w:r>
          </w:p>
        </w:tc>
        <w:tc>
          <w:tcPr>
            <w:tcW w:w="60" w:type="dxa"/>
            <w:tcBorders/>
            <w:shd w:fill="CCEEFF" w:val="clear"/>
            <w:vAlign w:val="center"/>
          </w:tcPr>
          <w:p>
            <w:pPr>
              <w:pStyle w:val="TableContents"/>
              <w:bidi w:val="0"/>
              <w:spacing w:before="0" w:after="283"/>
              <w:jc w:val="left"/>
            </w:pPr>
            <w:r>
              <w:t> </w:t>
            </w:r>
          </w:p>
        </w:tc>
        <w:tc>
          <w:tcPr>
            <w:tcW w:w="180" w:type="dxa"/>
            <w:tcBorders/>
            <w:shd w:fill="CCEEFF" w:val="clear"/>
            <w:vAlign w:val="center"/>
          </w:tcPr>
          <w:p>
            <w:pPr>
              <w:pStyle w:val="TableContents"/>
              <w:bidi w:val="0"/>
              <w:spacing w:before="0" w:after="283"/>
              <w:jc w:val="left"/>
            </w:pPr>
            <w:r>
              <w:t> </w:t>
            </w:r>
          </w:p>
        </w:tc>
        <w:tc>
          <w:tcPr>
            <w:tcW w:w="1009" w:type="dxa"/>
            <w:tcBorders/>
            <w:shd w:fill="CCEEFF" w:val="clear"/>
            <w:vAlign w:val="center"/>
          </w:tcPr>
          <w:p>
            <w:pPr>
              <w:pStyle w:val="TableContents"/>
              <w:bidi w:val="0"/>
              <w:spacing w:before="0" w:after="283"/>
              <w:jc w:val="right"/>
            </w:pPr>
            <w: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73" w:type="dxa"/>
            <w:tcBorders/>
            <w:shd w:fill="CCEEFF" w:val="clear"/>
            <w:vAlign w:val="center"/>
          </w:tcPr>
          <w:p>
            <w:pPr>
              <w:pStyle w:val="TableContents"/>
              <w:bidi w:val="0"/>
              <w:spacing w:before="0" w:after="283"/>
              <w:jc w:val="left"/>
            </w:pPr>
            <w:r>
              <w:t> </w:t>
            </w:r>
          </w:p>
        </w:tc>
        <w:tc>
          <w:tcPr>
            <w:tcW w:w="971" w:type="dxa"/>
            <w:tcBorders/>
            <w:shd w:fill="CCEEFF" w:val="clear"/>
            <w:vAlign w:val="center"/>
          </w:tcPr>
          <w:p>
            <w:pPr>
              <w:pStyle w:val="TableContents"/>
              <w:bidi w:val="0"/>
              <w:spacing w:before="0" w:after="283"/>
              <w:jc w:val="right"/>
            </w:pPr>
            <w:r>
              <w:t> </w:t>
            </w:r>
          </w:p>
        </w:tc>
        <w:tc>
          <w:tcPr>
            <w:tcW w:w="80" w:type="dxa"/>
            <w:tcBorders/>
            <w:shd w:fill="CCEEFF" w:val="clear"/>
            <w:vAlign w:val="center"/>
          </w:tcPr>
          <w:p>
            <w:pPr>
              <w:pStyle w:val="TableContents"/>
              <w:bidi w:val="0"/>
              <w:spacing w:before="0" w:after="283"/>
              <w:jc w:val="left"/>
            </w:pPr>
            <w:r>
              <w:t> </w:t>
            </w:r>
          </w:p>
        </w:tc>
      </w:tr>
      <w:tr>
        <w:tc>
          <w:tcPr>
            <w:tcW w:w="2660"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Principal</w:t>
            </w:r>
          </w:p>
        </w:tc>
        <w:tc>
          <w:tcPr>
            <w:tcW w:w="60" w:type="dxa"/>
            <w:tcBorders/>
            <w:shd w:fill="FFFFFF" w:val="clear"/>
            <w:vAlign w:val="center"/>
          </w:tcPr>
          <w:p>
            <w:pPr>
              <w:pStyle w:val="TableContents"/>
              <w:bidi w:val="0"/>
              <w:spacing w:before="0" w:after="283"/>
              <w:ind w:left="0" w:right="0" w:hanging="0"/>
              <w:jc w:val="left"/>
            </w:pPr>
            <w:r>
              <w:t> </w:t>
            </w:r>
          </w:p>
        </w:tc>
        <w:tc>
          <w:tcPr>
            <w:tcW w:w="180" w:type="dxa"/>
            <w:tcBorders/>
            <w:shd w:fill="FFFFFF" w:val="clear"/>
            <w:vAlign w:val="center"/>
          </w:tcPr>
          <w:p>
            <w:pPr>
              <w:pStyle w:val="TableContents"/>
              <w:bidi w:val="0"/>
              <w:spacing w:before="0" w:after="283"/>
              <w:ind w:left="0" w:right="0" w:hanging="0"/>
              <w:jc w:val="left"/>
            </w:pPr>
            <w:r>
              <w:t> </w:t>
            </w:r>
          </w:p>
        </w:tc>
        <w:tc>
          <w:tcPr>
            <w:tcW w:w="10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124,925</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73" w:type="dxa"/>
            <w:tcBorders/>
            <w:shd w:fill="FFFFFF" w:val="clear"/>
            <w:vAlign w:val="center"/>
          </w:tcPr>
          <w:p>
            <w:pPr>
              <w:pStyle w:val="TableContents"/>
              <w:bidi w:val="0"/>
              <w:spacing w:before="0" w:after="283"/>
              <w:ind w:left="0" w:right="0" w:hanging="0"/>
              <w:jc w:val="left"/>
            </w:pPr>
            <w:r>
              <w:t> </w:t>
            </w:r>
          </w:p>
        </w:tc>
        <w:tc>
          <w:tcPr>
            <w:tcW w:w="97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125,000</w:t>
            </w:r>
          </w:p>
        </w:tc>
        <w:tc>
          <w:tcPr>
            <w:tcW w:w="80" w:type="dxa"/>
            <w:tcBorders/>
            <w:shd w:fill="FFFFFF" w:val="clear"/>
            <w:vAlign w:val="center"/>
          </w:tcPr>
          <w:p>
            <w:pPr>
              <w:pStyle w:val="TableContents"/>
              <w:bidi w:val="0"/>
              <w:spacing w:before="0" w:after="283"/>
              <w:jc w:val="left"/>
            </w:pPr>
            <w:r>
              <w:t> </w:t>
            </w:r>
          </w:p>
        </w:tc>
      </w:tr>
      <w:tr>
        <w:tc>
          <w:tcPr>
            <w:tcW w:w="2660"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Premium upon issuance</w:t>
            </w:r>
          </w:p>
        </w:tc>
        <w:tc>
          <w:tcPr>
            <w:tcW w:w="60" w:type="dxa"/>
            <w:tcBorders/>
            <w:shd w:fill="CCEEFF" w:val="clear"/>
            <w:vAlign w:val="center"/>
          </w:tcPr>
          <w:p>
            <w:pPr>
              <w:pStyle w:val="TableContents"/>
              <w:bidi w:val="0"/>
              <w:spacing w:before="0" w:after="283"/>
              <w:jc w:val="left"/>
            </w:pPr>
            <w:r>
              <w:t> </w:t>
            </w:r>
          </w:p>
        </w:tc>
        <w:tc>
          <w:tcPr>
            <w:tcW w:w="180" w:type="dxa"/>
            <w:tcBorders/>
            <w:shd w:fill="CCEEFF" w:val="clear"/>
            <w:vAlign w:val="center"/>
          </w:tcPr>
          <w:p>
            <w:pPr>
              <w:pStyle w:val="TableContents"/>
              <w:bidi w:val="0"/>
              <w:spacing w:before="0" w:after="283"/>
              <w:jc w:val="left"/>
            </w:pPr>
            <w:r>
              <w:t> </w:t>
            </w:r>
          </w:p>
        </w:tc>
        <w:tc>
          <w:tcPr>
            <w:tcW w:w="100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6,827</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73" w:type="dxa"/>
            <w:tcBorders/>
            <w:shd w:fill="CCEEFF" w:val="clear"/>
            <w:vAlign w:val="center"/>
          </w:tcPr>
          <w:p>
            <w:pPr>
              <w:pStyle w:val="TableContents"/>
              <w:bidi w:val="0"/>
              <w:spacing w:before="0" w:after="283"/>
              <w:jc w:val="left"/>
            </w:pPr>
            <w:r>
              <w:t> </w:t>
            </w:r>
          </w:p>
        </w:tc>
        <w:tc>
          <w:tcPr>
            <w:tcW w:w="97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8,376</w:t>
            </w:r>
          </w:p>
        </w:tc>
        <w:tc>
          <w:tcPr>
            <w:tcW w:w="80" w:type="dxa"/>
            <w:tcBorders/>
            <w:shd w:fill="CCEEFF" w:val="clear"/>
            <w:vAlign w:val="center"/>
          </w:tcPr>
          <w:p>
            <w:pPr>
              <w:pStyle w:val="TableContents"/>
              <w:bidi w:val="0"/>
              <w:spacing w:before="0" w:after="283"/>
              <w:jc w:val="left"/>
            </w:pPr>
            <w:r>
              <w:t> </w:t>
            </w:r>
          </w:p>
        </w:tc>
      </w:tr>
      <w:tr>
        <w:tc>
          <w:tcPr>
            <w:tcW w:w="26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Unamortized debt issuance costs</w:t>
            </w:r>
          </w:p>
        </w:tc>
        <w:tc>
          <w:tcPr>
            <w:tcW w:w="60" w:type="dxa"/>
            <w:tcBorders/>
            <w:shd w:fill="FFFFFF" w:val="clear"/>
            <w:vAlign w:val="center"/>
          </w:tcPr>
          <w:p>
            <w:pPr>
              <w:pStyle w:val="TableContents"/>
              <w:bidi w:val="0"/>
              <w:spacing w:before="0" w:after="283"/>
              <w:jc w:val="left"/>
            </w:pPr>
            <w:r>
              <w:t> </w:t>
            </w:r>
          </w:p>
        </w:tc>
        <w:tc>
          <w:tcPr>
            <w:tcW w:w="1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0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(2,916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97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(3,547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2660" w:type="dxa"/>
            <w:tcBorders/>
            <w:shd w:fill="CCEEFF" w:val="clear"/>
            <w:vAlign w:val="center"/>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Net carrying amount</w:t>
            </w:r>
          </w:p>
        </w:tc>
        <w:tc>
          <w:tcPr>
            <w:tcW w:w="60" w:type="dxa"/>
            <w:tcBorders/>
            <w:shd w:fill="CCEEFF" w:val="clear"/>
            <w:vAlign w:val="center"/>
          </w:tcPr>
          <w:p>
            <w:pPr>
              <w:pStyle w:val="TableContents"/>
              <w:bidi w:val="0"/>
              <w:spacing w:before="0" w:after="283"/>
              <w:ind w:left="0" w:right="0" w:hanging="0"/>
              <w:jc w:val="left"/>
            </w:pPr>
            <w:r>
              <w:t> </w:t>
            </w:r>
          </w:p>
        </w:tc>
        <w:tc>
          <w:tcPr>
            <w:tcW w:w="1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1009"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128,836</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7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971"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129,829</w:t>
            </w:r>
          </w:p>
        </w:tc>
        <w:tc>
          <w:tcPr>
            <w:tcW w:w="80" w:type="dxa"/>
            <w:tcBorders/>
            <w:shd w:fill="CCEEFF" w:val="clear"/>
            <w:vAlign w:val="center"/>
          </w:tcPr>
          <w:p>
            <w:pPr>
              <w:pStyle w:val="TableContents"/>
              <w:bidi w:val="0"/>
              <w:spacing w:before="0" w:after="283"/>
              <w:ind w:left="0" w:right="0" w:hanging="0"/>
              <w:jc w:val="left"/>
            </w:pPr>
            <w:r>
              <w:t> </w:t>
            </w:r>
          </w:p>
        </w:tc>
      </w:tr>
      <w:tr>
        <w:tc>
          <w:tcPr>
            <w:tcW w:w="266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net carrying amount</w:t>
            </w:r>
          </w:p>
        </w:tc>
        <w:tc>
          <w:tcPr>
            <w:tcW w:w="60" w:type="dxa"/>
            <w:tcBorders/>
            <w:shd w:fill="FFFFFF" w:val="clear"/>
            <w:vAlign w:val="center"/>
          </w:tcPr>
          <w:p>
            <w:pPr>
              <w:pStyle w:val="TableContents"/>
              <w:bidi w:val="0"/>
              <w:spacing w:before="0" w:after="0"/>
              <w:ind w:left="0" w:right="0" w:hanging="0"/>
              <w:jc w:val="left"/>
            </w:pPr>
            <w:r>
              <w:t> </w:t>
            </w:r>
          </w:p>
        </w:tc>
        <w:tc>
          <w:tcPr>
            <w:tcW w:w="18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9"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128,836</w:t>
            </w:r>
          </w:p>
        </w:tc>
        <w:tc>
          <w:tcPr>
            <w:tcW w:w="80" w:type="dxa"/>
            <w:tcBorders/>
            <w:shd w:fill="FFFFFF" w:val="clear"/>
            <w:vAlign w:val="center"/>
          </w:tcPr>
          <w:p>
            <w:pPr>
              <w:pStyle w:val="TableContents"/>
              <w:bidi w:val="0"/>
              <w:spacing w:before="0" w:after="0"/>
              <w:ind w:left="0" w:right="0" w:hanging="0"/>
              <w:jc w:val="left"/>
            </w:pPr>
            <w:r>
              <w:t> </w:t>
            </w:r>
          </w:p>
        </w:tc>
        <w:tc>
          <w:tcPr>
            <w:tcW w:w="60" w:type="dxa"/>
            <w:tcBorders/>
            <w:shd w:fill="FFFFFF" w:val="clear"/>
            <w:vAlign w:val="center"/>
          </w:tcPr>
          <w:p>
            <w:pPr>
              <w:pStyle w:val="TableContents"/>
              <w:bidi w:val="0"/>
              <w:spacing w:before="0" w:after="0"/>
              <w:ind w:left="0" w:right="0" w:hanging="0"/>
              <w:jc w:val="left"/>
            </w:pPr>
            <w:r>
              <w:t> </w:t>
            </w:r>
          </w:p>
        </w:tc>
        <w:tc>
          <w:tcPr>
            <w:tcW w:w="17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1"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129,829</w:t>
            </w:r>
          </w:p>
        </w:tc>
        <w:tc>
          <w:tcPr>
            <w:tcW w:w="80" w:type="dxa"/>
            <w:tcBorders/>
            <w:shd w:fill="FFFFFF" w:val="clear"/>
            <w:vAlign w:val="center"/>
          </w:tcPr>
          <w:p>
            <w:pPr>
              <w:pStyle w:val="TableContents"/>
              <w:bidi w:val="0"/>
              <w:spacing w:before="0" w:after="0"/>
              <w:jc w:val="left"/>
            </w:pPr>
            <w:r>
              <w:t> </w:t>
            </w:r>
          </w:p>
        </w:tc>
      </w:tr>
    </w:tbl>
    <w:p>
      <w:pPr>
        <w:pStyle w:val="TextBody"/>
        <w:bidi w:val="0"/>
        <w:spacing w:before="0" w:after="0"/>
        <w:ind w:left="0" w:right="0" w:hanging="0"/>
        <w:jc w:val="left"/>
      </w:pPr>
      <w:r>
        <w:t> </w:t>
      </w:r>
    </w:p>
    <w:p>
      <w:pPr>
        <w:pStyle w:val="TextBody"/>
        <w:bidi w:val="0"/>
        <w:spacing w:before="0" w:after="0"/>
        <w:ind w:left="0" w:right="0" w:firstLine="720"/>
        <w:jc w:val="left"/>
      </w:pPr>
      <w:r>
        <w:rPr>
          <w:rFonts w:ascii="Times New Roman" w:hAnsi="Times New Roman"/>
          <w:caps w:val="false"/>
          <w:smallCaps w:val="false"/>
          <w:sz w:val="20"/>
        </w:rPr>
        <w:t>The conversion rate for the </w:t>
      </w:r>
      <w:r>
        <w:rPr>
          <w:rStyle w:val="Emphasis"/>
          <w:rFonts w:ascii="Times New Roman" w:hAnsi="Times New Roman"/>
          <w:caps w:val="false"/>
          <w:smallCaps w:val="false"/>
          <w:sz w:val="20"/>
        </w:rPr>
        <w:t>2030</w:t>
      </w:r>
      <w:r>
        <w:rPr>
          <w:rFonts w:ascii="Times New Roman" w:hAnsi="Times New Roman"/>
          <w:caps w:val="false"/>
          <w:smallCaps w:val="false"/>
          <w:sz w:val="20"/>
        </w:rPr>
        <w:t> Notes is 23.0884 shares of Common Stock per </w:t>
      </w:r>
      <w:r>
        <w:rPr>
          <w:rStyle w:val="Emphasis"/>
          <w:rFonts w:ascii="Times New Roman" w:hAnsi="Times New Roman"/>
          <w:caps w:val="false"/>
          <w:smallCaps w:val="false"/>
          <w:sz w:val="20"/>
        </w:rPr>
        <w:t>$1,000</w:t>
      </w:r>
      <w:r>
        <w:rPr>
          <w:rFonts w:ascii="Times New Roman" w:hAnsi="Times New Roman"/>
          <w:caps w:val="false"/>
          <w:smallCaps w:val="false"/>
          <w:sz w:val="20"/>
        </w:rPr>
        <w:t> principal amount of the </w:t>
      </w:r>
      <w:r>
        <w:rPr>
          <w:rStyle w:val="Emphasis"/>
          <w:rFonts w:ascii="Times New Roman" w:hAnsi="Times New Roman"/>
          <w:caps w:val="false"/>
          <w:smallCaps w:val="false"/>
          <w:sz w:val="20"/>
        </w:rPr>
        <w:t>2030</w:t>
      </w:r>
      <w:r>
        <w:rPr>
          <w:rFonts w:ascii="Times New Roman" w:hAnsi="Times New Roman"/>
          <w:caps w:val="false"/>
          <w:smallCaps w:val="false"/>
          <w:sz w:val="20"/>
        </w:rPr>
        <w:t> Notes (which is equivalent to a conversion price of approximately $43.31 per share of Common Stock, representing a premium of approximately 27.50% over the last reported sale price of the Common Stock on </w:t>
      </w:r>
      <w:r>
        <w:rPr>
          <w:rStyle w:val="Emphasis"/>
          <w:rFonts w:ascii="Times New Roman" w:hAnsi="Times New Roman"/>
          <w:caps w:val="false"/>
          <w:smallCaps w:val="false"/>
          <w:sz w:val="20"/>
        </w:rPr>
        <w:t xml:space="preserve"> December 18, 2024 </w:t>
      </w:r>
      <w:r>
        <w:rPr>
          <w:rFonts w:ascii="Times New Roman" w:hAnsi="Times New Roman"/>
          <w:caps w:val="false"/>
          <w:smallCaps w:val="false"/>
          <w:sz w:val="20"/>
        </w:rPr>
        <w:t>of $33.97 per share), subject to adjustment. Before </w:t>
      </w:r>
      <w:r>
        <w:rPr>
          <w:rStyle w:val="Emphasis"/>
          <w:rFonts w:ascii="Times New Roman" w:hAnsi="Times New Roman"/>
          <w:caps w:val="false"/>
          <w:smallCaps w:val="false"/>
          <w:sz w:val="20"/>
        </w:rPr>
        <w:t xml:space="preserve"> October 15, 2029, </w:t>
      </w:r>
      <w:r>
        <w:rPr>
          <w:rFonts w:ascii="Times New Roman" w:hAnsi="Times New Roman"/>
          <w:caps w:val="false"/>
          <w:smallCaps w:val="false"/>
          <w:sz w:val="20"/>
        </w:rPr>
        <w:t>holders of the </w:t>
      </w:r>
      <w:r>
        <w:rPr>
          <w:rStyle w:val="Emphasis"/>
          <w:rFonts w:ascii="Times New Roman" w:hAnsi="Times New Roman"/>
          <w:caps w:val="false"/>
          <w:smallCaps w:val="false"/>
          <w:sz w:val="20"/>
        </w:rPr>
        <w:t>2030</w:t>
      </w:r>
      <w:r>
        <w:rPr>
          <w:rFonts w:ascii="Times New Roman" w:hAnsi="Times New Roman"/>
          <w:caps w:val="false"/>
          <w:smallCaps w:val="false"/>
          <w:sz w:val="20"/>
        </w:rPr>
        <w:t> Notes will have the right to convert their </w:t>
      </w:r>
      <w:r>
        <w:rPr>
          <w:rStyle w:val="Emphasis"/>
          <w:rFonts w:ascii="Times New Roman" w:hAnsi="Times New Roman"/>
          <w:caps w:val="false"/>
          <w:smallCaps w:val="false"/>
          <w:sz w:val="20"/>
        </w:rPr>
        <w:t>2030</w:t>
      </w:r>
      <w:r>
        <w:rPr>
          <w:rFonts w:ascii="Times New Roman" w:hAnsi="Times New Roman"/>
          <w:caps w:val="false"/>
          <w:smallCaps w:val="false"/>
          <w:sz w:val="20"/>
        </w:rPr>
        <w:t> Notes only upon the satisfaction of a common stock sale price condition or a note trading price condition (each, as described in the Indenture) or upon the occurrence of certain events (including the occurrence of a Fundamental Change, Make-Whole Fundamental Change or Common Stock Change Event (each as defined in the Indenture). From and after </w:t>
      </w:r>
      <w:r>
        <w:rPr>
          <w:rStyle w:val="Emphasis"/>
          <w:rFonts w:ascii="Times New Roman" w:hAnsi="Times New Roman"/>
          <w:caps w:val="false"/>
          <w:smallCaps w:val="false"/>
          <w:sz w:val="20"/>
        </w:rPr>
        <w:t xml:space="preserve"> October 15, 2029, </w:t>
      </w:r>
      <w:r>
        <w:rPr>
          <w:rFonts w:ascii="Times New Roman" w:hAnsi="Times New Roman"/>
          <w:caps w:val="false"/>
          <w:smallCaps w:val="false"/>
          <w:sz w:val="20"/>
        </w:rPr>
        <w:t>holders of the </w:t>
      </w:r>
      <w:r>
        <w:rPr>
          <w:rStyle w:val="Emphasis"/>
          <w:rFonts w:ascii="Times New Roman" w:hAnsi="Times New Roman"/>
          <w:caps w:val="false"/>
          <w:smallCaps w:val="false"/>
          <w:sz w:val="20"/>
        </w:rPr>
        <w:t>2030</w:t>
      </w:r>
      <w:r>
        <w:rPr>
          <w:rFonts w:ascii="Times New Roman" w:hAnsi="Times New Roman"/>
          <w:caps w:val="false"/>
          <w:smallCaps w:val="false"/>
          <w:sz w:val="20"/>
        </w:rPr>
        <w:t> Notes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convert their </w:t>
      </w:r>
      <w:r>
        <w:rPr>
          <w:rStyle w:val="Emphasis"/>
          <w:rFonts w:ascii="Times New Roman" w:hAnsi="Times New Roman"/>
          <w:caps w:val="false"/>
          <w:smallCaps w:val="false"/>
          <w:sz w:val="20"/>
        </w:rPr>
        <w:t>2030</w:t>
      </w:r>
      <w:r>
        <w:rPr>
          <w:rFonts w:ascii="Times New Roman" w:hAnsi="Times New Roman"/>
          <w:caps w:val="false"/>
          <w:smallCaps w:val="false"/>
          <w:sz w:val="20"/>
        </w:rPr>
        <w:t> Notes at any time at their election until the close of business on the </w:t>
      </w:r>
      <w:r>
        <w:rPr>
          <w:rStyle w:val="Emphasis"/>
          <w:rFonts w:ascii="Times New Roman" w:hAnsi="Times New Roman"/>
          <w:caps w:val="false"/>
          <w:smallCaps w:val="false"/>
          <w:sz w:val="20"/>
        </w:rPr>
        <w:t>second</w:t>
      </w:r>
      <w:r>
        <w:rPr>
          <w:rFonts w:ascii="Times New Roman" w:hAnsi="Times New Roman"/>
          <w:caps w:val="false"/>
          <w:smallCaps w:val="false"/>
          <w:sz w:val="20"/>
        </w:rPr>
        <w:t> scheduled trading day immediately before the maturity date. The Company will settle conversions by paying or delivering, as applicable, cash, shares of its Common Stock or a combination of cash and shares of its Common Stock, at the Company’s election, based on the applicable conversion rate(s).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pPr>
      <w:r>
        <w:rPr>
          <w:rFonts w:ascii="Times New Roman" w:hAnsi="Times New Roman"/>
          <w:caps w:val="false"/>
          <w:smallCaps w:val="false"/>
          <w:sz w:val="20"/>
        </w:rPr>
        <w:t xml:space="preserve">The common stock sale price condition was satisfied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2026, </w:t>
      </w:r>
      <w:r>
        <w:rPr>
          <w:rFonts w:ascii="Times New Roman" w:hAnsi="Times New Roman"/>
          <w:caps w:val="false"/>
          <w:smallCaps w:val="false"/>
          <w:sz w:val="20"/>
        </w:rPr>
        <w:t xml:space="preserve">as the last reported sale price of the Company's common stock exceeded 130% of the conversion price for at least 20 trading days, whether or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consecutive, during a 30 consecutive trading-day period, in accordance with the terms of the Indenture. As a result, holders of the </w:t>
      </w:r>
      <w:r>
        <w:rPr>
          <w:rStyle w:val="Emphasis"/>
          <w:rFonts w:ascii="Times New Roman" w:hAnsi="Times New Roman"/>
          <w:caps w:val="false"/>
          <w:smallCaps w:val="false"/>
          <w:sz w:val="20"/>
        </w:rPr>
        <w:t>2030</w:t>
      </w:r>
      <w:r>
        <w:rPr>
          <w:rFonts w:ascii="Times New Roman" w:hAnsi="Times New Roman"/>
          <w:caps w:val="false"/>
          <w:smallCaps w:val="false"/>
          <w:sz w:val="20"/>
        </w:rPr>
        <w:t xml:space="preserve"> Notes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convert all or a portion of their </w:t>
      </w:r>
      <w:r>
        <w:rPr>
          <w:rStyle w:val="Emphasis"/>
          <w:rFonts w:ascii="Times New Roman" w:hAnsi="Times New Roman"/>
          <w:caps w:val="false"/>
          <w:smallCaps w:val="false"/>
          <w:sz w:val="20"/>
        </w:rPr>
        <w:t>2030</w:t>
      </w:r>
      <w:r>
        <w:rPr>
          <w:rFonts w:ascii="Times New Roman" w:hAnsi="Times New Roman"/>
          <w:caps w:val="false"/>
          <w:smallCaps w:val="false"/>
          <w:sz w:val="20"/>
        </w:rPr>
        <w:t xml:space="preserve"> Notes at their option during the fiscal quarter ending </w:t>
      </w:r>
      <w:r>
        <w:rPr>
          <w:rStyle w:val="Emphasis"/>
          <w:rFonts w:ascii="Times New Roman" w:hAnsi="Times New Roman"/>
          <w:caps w:val="false"/>
          <w:smallCaps w:val="false"/>
          <w:sz w:val="20"/>
        </w:rPr>
        <w:t>December 31, 2026.</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pPr>
      <w:r>
        <w:rPr>
          <w:rFonts w:ascii="Times New Roman" w:hAnsi="Times New Roman"/>
          <w:caps w:val="false"/>
          <w:smallCaps w:val="false"/>
          <w:sz w:val="20"/>
        </w:rPr>
        <w:t xml:space="preserve">The </w:t>
      </w:r>
      <w:r>
        <w:rPr>
          <w:rStyle w:val="Emphasis"/>
          <w:rFonts w:ascii="Times New Roman" w:hAnsi="Times New Roman"/>
          <w:caps w:val="false"/>
          <w:smallCaps w:val="false"/>
          <w:sz w:val="20"/>
        </w:rPr>
        <w:t>2030</w:t>
      </w:r>
      <w:r>
        <w:rPr>
          <w:rFonts w:ascii="Times New Roman" w:hAnsi="Times New Roman"/>
          <w:caps w:val="false"/>
          <w:smallCaps w:val="false"/>
          <w:sz w:val="20"/>
        </w:rPr>
        <w:t xml:space="preserve"> Notes will be redeemable, in whole or in part (subject to certain limitations described in the Indenture), at the Company’s option at any time, and from time to time, on or after </w:t>
      </w:r>
      <w:r>
        <w:rPr>
          <w:rStyle w:val="Emphasis"/>
          <w:rFonts w:ascii="Times New Roman" w:hAnsi="Times New Roman"/>
          <w:caps w:val="false"/>
          <w:smallCaps w:val="false"/>
          <w:sz w:val="20"/>
        </w:rPr>
        <w:t xml:space="preserve">January 15, 2027 </w:t>
      </w:r>
      <w:r>
        <w:rPr>
          <w:rFonts w:ascii="Times New Roman" w:hAnsi="Times New Roman"/>
          <w:caps w:val="false"/>
          <w:smallCaps w:val="false"/>
          <w:sz w:val="20"/>
        </w:rPr>
        <w:t xml:space="preserve">and on or before the </w:t>
      </w:r>
      <w:r>
        <w:rPr>
          <w:rStyle w:val="Emphasis"/>
          <w:rFonts w:ascii="Times New Roman" w:hAnsi="Times New Roman"/>
          <w:caps w:val="false"/>
          <w:smallCaps w:val="false"/>
          <w:sz w:val="20"/>
        </w:rPr>
        <w:t>40th</w:t>
      </w:r>
      <w:r>
        <w:rPr>
          <w:rFonts w:ascii="Times New Roman" w:hAnsi="Times New Roman"/>
          <w:caps w:val="false"/>
          <w:smallCaps w:val="false"/>
          <w:sz w:val="20"/>
        </w:rPr>
        <w:t xml:space="preserve"> scheduled trading day immediately before the maturity date, at a cash redemption price equal to the principal amount of the </w:t>
      </w:r>
      <w:r>
        <w:rPr>
          <w:rStyle w:val="Emphasis"/>
          <w:rFonts w:ascii="Times New Roman" w:hAnsi="Times New Roman"/>
          <w:caps w:val="false"/>
          <w:smallCaps w:val="false"/>
          <w:sz w:val="20"/>
        </w:rPr>
        <w:t>2030</w:t>
      </w:r>
      <w:r>
        <w:rPr>
          <w:rFonts w:ascii="Times New Roman" w:hAnsi="Times New Roman"/>
          <w:caps w:val="false"/>
          <w:smallCaps w:val="false"/>
          <w:sz w:val="20"/>
        </w:rPr>
        <w:t xml:space="preserve"> Notes to be redeemed, plus accrued and unpaid interest, if any, to, but excluding, the redemption date, but only if the last reported sale price per share of the Common Stock exceeds 130% of the conversion price on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each of at least 20 trading days, whether or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consecutive, during the 30 consecutive trading days ending on, and including, the trading day immediately before the date the Company sends the related redemption notice; and (</w:t>
      </w:r>
      <w:r>
        <w:rPr>
          <w:rStyle w:val="Emphasis"/>
          <w:rFonts w:ascii="Times New Roman" w:hAnsi="Times New Roman"/>
          <w:caps w:val="false"/>
          <w:smallCaps w:val="false"/>
          <w:sz w:val="20"/>
        </w:rPr>
        <w:t>2</w:t>
      </w:r>
      <w:r>
        <w:rPr>
          <w:rFonts w:ascii="Times New Roman" w:hAnsi="Times New Roman"/>
          <w:caps w:val="false"/>
          <w:smallCaps w:val="false"/>
          <w:sz w:val="20"/>
        </w:rPr>
        <w:t>) the trading day immediately before the date it sends such notice.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pPr>
      <w:r>
        <w:rPr>
          <w:rFonts w:ascii="Times New Roman" w:hAnsi="Times New Roman"/>
          <w:caps w:val="false"/>
          <w:smallCaps w:val="false"/>
          <w:sz w:val="20"/>
        </w:rPr>
        <w:t xml:space="preserve">In addition, the </w:t>
      </w:r>
      <w:r>
        <w:rPr>
          <w:rStyle w:val="Emphasis"/>
          <w:rFonts w:ascii="Times New Roman" w:hAnsi="Times New Roman"/>
          <w:caps w:val="false"/>
          <w:smallCaps w:val="false"/>
          <w:sz w:val="20"/>
        </w:rPr>
        <w:t>2030</w:t>
      </w:r>
      <w:r>
        <w:rPr>
          <w:rFonts w:ascii="Times New Roman" w:hAnsi="Times New Roman"/>
          <w:caps w:val="false"/>
          <w:smallCaps w:val="false"/>
          <w:sz w:val="20"/>
        </w:rPr>
        <w:t xml:space="preserve"> Notes will be redeemable, in whole or in part, at the Company’s option at any time, and from time to time, on or before the </w:t>
      </w:r>
      <w:r>
        <w:rPr>
          <w:rStyle w:val="Emphasis"/>
          <w:rFonts w:ascii="Times New Roman" w:hAnsi="Times New Roman"/>
          <w:caps w:val="false"/>
          <w:smallCaps w:val="false"/>
          <w:sz w:val="20"/>
        </w:rPr>
        <w:t>40th</w:t>
      </w:r>
      <w:r>
        <w:rPr>
          <w:rFonts w:ascii="Times New Roman" w:hAnsi="Times New Roman"/>
          <w:caps w:val="false"/>
          <w:smallCaps w:val="false"/>
          <w:sz w:val="20"/>
        </w:rPr>
        <w:t xml:space="preserve"> scheduled trading day immediately before the maturity date, at a cash redemption price equal to the principal amount of the </w:t>
      </w:r>
      <w:r>
        <w:rPr>
          <w:rStyle w:val="Emphasis"/>
          <w:rFonts w:ascii="Times New Roman" w:hAnsi="Times New Roman"/>
          <w:caps w:val="false"/>
          <w:smallCaps w:val="false"/>
          <w:sz w:val="20"/>
        </w:rPr>
        <w:t>2030</w:t>
      </w:r>
      <w:r>
        <w:rPr>
          <w:rFonts w:ascii="Times New Roman" w:hAnsi="Times New Roman"/>
          <w:caps w:val="false"/>
          <w:smallCaps w:val="false"/>
          <w:sz w:val="20"/>
        </w:rPr>
        <w:t xml:space="preserve"> Notes to be redeemed, plus accrued and unpaid interest, if any, to, but excluding, the redemption date (subject to the right of a holder of </w:t>
      </w:r>
      <w:r>
        <w:rPr>
          <w:rStyle w:val="Emphasis"/>
          <w:rFonts w:ascii="Times New Roman" w:hAnsi="Times New Roman"/>
          <w:caps w:val="false"/>
          <w:smallCaps w:val="false"/>
          <w:sz w:val="20"/>
        </w:rPr>
        <w:t>2030</w:t>
      </w:r>
      <w:r>
        <w:rPr>
          <w:rFonts w:ascii="Times New Roman" w:hAnsi="Times New Roman"/>
          <w:caps w:val="false"/>
          <w:smallCaps w:val="false"/>
          <w:sz w:val="20"/>
        </w:rPr>
        <w:t xml:space="preserve"> Notes as of the close of business on a record date to receive the related interest payment on the corresponding interest payment date), if the “Specified Divestiture” (as defined in the Indenture) is completed.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pPr>
      <w:r>
        <w:rPr>
          <w:rStyle w:val="Emphasis"/>
          <w:rFonts w:ascii="Times New Roman" w:hAnsi="Times New Roman"/>
          <w:sz w:val="20"/>
        </w:rPr>
        <w:t>17</w:t>
      </w:r>
      <w:r>
        <w:rPr>
          <w:rFonts w:ascii="Times New Roman" w:hAnsi="Times New Roman"/>
          <w:sz w:val="20"/>
        </w:rPr>
        <w:t xml:space="preserve"> </w:t>
      </w:r>
    </w:p>
    <w:p>
      <w:pPr>
        <w:pStyle w:val="HorizontalLine"/>
        <w:pBdr>
          <w:bottom w:val="double" w:sz="2" w:space="0" w:color="808080"/>
        </w:pBdr>
        <w:bidi w:val="0"/>
        <w:spacing w:before="0" w:after="283"/>
        <w:jc w:val="left"/>
      </w:pPr>
      <w:r/>
    </w:p>
    <w:p>
      <w:pPr>
        <w:pStyle w:val="TextBody"/>
        <w:bidi w:val="0"/>
        <w:spacing w:before="0" w:after="0"/>
        <w:jc w:val="left"/>
      </w:pPr>
      <w:hyperlink w:anchor="toc">
        <w:r>
          <w:rPr>
            <w:rStyle w:val="InternetLink"/>
            <w:rFonts w:ascii="Times New Roman;Times;serif" w:hAnsi="Times New Roman;Times;serif"/>
            <w:sz w:val="20"/>
          </w:rPr>
          <w:t>Table of Contents</w:t>
        </w:r>
      </w:hyperlink>
      <w:r>
        <w:t xml:space="preserve"> </w:t>
      </w:r>
    </w:p>
    <w:p>
      <w:pPr>
        <w:pStyle w:val="TextBody"/>
        <w:bidi w:val="0"/>
        <w:spacing w:before="0" w:after="283"/>
        <w:jc w:val="left"/>
      </w:pPr>
      <w:r>
        <w:t xml:space="preserve">  </w:t>
      </w:r>
    </w:p>
    <w:p>
      <w:pPr>
        <w:pStyle w:val="TextBody"/>
        <w:bidi w:val="0"/>
        <w:spacing w:before="0" w:after="0"/>
        <w:ind w:left="0" w:right="0" w:firstLine="720"/>
        <w:jc w:val="left"/>
      </w:pPr>
      <w:r>
        <w:rPr>
          <w:rFonts w:ascii="Times New Roman" w:hAnsi="Times New Roman"/>
          <w:caps w:val="false"/>
          <w:smallCaps w:val="false"/>
          <w:sz w:val="20"/>
        </w:rPr>
        <w:t xml:space="preserve">Calling any </w:t>
      </w:r>
      <w:r>
        <w:rPr>
          <w:rStyle w:val="Emphasis"/>
          <w:rFonts w:ascii="Times New Roman" w:hAnsi="Times New Roman"/>
          <w:caps w:val="false"/>
          <w:smallCaps w:val="false"/>
          <w:sz w:val="20"/>
        </w:rPr>
        <w:t>2030</w:t>
      </w:r>
      <w:r>
        <w:rPr>
          <w:rFonts w:ascii="Times New Roman" w:hAnsi="Times New Roman"/>
          <w:caps w:val="false"/>
          <w:smallCaps w:val="false"/>
          <w:sz w:val="20"/>
        </w:rPr>
        <w:t xml:space="preserve"> Note for redemption will constitute a "Make-Whole Fundamental Change" (as defined in the Indenture) with respect to that </w:t>
      </w:r>
      <w:r>
        <w:rPr>
          <w:rStyle w:val="Emphasis"/>
          <w:rFonts w:ascii="Times New Roman" w:hAnsi="Times New Roman"/>
          <w:caps w:val="false"/>
          <w:smallCaps w:val="false"/>
          <w:sz w:val="20"/>
        </w:rPr>
        <w:t>2030</w:t>
      </w:r>
      <w:r>
        <w:rPr>
          <w:rFonts w:ascii="Times New Roman" w:hAnsi="Times New Roman"/>
          <w:caps w:val="false"/>
          <w:smallCaps w:val="false"/>
          <w:sz w:val="20"/>
        </w:rPr>
        <w:t xml:space="preserve"> Note, in which case the conversion rate applicable to the conversion of that </w:t>
      </w:r>
      <w:r>
        <w:rPr>
          <w:rStyle w:val="Emphasis"/>
          <w:rFonts w:ascii="Times New Roman" w:hAnsi="Times New Roman"/>
          <w:caps w:val="false"/>
          <w:smallCaps w:val="false"/>
          <w:sz w:val="20"/>
        </w:rPr>
        <w:t>2030</w:t>
      </w:r>
      <w:r>
        <w:rPr>
          <w:rFonts w:ascii="Times New Roman" w:hAnsi="Times New Roman"/>
          <w:caps w:val="false"/>
          <w:smallCaps w:val="false"/>
          <w:sz w:val="20"/>
        </w:rPr>
        <w:t xml:space="preserve"> Note will be increased in certain circumstances if it is converted after it is called for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pPr>
      <w:r>
        <w:rPr>
          <w:rFonts w:ascii="Times New Roman" w:hAnsi="Times New Roman"/>
          <w:caps w:val="false"/>
          <w:smallCaps w:val="false"/>
          <w:sz w:val="20"/>
        </w:rPr>
        <w:t>In addition, if the Specified Divestiture is completed, then unless the Company has previously elected to redeem all of the </w:t>
      </w:r>
      <w:r>
        <w:rPr>
          <w:rStyle w:val="Emphasis"/>
          <w:rFonts w:ascii="Times New Roman" w:hAnsi="Times New Roman"/>
          <w:caps w:val="false"/>
          <w:smallCaps w:val="false"/>
          <w:sz w:val="20"/>
        </w:rPr>
        <w:t>2030</w:t>
      </w:r>
      <w:r>
        <w:rPr>
          <w:rFonts w:ascii="Times New Roman" w:hAnsi="Times New Roman"/>
          <w:caps w:val="false"/>
          <w:smallCaps w:val="false"/>
          <w:sz w:val="20"/>
        </w:rPr>
        <w:t> Notes, each holder of </w:t>
      </w:r>
      <w:r>
        <w:rPr>
          <w:rStyle w:val="Emphasis"/>
          <w:rFonts w:ascii="Times New Roman" w:hAnsi="Times New Roman"/>
          <w:caps w:val="false"/>
          <w:smallCaps w:val="false"/>
          <w:sz w:val="20"/>
        </w:rPr>
        <w:t>2030</w:t>
      </w:r>
      <w:r>
        <w:rPr>
          <w:rFonts w:ascii="Times New Roman" w:hAnsi="Times New Roman"/>
          <w:caps w:val="false"/>
          <w:smallCaps w:val="false"/>
          <w:sz w:val="20"/>
        </w:rPr>
        <w:t> Notes will have the right to require the Company to repurchase its </w:t>
      </w:r>
      <w:r>
        <w:rPr>
          <w:rStyle w:val="Emphasis"/>
          <w:rFonts w:ascii="Times New Roman" w:hAnsi="Times New Roman"/>
          <w:caps w:val="false"/>
          <w:smallCaps w:val="false"/>
          <w:sz w:val="20"/>
        </w:rPr>
        <w:t>2030</w:t>
      </w:r>
      <w:r>
        <w:rPr>
          <w:rFonts w:ascii="Times New Roman" w:hAnsi="Times New Roman"/>
          <w:caps w:val="false"/>
          <w:smallCaps w:val="false"/>
          <w:sz w:val="20"/>
        </w:rPr>
        <w:t> Notes for cash on a date of the Company’s choosing, which must be a business day that is </w:t>
      </w:r>
      <w:r>
        <w:rPr>
          <w:rStyle w:val="Emphasis"/>
          <w:rFonts w:ascii="Times New Roman" w:hAnsi="Times New Roman"/>
          <w:caps w:val="false"/>
          <w:smallCaps w:val="false"/>
          <w:sz w:val="20"/>
        </w:rPr>
        <w:t>no</w:t>
      </w:r>
      <w:r>
        <w:rPr>
          <w:rFonts w:ascii="Times New Roman" w:hAnsi="Times New Roman"/>
          <w:caps w:val="false"/>
          <w:smallCaps w:val="false"/>
          <w:sz w:val="20"/>
        </w:rPr>
        <w:t> more than </w:t>
      </w:r>
      <w:r>
        <w:rPr>
          <w:rStyle w:val="Emphasis"/>
          <w:rFonts w:ascii="Times New Roman" w:hAnsi="Times New Roman"/>
          <w:caps w:val="false"/>
          <w:smallCaps w:val="false"/>
          <w:sz w:val="20"/>
        </w:rPr>
        <w:t>35,</w:t>
      </w:r>
      <w:r>
        <w:rPr>
          <w:rFonts w:ascii="Times New Roman" w:hAnsi="Times New Roman"/>
          <w:caps w:val="false"/>
          <w:smallCaps w:val="false"/>
          <w:sz w:val="20"/>
        </w:rPr>
        <w:t> nor less than </w:t>
      </w:r>
      <w:r>
        <w:rPr>
          <w:rStyle w:val="Emphasis"/>
          <w:rFonts w:ascii="Times New Roman" w:hAnsi="Times New Roman"/>
          <w:caps w:val="false"/>
          <w:smallCaps w:val="false"/>
          <w:sz w:val="20"/>
        </w:rPr>
        <w:t>20,</w:t>
      </w:r>
      <w:r>
        <w:rPr>
          <w:rFonts w:ascii="Times New Roman" w:hAnsi="Times New Roman"/>
          <w:caps w:val="false"/>
          <w:smallCaps w:val="false"/>
          <w:sz w:val="20"/>
        </w:rPr>
        <w:t> business days after the date the Company’s sends the related notice of Specified Divestiture. The repurchase price for a note tendered for such repurchase will be equal to the principal amount of the </w:t>
      </w:r>
      <w:r>
        <w:rPr>
          <w:rStyle w:val="Emphasis"/>
          <w:rFonts w:ascii="Times New Roman" w:hAnsi="Times New Roman"/>
          <w:caps w:val="false"/>
          <w:smallCaps w:val="false"/>
          <w:sz w:val="20"/>
        </w:rPr>
        <w:t>2030</w:t>
      </w:r>
      <w:r>
        <w:rPr>
          <w:rFonts w:ascii="Times New Roman" w:hAnsi="Times New Roman"/>
          <w:caps w:val="false"/>
          <w:smallCaps w:val="false"/>
          <w:sz w:val="20"/>
        </w:rPr>
        <w:t> Notes to be repurchased, plus accrued and unpaid interest, if any, to, but excluding, the repurchase date (subject to the right of a holder of </w:t>
      </w:r>
      <w:r>
        <w:rPr>
          <w:rStyle w:val="Emphasis"/>
          <w:rFonts w:ascii="Times New Roman" w:hAnsi="Times New Roman"/>
          <w:caps w:val="false"/>
          <w:smallCaps w:val="false"/>
          <w:sz w:val="20"/>
        </w:rPr>
        <w:t>2030</w:t>
      </w:r>
      <w:r>
        <w:rPr>
          <w:rFonts w:ascii="Times New Roman" w:hAnsi="Times New Roman"/>
          <w:caps w:val="false"/>
          <w:smallCaps w:val="false"/>
          <w:sz w:val="20"/>
        </w:rPr>
        <w:t> Notes as of the close of business on a record date to receive the related interest payment on the corresponding interest payment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pPr>
      <w:r>
        <w:rPr>
          <w:rFonts w:ascii="Times New Roman" w:hAnsi="Times New Roman"/>
          <w:caps w:val="false"/>
          <w:smallCaps w:val="false"/>
          <w:sz w:val="20"/>
        </w:rPr>
        <w:t>Moreover, if the Company undergoes a fundamental change, as described in the Indenture, holders of the </w:t>
      </w:r>
      <w:r>
        <w:rPr>
          <w:rStyle w:val="Emphasis"/>
          <w:rFonts w:ascii="Times New Roman" w:hAnsi="Times New Roman"/>
          <w:caps w:val="false"/>
          <w:smallCaps w:val="false"/>
          <w:sz w:val="20"/>
        </w:rPr>
        <w:t>2030</w:t>
      </w:r>
      <w:r>
        <w:rPr>
          <w:rFonts w:ascii="Times New Roman" w:hAnsi="Times New Roman"/>
          <w:caps w:val="false"/>
          <w:smallCaps w:val="false"/>
          <w:sz w:val="20"/>
        </w:rPr>
        <w:t> Notes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require the Company to repurchase for cash all or part of their </w:t>
      </w:r>
      <w:r>
        <w:rPr>
          <w:rStyle w:val="Emphasis"/>
          <w:rFonts w:ascii="Times New Roman" w:hAnsi="Times New Roman"/>
          <w:caps w:val="false"/>
          <w:smallCaps w:val="false"/>
          <w:sz w:val="20"/>
        </w:rPr>
        <w:t>2030</w:t>
      </w:r>
      <w:r>
        <w:rPr>
          <w:rFonts w:ascii="Times New Roman" w:hAnsi="Times New Roman"/>
          <w:caps w:val="false"/>
          <w:smallCaps w:val="false"/>
          <w:sz w:val="20"/>
        </w:rPr>
        <w:t> Notes at a repurchase price equal to 100% of the principal amount of the </w:t>
      </w:r>
      <w:r>
        <w:rPr>
          <w:rStyle w:val="Emphasis"/>
          <w:rFonts w:ascii="Times New Roman" w:hAnsi="Times New Roman"/>
          <w:caps w:val="false"/>
          <w:smallCaps w:val="false"/>
          <w:sz w:val="20"/>
        </w:rPr>
        <w:t>2030</w:t>
      </w:r>
      <w:r>
        <w:rPr>
          <w:rFonts w:ascii="Times New Roman" w:hAnsi="Times New Roman"/>
          <w:caps w:val="false"/>
          <w:smallCaps w:val="false"/>
          <w:sz w:val="20"/>
        </w:rPr>
        <w:t> Notes to be repurchased, plus accrued and unpaid interest to, but excluding, the required repurchase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pPr>
      <w:r>
        <w:rPr>
          <w:rFonts w:ascii="Times New Roman" w:hAnsi="Times New Roman"/>
          <w:caps w:val="false"/>
          <w:smallCaps w:val="false"/>
          <w:sz w:val="20"/>
        </w:rPr>
        <w:t>Additionally, the </w:t>
      </w:r>
      <w:r>
        <w:rPr>
          <w:rStyle w:val="Emphasis"/>
          <w:rFonts w:ascii="Times New Roman" w:hAnsi="Times New Roman"/>
          <w:caps w:val="false"/>
          <w:smallCaps w:val="false"/>
          <w:sz w:val="20"/>
        </w:rPr>
        <w:t>2030</w:t>
      </w:r>
      <w:r>
        <w:rPr>
          <w:rFonts w:ascii="Times New Roman" w:hAnsi="Times New Roman"/>
          <w:caps w:val="false"/>
          <w:smallCaps w:val="false"/>
          <w:sz w:val="20"/>
        </w:rPr>
        <w:t> Notes are subject to customary events of default. The </w:t>
      </w:r>
      <w:r>
        <w:rPr>
          <w:rStyle w:val="Emphasis"/>
          <w:rFonts w:ascii="Times New Roman" w:hAnsi="Times New Roman"/>
          <w:caps w:val="false"/>
          <w:smallCaps w:val="false"/>
          <w:sz w:val="20"/>
        </w:rPr>
        <w:t>2030</w:t>
      </w:r>
      <w:r>
        <w:rPr>
          <w:rFonts w:ascii="Times New Roman" w:hAnsi="Times New Roman"/>
          <w:caps w:val="false"/>
          <w:smallCaps w:val="false"/>
          <w:sz w:val="20"/>
        </w:rPr>
        <w:t> Notes do </w:t>
      </w:r>
      <w:r>
        <w:rPr>
          <w:rStyle w:val="Emphasis"/>
          <w:rFonts w:ascii="Times New Roman" w:hAnsi="Times New Roman"/>
          <w:caps w:val="false"/>
          <w:smallCaps w:val="false"/>
          <w:sz w:val="20"/>
        </w:rPr>
        <w:t>not</w:t>
      </w:r>
      <w:r>
        <w:rPr>
          <w:rFonts w:ascii="Times New Roman" w:hAnsi="Times New Roman"/>
          <w:caps w:val="false"/>
          <w:smallCaps w:val="false"/>
          <w:sz w:val="20"/>
        </w:rPr>
        <w:t> restrict the Company’s ability to incur debt or liens. </w:t>
      </w:r>
      <w:r>
        <w:rPr>
          <w:rStyle w:val="Emphasis"/>
          <w:rFonts w:ascii="Times New Roman" w:hAnsi="Times New Roman"/>
          <w:caps w:val="false"/>
          <w:smallCaps w:val="false"/>
          <w:sz w:val="20"/>
        </w:rPr>
        <w:t>No</w:t>
      </w:r>
      <w:r>
        <w:rPr>
          <w:rFonts w:ascii="Times New Roman" w:hAnsi="Times New Roman"/>
          <w:caps w:val="false"/>
          <w:smallCaps w:val="false"/>
          <w:sz w:val="20"/>
        </w:rPr>
        <w:t> sinking fund is provided for the </w:t>
      </w:r>
      <w:r>
        <w:rPr>
          <w:rStyle w:val="Emphasis"/>
          <w:rFonts w:ascii="Times New Roman" w:hAnsi="Times New Roman"/>
          <w:caps w:val="false"/>
          <w:smallCaps w:val="false"/>
          <w:sz w:val="20"/>
        </w:rPr>
        <w:t>2030</w:t>
      </w:r>
      <w:r>
        <w:rPr>
          <w:rFonts w:ascii="Times New Roman" w:hAnsi="Times New Roman"/>
          <w:caps w:val="false"/>
          <w:smallCaps w:val="false"/>
          <w:sz w:val="20"/>
        </w:rPr>
        <w:t> Notes. There are </w:t>
      </w:r>
      <w:r>
        <w:rPr>
          <w:rStyle w:val="Emphasis"/>
          <w:rFonts w:ascii="Times New Roman" w:hAnsi="Times New Roman"/>
          <w:caps w:val="false"/>
          <w:smallCaps w:val="false"/>
          <w:sz w:val="20"/>
        </w:rPr>
        <w:t>no</w:t>
      </w:r>
      <w:r>
        <w:rPr>
          <w:rFonts w:ascii="Times New Roman" w:hAnsi="Times New Roman"/>
          <w:caps w:val="false"/>
          <w:smallCaps w:val="false"/>
          <w:sz w:val="20"/>
        </w:rPr>
        <w:t> guarantors of the </w:t>
      </w:r>
      <w:r>
        <w:rPr>
          <w:rStyle w:val="Emphasis"/>
          <w:rFonts w:ascii="Times New Roman" w:hAnsi="Times New Roman"/>
          <w:caps w:val="false"/>
          <w:smallCaps w:val="false"/>
          <w:sz w:val="20"/>
        </w:rPr>
        <w:t>2030</w:t>
      </w:r>
      <w:r>
        <w:rPr>
          <w:rFonts w:ascii="Times New Roman" w:hAnsi="Times New Roman"/>
          <w:caps w:val="false"/>
          <w:smallCaps w:val="false"/>
          <w:sz w:val="20"/>
        </w:rPr>
        <w:t>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pPr>
      <w:r>
        <w:rPr>
          <w:rFonts w:ascii="Times New Roman" w:hAnsi="Times New Roman"/>
          <w:caps w:val="false"/>
          <w:smallCaps w:val="false"/>
          <w:sz w:val="20"/>
        </w:rPr>
        <w:t>Pursuant to the guidance in ASC </w:t>
      </w:r>
      <w:r>
        <w:rPr>
          <w:rStyle w:val="Emphasis"/>
          <w:rFonts w:ascii="Times New Roman" w:hAnsi="Times New Roman"/>
          <w:caps w:val="false"/>
          <w:smallCaps w:val="false"/>
          <w:sz w:val="20"/>
        </w:rPr>
        <w:t>815</w:t>
      </w:r>
      <w:r>
        <w:rPr>
          <w:rFonts w:ascii="Times New Roman" w:hAnsi="Times New Roman"/>
          <w:caps w:val="false"/>
          <w:smallCaps w:val="false"/>
          <w:sz w:val="20"/>
        </w:rPr>
        <w:t>-</w:t>
      </w:r>
      <w:r>
        <w:rPr>
          <w:rStyle w:val="Emphasis"/>
          <w:rFonts w:ascii="Times New Roman" w:hAnsi="Times New Roman"/>
          <w:caps w:val="false"/>
          <w:smallCaps w:val="false"/>
          <w:sz w:val="20"/>
        </w:rPr>
        <w:t>40,</w:t>
      </w:r>
      <w:r>
        <w:rPr>
          <w:rFonts w:ascii="Times New Roman" w:hAnsi="Times New Roman"/>
          <w:caps w:val="false"/>
          <w:smallCaps w:val="false"/>
          <w:sz w:val="20"/>
        </w:rPr>
        <w:t> Contracts in Entity’s Own Equity, the Company evaluated whether the conversion feature of the note needed to be bifurcated from the host instrument as a freestanding financial instrument. Under ASC </w:t>
      </w:r>
      <w:r>
        <w:rPr>
          <w:rStyle w:val="Emphasis"/>
          <w:rFonts w:ascii="Times New Roman" w:hAnsi="Times New Roman"/>
          <w:caps w:val="false"/>
          <w:smallCaps w:val="false"/>
          <w:sz w:val="20"/>
        </w:rPr>
        <w:t>815</w:t>
      </w:r>
      <w:r>
        <w:rPr>
          <w:rFonts w:ascii="Times New Roman" w:hAnsi="Times New Roman"/>
          <w:caps w:val="false"/>
          <w:smallCaps w:val="false"/>
          <w:sz w:val="20"/>
        </w:rPr>
        <w:t>-</w:t>
      </w:r>
      <w:r>
        <w:rPr>
          <w:rStyle w:val="Emphasis"/>
          <w:rFonts w:ascii="Times New Roman" w:hAnsi="Times New Roman"/>
          <w:caps w:val="false"/>
          <w:smallCaps w:val="false"/>
          <w:sz w:val="20"/>
        </w:rPr>
        <w:t>40,</w:t>
      </w:r>
      <w:r>
        <w:rPr>
          <w:rFonts w:ascii="Times New Roman" w:hAnsi="Times New Roman"/>
          <w:caps w:val="false"/>
          <w:smallCaps w:val="false"/>
          <w:sz w:val="20"/>
        </w:rPr>
        <w:t> to qualify for equity classification (or non-bifurcation, if embedded) the instrument (or embedded feature) must be both (</w:t>
      </w:r>
      <w:r>
        <w:rPr>
          <w:rStyle w:val="Emphasis"/>
          <w:rFonts w:ascii="Times New Roman" w:hAnsi="Times New Roman"/>
          <w:caps w:val="false"/>
          <w:smallCaps w:val="false"/>
          <w:sz w:val="20"/>
        </w:rPr>
        <w:t>1</w:t>
      </w:r>
      <w:r>
        <w:rPr>
          <w:rFonts w:ascii="Times New Roman" w:hAnsi="Times New Roman"/>
          <w:caps w:val="false"/>
          <w:smallCaps w:val="false"/>
          <w:sz w:val="20"/>
        </w:rPr>
        <w:t>) indexed to the issuer’s own stock and (</w:t>
      </w:r>
      <w:r>
        <w:rPr>
          <w:rStyle w:val="Emphasis"/>
          <w:rFonts w:ascii="Times New Roman" w:hAnsi="Times New Roman"/>
          <w:caps w:val="false"/>
          <w:smallCaps w:val="false"/>
          <w:sz w:val="20"/>
        </w:rPr>
        <w:t>2</w:t>
      </w:r>
      <w:r>
        <w:rPr>
          <w:rFonts w:ascii="Times New Roman" w:hAnsi="Times New Roman"/>
          <w:caps w:val="false"/>
          <w:smallCaps w:val="false"/>
          <w:sz w:val="20"/>
        </w:rPr>
        <w:t>) meet the requirements of the equity classification guidance. Based upon the Company’s analysis, it was determined the conversion option is indexed to its own stock and also met all the criteria for equity classification. Accordingly, the conversion option is </w:t>
      </w:r>
      <w:r>
        <w:rPr>
          <w:rStyle w:val="Emphasis"/>
          <w:rFonts w:ascii="Times New Roman" w:hAnsi="Times New Roman"/>
          <w:caps w:val="false"/>
          <w:smallCaps w:val="false"/>
          <w:sz w:val="20"/>
        </w:rPr>
        <w:t>not</w:t>
      </w:r>
      <w:r>
        <w:rPr>
          <w:rFonts w:ascii="Times New Roman" w:hAnsi="Times New Roman"/>
          <w:caps w:val="false"/>
          <w:smallCaps w:val="false"/>
          <w:sz w:val="20"/>
        </w:rPr>
        <w:t> required to be bifurcated from the host instrument as a derivative.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pPr>
      <w:r>
        <w:rPr>
          <w:rFonts w:ascii="Times New Roman" w:hAnsi="Times New Roman"/>
          <w:caps w:val="false"/>
          <w:smallCaps w:val="false"/>
          <w:sz w:val="20"/>
        </w:rPr>
        <w:t>Pursuant to ASC </w:t>
      </w:r>
      <w:r>
        <w:rPr>
          <w:rStyle w:val="Emphasis"/>
          <w:rFonts w:ascii="Times New Roman" w:hAnsi="Times New Roman"/>
          <w:caps w:val="false"/>
          <w:smallCaps w:val="false"/>
          <w:sz w:val="20"/>
        </w:rPr>
        <w:t>815</w:t>
      </w:r>
      <w:r>
        <w:rPr>
          <w:rFonts w:ascii="Times New Roman" w:hAnsi="Times New Roman"/>
          <w:caps w:val="false"/>
          <w:smallCaps w:val="false"/>
          <w:sz w:val="20"/>
        </w:rPr>
        <w:t>-</w:t>
      </w:r>
      <w:r>
        <w:rPr>
          <w:rStyle w:val="Emphasis"/>
          <w:rFonts w:ascii="Times New Roman" w:hAnsi="Times New Roman"/>
          <w:caps w:val="false"/>
          <w:smallCaps w:val="false"/>
          <w:sz w:val="20"/>
        </w:rPr>
        <w:t>15,</w:t>
      </w:r>
      <w:r>
        <w:rPr>
          <w:rFonts w:ascii="Times New Roman" w:hAnsi="Times New Roman"/>
          <w:caps w:val="false"/>
          <w:smallCaps w:val="false"/>
          <w:sz w:val="20"/>
        </w:rPr>
        <w:t> the Company further determined that the contingent redemption features in the </w:t>
      </w:r>
      <w:r>
        <w:rPr>
          <w:rStyle w:val="Emphasis"/>
          <w:rFonts w:ascii="Times New Roman" w:hAnsi="Times New Roman"/>
          <w:caps w:val="false"/>
          <w:smallCaps w:val="false"/>
          <w:sz w:val="20"/>
        </w:rPr>
        <w:t>2030</w:t>
      </w:r>
      <w:r>
        <w:rPr>
          <w:rFonts w:ascii="Times New Roman" w:hAnsi="Times New Roman"/>
          <w:caps w:val="false"/>
          <w:smallCaps w:val="false"/>
          <w:sz w:val="20"/>
        </w:rPr>
        <w:t> Notes are </w:t>
      </w:r>
      <w:r>
        <w:rPr>
          <w:rStyle w:val="Emphasis"/>
          <w:rFonts w:ascii="Times New Roman" w:hAnsi="Times New Roman"/>
          <w:caps w:val="false"/>
          <w:smallCaps w:val="false"/>
          <w:sz w:val="20"/>
        </w:rPr>
        <w:t>not</w:t>
      </w:r>
      <w:r>
        <w:rPr>
          <w:rFonts w:ascii="Times New Roman" w:hAnsi="Times New Roman"/>
          <w:caps w:val="false"/>
          <w:smallCaps w:val="false"/>
          <w:sz w:val="20"/>
        </w:rPr>
        <w:t> required to be bifurcated from the host contract and accounted for separately. Additionally, the Company then evaluated whether the conversion feature needed to be separately accounted for as an equity component under ASC </w:t>
      </w:r>
      <w:r>
        <w:rPr>
          <w:rStyle w:val="Emphasis"/>
          <w:rFonts w:ascii="Times New Roman" w:hAnsi="Times New Roman"/>
          <w:caps w:val="false"/>
          <w:smallCaps w:val="false"/>
          <w:sz w:val="20"/>
        </w:rPr>
        <w:t>470</w:t>
      </w:r>
      <w:r>
        <w:rPr>
          <w:rFonts w:ascii="Times New Roman" w:hAnsi="Times New Roman"/>
          <w:caps w:val="false"/>
          <w:smallCaps w:val="false"/>
          <w:sz w:val="20"/>
        </w:rPr>
        <w:t>-</w:t>
      </w:r>
      <w:r>
        <w:rPr>
          <w:rStyle w:val="Emphasis"/>
          <w:rFonts w:ascii="Times New Roman" w:hAnsi="Times New Roman"/>
          <w:caps w:val="false"/>
          <w:smallCaps w:val="false"/>
          <w:sz w:val="20"/>
        </w:rPr>
        <w:t>20,</w:t>
      </w:r>
      <w:r>
        <w:rPr>
          <w:rFonts w:ascii="Times New Roman" w:hAnsi="Times New Roman"/>
          <w:caps w:val="false"/>
          <w:smallCaps w:val="false"/>
          <w:sz w:val="20"/>
        </w:rPr>
        <w:t> Debt with Conversion and Other Options, and determined that the additional premium was </w:t>
      </w:r>
      <w:r>
        <w:rPr>
          <w:rStyle w:val="Emphasis"/>
          <w:rFonts w:ascii="Times New Roman" w:hAnsi="Times New Roman"/>
          <w:caps w:val="false"/>
          <w:smallCaps w:val="false"/>
          <w:sz w:val="20"/>
        </w:rPr>
        <w:t>not</w:t>
      </w:r>
      <w:r>
        <w:rPr>
          <w:rFonts w:ascii="Times New Roman" w:hAnsi="Times New Roman"/>
          <w:caps w:val="false"/>
          <w:smallCaps w:val="false"/>
          <w:sz w:val="20"/>
        </w:rPr>
        <w:t> substantial. Accordingly, that amount was recognized as a premium on the </w:t>
      </w:r>
      <w:r>
        <w:rPr>
          <w:rStyle w:val="Emphasis"/>
          <w:rFonts w:ascii="Times New Roman" w:hAnsi="Times New Roman"/>
          <w:caps w:val="false"/>
          <w:smallCaps w:val="false"/>
          <w:sz w:val="20"/>
        </w:rPr>
        <w:t>2030</w:t>
      </w:r>
      <w:r>
        <w:rPr>
          <w:rFonts w:ascii="Times New Roman" w:hAnsi="Times New Roman"/>
          <w:caps w:val="false"/>
          <w:smallCaps w:val="false"/>
          <w:sz w:val="20"/>
        </w:rPr>
        <w:t> Notes.</w:t>
      </w:r>
    </w:p>
    <w:p>
      <w:pPr>
        <w:pStyle w:val="TextBody"/>
        <w:bidi w:val="0"/>
        <w:spacing w:before="0" w:after="0"/>
        <w:jc w:val="left"/>
      </w:pPr>
      <w:r>
        <w:t xml:space="preserve">   </w:t>
      </w:r>
    </w:p>
    <w:p>
      <w:pPr>
        <w:pStyle w:val="TextBody"/>
        <w:bidi w:val="0"/>
        <w:spacing w:before="0" w:after="0"/>
        <w:jc w:val="center"/>
      </w:pPr>
      <w:r>
        <w:rPr>
          <w:rStyle w:val="Emphasis"/>
          <w:rFonts w:ascii="Times New Roman" w:hAnsi="Times New Roman"/>
          <w:sz w:val="20"/>
        </w:rPr>
        <w:t>18</w:t>
      </w:r>
      <w:r>
        <w:rPr>
          <w:rFonts w:ascii="Times New Roman" w:hAnsi="Times New Roman"/>
          <w:sz w:val="20"/>
        </w:rPr>
        <w:t xml:space="preserve"> </w:t>
      </w:r>
    </w:p>
    <w:p>
      <w:pPr>
        <w:pStyle w:val="HorizontalLine"/>
        <w:pBdr>
          <w:bottom w:val="double" w:sz="2" w:space="0" w:color="808080"/>
        </w:pBdr>
        <w:bidi w:val="0"/>
        <w:spacing w:before="0" w:after="283"/>
        <w:jc w:val="left"/>
      </w:pPr>
      <w:r/>
    </w:p>
    <w:p>
      <w:pPr>
        <w:pStyle w:val="TextBody"/>
        <w:bidi w:val="0"/>
        <w:jc w:val="left"/>
      </w:pPr>
      <w:hyperlink w:anchor="toc">
        <w:r>
          <w:rPr>
            <w:rStyle w:val="InternetLink"/>
            <w:rFonts w:ascii="Times New Roman;Times;serif" w:hAnsi="Times New Roman;Times;serif"/>
            <w:sz w:val="20"/>
          </w:rPr>
          <w:t>Table of Contents</w:t>
        </w:r>
      </w:hyperlink>
      <w:r>
        <w:t xml:space="preserve"> </w:t>
      </w:r>
    </w:p>
    <w:p>
      <w:pPr>
        <w:pStyle w:val="TextBody"/>
        <w:bidi w:val="0"/>
        <w:spacing w:before="0" w:after="0"/>
        <w:ind w:left="360" w:right="0" w:firstLine="540"/>
        <w:jc w:val="left"/>
      </w:pPr>
      <w:r>
        <w:t> </w:t>
      </w:r>
    </w:p>
    <w:p>
      <w:pPr>
        <w:pStyle w:val="TextBody"/>
        <w:bidi w:val="0"/>
        <w:spacing w:before="0" w:after="0"/>
        <w:ind w:left="0" w:right="0" w:firstLine="720"/>
        <w:jc w:val="left"/>
      </w:pPr>
      <w:r>
        <w:rPr>
          <w:rFonts w:ascii="Times New Roman" w:hAnsi="Times New Roman"/>
          <w:sz w:val="20"/>
        </w:rPr>
        <w:t xml:space="preserve">The following table sets forth interest expense information related to the </w:t>
      </w:r>
      <w:r>
        <w:rPr>
          <w:rStyle w:val="Emphasis"/>
          <w:rFonts w:ascii="Times New Roman" w:hAnsi="Times New Roman"/>
          <w:color w:val="000000"/>
          <w:sz w:val="20"/>
        </w:rPr>
        <w:t>2026</w:t>
      </w:r>
      <w:r>
        <w:rPr>
          <w:rFonts w:ascii="Times New Roman" w:hAnsi="Times New Roman"/>
          <w:color w:val="000000"/>
          <w:sz w:val="20"/>
        </w:rPr>
        <w:t xml:space="preserve"> Notes and </w:t>
      </w:r>
      <w:r>
        <w:rPr>
          <w:rStyle w:val="Emphasis"/>
          <w:rFonts w:ascii="Times New Roman" w:hAnsi="Times New Roman"/>
          <w:color w:val="000000"/>
          <w:sz w:val="20"/>
        </w:rPr>
        <w:t>2030</w:t>
      </w:r>
      <w:r>
        <w:rPr>
          <w:rFonts w:ascii="Times New Roman" w:hAnsi="Times New Roman"/>
          <w:color w:val="000000"/>
          <w:sz w:val="20"/>
        </w:rPr>
        <w:t> Notes (in thousands):</w:t>
      </w:r>
    </w:p>
    <w:p>
      <w:pPr>
        <w:pStyle w:val="TextBody"/>
        <w:bidi w:val="0"/>
        <w:spacing w:before="0" w:after="0"/>
        <w:ind w:left="0" w:right="0" w:firstLine="720"/>
        <w:jc w:val="left"/>
      </w:pPr>
      <w:r>
        <w:t> </w:t>
      </w:r>
    </w:p>
    <w:tbl>
      <w:tblPr>
        <w:tblW w:w="9094" w:type="dxa"/>
        <w:jc w:val="left"/>
        <w:tblInd w:w="0" w:type="dxa"/>
        <w:tblLayout w:type="fixed"/>
        <w:tblCellMar>
          <w:top w:w="0" w:type="dxa"/>
          <w:left w:w="0" w:type="dxa"/>
          <w:bottom w:w="0" w:type="dxa"/>
          <w:right w:w="0" w:type="dxa"/>
        </w:tblCellMar>
      </w:tblPr>
      <w:tblGrid>
        <w:gridCol w:w="2900"/>
        <w:gridCol w:w="60"/>
        <w:gridCol w:w="311"/>
        <w:gridCol w:w="833"/>
        <w:gridCol w:w="460"/>
        <w:gridCol w:w="149"/>
        <w:gridCol w:w="311"/>
        <w:gridCol w:w="833"/>
        <w:gridCol w:w="185"/>
        <w:gridCol w:w="60"/>
        <w:gridCol w:w="239"/>
        <w:gridCol w:w="930"/>
        <w:gridCol w:w="354"/>
        <w:gridCol w:w="115"/>
        <w:gridCol w:w="239"/>
        <w:gridCol w:w="930"/>
        <w:gridCol w:w="185"/>
      </w:tblGrid>
      <w:tr>
        <w:tc>
          <w:tcPr>
            <w:tcW w:w="290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89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Three months ended September 30,</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80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Nine months ended September 30,</w:t>
            </w:r>
          </w:p>
        </w:tc>
        <w:tc>
          <w:tcPr>
            <w:tcW w:w="185" w:type="dxa"/>
            <w:tcBorders/>
            <w:shd w:fill="FFFFFF" w:val="clear"/>
            <w:vAlign w:val="center"/>
          </w:tcPr>
          <w:p>
            <w:pPr>
              <w:pStyle w:val="TableContents"/>
              <w:bidi w:val="0"/>
              <w:spacing w:before="0" w:after="283"/>
              <w:jc w:val="left"/>
            </w:pPr>
            <w:r>
              <w:t> </w:t>
            </w:r>
          </w:p>
        </w:tc>
      </w:tr>
      <w:tr>
        <w:tc>
          <w:tcPr>
            <w:tcW w:w="290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2026</w:t>
            </w:r>
          </w:p>
        </w:tc>
        <w:tc>
          <w:tcPr>
            <w:tcW w:w="460" w:type="dxa"/>
            <w:tcBorders/>
            <w:shd w:fill="FFFFFF" w:val="clear"/>
            <w:vAlign w:val="center"/>
          </w:tcPr>
          <w:p>
            <w:pPr>
              <w:pStyle w:val="TableContents"/>
              <w:bidi w:val="0"/>
              <w:spacing w:before="0" w:after="283"/>
              <w:jc w:val="left"/>
            </w:pPr>
            <w:r>
              <w:t> </w:t>
            </w:r>
          </w:p>
        </w:tc>
        <w:tc>
          <w:tcPr>
            <w:tcW w:w="149" w:type="dxa"/>
            <w:tcBorders/>
            <w:shd w:fill="FFFFFF" w:val="clear"/>
            <w:vAlign w:val="center"/>
          </w:tcPr>
          <w:p>
            <w:pPr>
              <w:pStyle w:val="TableContents"/>
              <w:bidi w:val="0"/>
              <w:spacing w:before="0" w:after="283"/>
              <w:ind w:left="0" w:right="0" w:hanging="0"/>
              <w:jc w:val="left"/>
            </w:pPr>
            <w: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2025</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6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2026</w:t>
            </w:r>
          </w:p>
        </w:tc>
        <w:tc>
          <w:tcPr>
            <w:tcW w:w="354" w:type="dxa"/>
            <w:tcBorders/>
            <w:shd w:fill="FFFFFF" w:val="clear"/>
            <w:vAlign w:val="center"/>
          </w:tcPr>
          <w:p>
            <w:pPr>
              <w:pStyle w:val="TableContents"/>
              <w:bidi w:val="0"/>
              <w:spacing w:before="0" w:after="283"/>
              <w:jc w:val="left"/>
            </w:pPr>
            <w:r>
              <w:t> </w:t>
            </w:r>
          </w:p>
        </w:tc>
        <w:tc>
          <w:tcPr>
            <w:tcW w:w="115" w:type="dxa"/>
            <w:tcBorders/>
            <w:shd w:fill="FFFFFF" w:val="clear"/>
            <w:vAlign w:val="center"/>
          </w:tcPr>
          <w:p>
            <w:pPr>
              <w:pStyle w:val="TableContents"/>
              <w:bidi w:val="0"/>
              <w:spacing w:before="0" w:after="283"/>
              <w:ind w:left="0" w:right="0" w:hanging="0"/>
              <w:jc w:val="left"/>
            </w:pPr>
            <w:r>
              <w:t> </w:t>
            </w:r>
          </w:p>
        </w:tc>
        <w:tc>
          <w:tcPr>
            <w:tcW w:w="116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2025</w:t>
            </w:r>
          </w:p>
        </w:tc>
        <w:tc>
          <w:tcPr>
            <w:tcW w:w="185" w:type="dxa"/>
            <w:tcBorders/>
            <w:shd w:fill="FFFFFF" w:val="clear"/>
            <w:vAlign w:val="center"/>
          </w:tcPr>
          <w:p>
            <w:pPr>
              <w:pStyle w:val="TableContents"/>
              <w:bidi w:val="0"/>
              <w:spacing w:before="0" w:after="283"/>
              <w:jc w:val="left"/>
            </w:pPr>
            <w:r>
              <w:t> </w:t>
            </w:r>
          </w:p>
        </w:tc>
      </w:tr>
      <w:tr>
        <w:tc>
          <w:tcPr>
            <w:tcW w:w="29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Contractual interest expense</w:t>
            </w:r>
          </w:p>
        </w:tc>
        <w:tc>
          <w:tcPr>
            <w:tcW w:w="60" w:type="dxa"/>
            <w:tcBorders/>
            <w:shd w:fill="CCEEFF" w:val="clear"/>
            <w:vAlign w:val="center"/>
          </w:tcPr>
          <w:p>
            <w:pPr>
              <w:pStyle w:val="TableContents"/>
              <w:bidi w:val="0"/>
              <w:spacing w:before="0" w:after="283"/>
              <w:ind w:left="0" w:right="0" w:hanging="0"/>
              <w:jc w:val="left"/>
            </w:pPr>
            <w:r>
              <w:t> </w:t>
            </w:r>
          </w:p>
        </w:tc>
        <w:tc>
          <w:tcPr>
            <w:tcW w:w="311" w:type="dxa"/>
            <w:tcBorders/>
            <w:shd w:fill="CCEEFF" w:val="clear"/>
            <w:vAlign w:val="center"/>
          </w:tcPr>
          <w:p>
            <w:pPr>
              <w:pStyle w:val="TableContents"/>
              <w:bidi w:val="0"/>
              <w:spacing w:before="0" w:after="283"/>
              <w:ind w:left="0" w:right="0" w:hanging="0"/>
              <w:jc w:val="left"/>
              <w:rPr>
                <w:sz w:val="20"/>
              </w:rPr>
            </w:pPr>
            <w:r>
              <w:rPr>
                <w:sz w:val="20"/>
              </w:rPr>
              <w:t>$</w:t>
            </w:r>
          </w:p>
        </w:tc>
        <w:tc>
          <w:tcPr>
            <w:tcW w:w="833" w:type="dxa"/>
            <w:tcBorders/>
            <w:shd w:fill="CCEEFF" w:val="clear"/>
            <w:vAlign w:val="center"/>
          </w:tcPr>
          <w:p>
            <w:pPr>
              <w:pStyle w:val="TableContents"/>
              <w:bidi w:val="0"/>
              <w:spacing w:before="0" w:after="283"/>
              <w:ind w:left="0" w:right="0" w:hanging="0"/>
              <w:jc w:val="right"/>
              <w:rPr>
                <w:sz w:val="20"/>
              </w:rPr>
            </w:pPr>
            <w:r>
              <w:rPr>
                <w:sz w:val="20"/>
              </w:rPr>
              <w:t>343</w:t>
            </w:r>
          </w:p>
        </w:tc>
        <w:tc>
          <w:tcPr>
            <w:tcW w:w="460" w:type="dxa"/>
            <w:tcBorders/>
            <w:shd w:fill="CCEEFF" w:val="clear"/>
            <w:vAlign w:val="center"/>
          </w:tcPr>
          <w:p>
            <w:pPr>
              <w:pStyle w:val="TableContents"/>
              <w:bidi w:val="0"/>
              <w:spacing w:before="0" w:after="283"/>
              <w:jc w:val="left"/>
            </w:pPr>
            <w:r>
              <w:t> </w:t>
            </w:r>
          </w:p>
        </w:tc>
        <w:tc>
          <w:tcPr>
            <w:tcW w:w="149" w:type="dxa"/>
            <w:tcBorders/>
            <w:shd w:fill="CCEEFF" w:val="clear"/>
            <w:vAlign w:val="center"/>
          </w:tcPr>
          <w:p>
            <w:pPr>
              <w:pStyle w:val="TableContents"/>
              <w:bidi w:val="0"/>
              <w:spacing w:before="0" w:after="283"/>
              <w:ind w:left="0" w:right="0" w:hanging="0"/>
              <w:jc w:val="left"/>
            </w:pPr>
            <w:r>
              <w:t> </w:t>
            </w:r>
          </w:p>
        </w:tc>
        <w:tc>
          <w:tcPr>
            <w:tcW w:w="311" w:type="dxa"/>
            <w:tcBorders/>
            <w:shd w:fill="CCEEFF" w:val="clear"/>
            <w:vAlign w:val="center"/>
          </w:tcPr>
          <w:p>
            <w:pPr>
              <w:pStyle w:val="TableContents"/>
              <w:bidi w:val="0"/>
              <w:spacing w:before="0" w:after="283"/>
              <w:ind w:left="0" w:right="0" w:hanging="0"/>
              <w:jc w:val="left"/>
              <w:rPr>
                <w:sz w:val="20"/>
              </w:rPr>
            </w:pPr>
            <w:r>
              <w:rPr>
                <w:sz w:val="20"/>
              </w:rPr>
              <w:t>$</w:t>
            </w:r>
          </w:p>
        </w:tc>
        <w:tc>
          <w:tcPr>
            <w:tcW w:w="833" w:type="dxa"/>
            <w:tcBorders/>
            <w:shd w:fill="CCEEFF" w:val="clear"/>
            <w:vAlign w:val="center"/>
          </w:tcPr>
          <w:p>
            <w:pPr>
              <w:pStyle w:val="TableContents"/>
              <w:bidi w:val="0"/>
              <w:spacing w:before="0" w:after="283"/>
              <w:ind w:left="0" w:right="0" w:hanging="0"/>
              <w:jc w:val="right"/>
              <w:rPr>
                <w:sz w:val="20"/>
              </w:rPr>
            </w:pPr>
            <w:r>
              <w:rPr>
                <w:sz w:val="20"/>
              </w:rPr>
              <w:t>364</w:t>
            </w:r>
          </w:p>
        </w:tc>
        <w:tc>
          <w:tcPr>
            <w:tcW w:w="18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239" w:type="dxa"/>
            <w:tcBorders/>
            <w:shd w:fill="CCEEFF" w:val="clear"/>
            <w:vAlign w:val="center"/>
          </w:tcPr>
          <w:p>
            <w:pPr>
              <w:pStyle w:val="TableContents"/>
              <w:bidi w:val="0"/>
              <w:spacing w:before="0" w:after="283"/>
              <w:ind w:left="0" w:right="0" w:hanging="0"/>
              <w:jc w:val="left"/>
              <w:rPr>
                <w:sz w:val="20"/>
              </w:rPr>
            </w:pPr>
            <w:r>
              <w:rPr>
                <w:sz w:val="20"/>
              </w:rPr>
              <w:t>$</w:t>
            </w:r>
          </w:p>
        </w:tc>
        <w:tc>
          <w:tcPr>
            <w:tcW w:w="930" w:type="dxa"/>
            <w:tcBorders/>
            <w:shd w:fill="CCEEFF" w:val="clear"/>
            <w:vAlign w:val="center"/>
          </w:tcPr>
          <w:p>
            <w:pPr>
              <w:pStyle w:val="TableContents"/>
              <w:bidi w:val="0"/>
              <w:spacing w:before="0" w:after="283"/>
              <w:ind w:left="0" w:right="0" w:hanging="0"/>
              <w:jc w:val="right"/>
              <w:rPr>
                <w:sz w:val="20"/>
              </w:rPr>
            </w:pPr>
            <w:r>
              <w:rPr>
                <w:sz w:val="20"/>
              </w:rPr>
              <w:t>1,033</w:t>
            </w:r>
          </w:p>
        </w:tc>
        <w:tc>
          <w:tcPr>
            <w:tcW w:w="354" w:type="dxa"/>
            <w:tcBorders/>
            <w:shd w:fill="CCEEFF" w:val="clear"/>
            <w:vAlign w:val="center"/>
          </w:tcPr>
          <w:p>
            <w:pPr>
              <w:pStyle w:val="TableContents"/>
              <w:bidi w:val="0"/>
              <w:spacing w:before="0" w:after="283"/>
              <w:jc w:val="left"/>
            </w:pPr>
            <w:r>
              <w:t> </w:t>
            </w:r>
          </w:p>
        </w:tc>
        <w:tc>
          <w:tcPr>
            <w:tcW w:w="115" w:type="dxa"/>
            <w:tcBorders/>
            <w:shd w:fill="CCEEFF" w:val="clear"/>
            <w:vAlign w:val="center"/>
          </w:tcPr>
          <w:p>
            <w:pPr>
              <w:pStyle w:val="TableContents"/>
              <w:bidi w:val="0"/>
              <w:spacing w:before="0" w:after="283"/>
              <w:ind w:left="0" w:right="0" w:hanging="0"/>
              <w:jc w:val="left"/>
            </w:pPr>
            <w:r>
              <w:t> </w:t>
            </w:r>
          </w:p>
        </w:tc>
        <w:tc>
          <w:tcPr>
            <w:tcW w:w="239" w:type="dxa"/>
            <w:tcBorders/>
            <w:shd w:fill="CCEEFF" w:val="clear"/>
            <w:vAlign w:val="center"/>
          </w:tcPr>
          <w:p>
            <w:pPr>
              <w:pStyle w:val="TableContents"/>
              <w:bidi w:val="0"/>
              <w:spacing w:before="0" w:after="283"/>
              <w:ind w:left="0" w:right="0" w:hanging="0"/>
              <w:jc w:val="left"/>
              <w:rPr>
                <w:sz w:val="20"/>
              </w:rPr>
            </w:pPr>
            <w:r>
              <w:rPr>
                <w:sz w:val="20"/>
              </w:rPr>
              <w:t>$</w:t>
            </w:r>
          </w:p>
        </w:tc>
        <w:tc>
          <w:tcPr>
            <w:tcW w:w="930" w:type="dxa"/>
            <w:tcBorders/>
            <w:shd w:fill="CCEEFF" w:val="clear"/>
            <w:vAlign w:val="center"/>
          </w:tcPr>
          <w:p>
            <w:pPr>
              <w:pStyle w:val="TableContents"/>
              <w:bidi w:val="0"/>
              <w:spacing w:before="0" w:after="283"/>
              <w:ind w:left="0" w:right="0" w:hanging="0"/>
              <w:jc w:val="right"/>
              <w:rPr>
                <w:sz w:val="20"/>
              </w:rPr>
            </w:pPr>
            <w:r>
              <w:rPr>
                <w:sz w:val="20"/>
              </w:rPr>
              <w:t>1,157</w:t>
            </w:r>
          </w:p>
        </w:tc>
        <w:tc>
          <w:tcPr>
            <w:tcW w:w="185" w:type="dxa"/>
            <w:tcBorders/>
            <w:shd w:fill="CCEEFF" w:val="clear"/>
            <w:vAlign w:val="center"/>
          </w:tcPr>
          <w:p>
            <w:pPr>
              <w:pStyle w:val="TableContents"/>
              <w:bidi w:val="0"/>
              <w:spacing w:before="0" w:after="283"/>
              <w:jc w:val="left"/>
            </w:pPr>
            <w:r>
              <w:t> </w:t>
            </w:r>
          </w:p>
        </w:tc>
      </w:tr>
      <w:tr>
        <w:tc>
          <w:tcPr>
            <w:tcW w:w="29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debt issuance costs</w:t>
            </w:r>
          </w:p>
        </w:tc>
        <w:tc>
          <w:tcPr>
            <w:tcW w:w="60" w:type="dxa"/>
            <w:tcBorders/>
            <w:shd w:fill="FFFFFF" w:val="clear"/>
            <w:vAlign w:val="center"/>
          </w:tcPr>
          <w:p>
            <w:pPr>
              <w:pStyle w:val="TableContents"/>
              <w:bidi w:val="0"/>
              <w:spacing w:before="0" w:after="283"/>
              <w:jc w:val="left"/>
            </w:pPr>
            <w:r>
              <w:t> </w:t>
            </w:r>
          </w:p>
        </w:tc>
        <w:tc>
          <w:tcPr>
            <w:tcW w:w="31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83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223</w:t>
            </w:r>
          </w:p>
        </w:tc>
        <w:tc>
          <w:tcPr>
            <w:tcW w:w="460" w:type="dxa"/>
            <w:tcBorders/>
            <w:shd w:fill="FFFFFF" w:val="clear"/>
            <w:vAlign w:val="center"/>
          </w:tcPr>
          <w:p>
            <w:pPr>
              <w:pStyle w:val="TableContents"/>
              <w:bidi w:val="0"/>
              <w:spacing w:before="0" w:after="283"/>
              <w:jc w:val="left"/>
            </w:pPr>
            <w:r>
              <w:t> </w:t>
            </w:r>
          </w:p>
        </w:tc>
        <w:tc>
          <w:tcPr>
            <w:tcW w:w="149" w:type="dxa"/>
            <w:tcBorders/>
            <w:shd w:fill="FFFFFF" w:val="clear"/>
            <w:vAlign w:val="center"/>
          </w:tcPr>
          <w:p>
            <w:pPr>
              <w:pStyle w:val="TableContents"/>
              <w:bidi w:val="0"/>
              <w:spacing w:before="0" w:after="283"/>
              <w:jc w:val="left"/>
            </w:pPr>
            <w:r>
              <w:t> </w:t>
            </w:r>
          </w:p>
        </w:tc>
        <w:tc>
          <w:tcPr>
            <w:tcW w:w="31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83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220</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9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659</w:t>
            </w:r>
          </w:p>
        </w:tc>
        <w:tc>
          <w:tcPr>
            <w:tcW w:w="354" w:type="dxa"/>
            <w:tcBorders/>
            <w:shd w:fill="FFFFFF" w:val="clear"/>
            <w:vAlign w:val="center"/>
          </w:tcPr>
          <w:p>
            <w:pPr>
              <w:pStyle w:val="TableContents"/>
              <w:bidi w:val="0"/>
              <w:spacing w:before="0" w:after="283"/>
              <w:jc w:val="left"/>
            </w:pPr>
            <w:r>
              <w:t> </w:t>
            </w:r>
          </w:p>
        </w:tc>
        <w:tc>
          <w:tcPr>
            <w:tcW w:w="115" w:type="dxa"/>
            <w:tcBorders/>
            <w:shd w:fill="FFFFFF" w:val="clear"/>
            <w:vAlign w:val="center"/>
          </w:tcPr>
          <w:p>
            <w:pPr>
              <w:pStyle w:val="TableContents"/>
              <w:bidi w:val="0"/>
              <w:spacing w:before="0" w:after="283"/>
              <w:jc w:val="left"/>
            </w:pPr>
            <w:r>
              <w:t> </w:t>
            </w:r>
          </w:p>
        </w:tc>
        <w:tc>
          <w:tcPr>
            <w:tcW w:w="2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9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650</w:t>
            </w:r>
          </w:p>
        </w:tc>
        <w:tc>
          <w:tcPr>
            <w:tcW w:w="185" w:type="dxa"/>
            <w:tcBorders/>
            <w:shd w:fill="FFFFFF" w:val="clear"/>
            <w:vAlign w:val="center"/>
          </w:tcPr>
          <w:p>
            <w:pPr>
              <w:pStyle w:val="TableContents"/>
              <w:bidi w:val="0"/>
              <w:spacing w:before="0" w:after="283"/>
              <w:jc w:val="left"/>
            </w:pPr>
            <w:r>
              <w:t> </w:t>
            </w:r>
          </w:p>
        </w:tc>
      </w:tr>
      <w:tr>
        <w:tc>
          <w:tcPr>
            <w:tcW w:w="29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interest cost</w:t>
            </w:r>
          </w:p>
        </w:tc>
        <w:tc>
          <w:tcPr>
            <w:tcW w:w="60" w:type="dxa"/>
            <w:tcBorders/>
            <w:shd w:fill="CCEEFF" w:val="clear"/>
            <w:vAlign w:val="center"/>
          </w:tcPr>
          <w:p>
            <w:pPr>
              <w:pStyle w:val="TableContents"/>
              <w:bidi w:val="0"/>
              <w:spacing w:before="0" w:after="283"/>
              <w:ind w:left="0" w:right="0" w:hanging="0"/>
              <w:jc w:val="left"/>
            </w:pPr>
            <w:r>
              <w:t> </w:t>
            </w:r>
          </w:p>
        </w:tc>
        <w:tc>
          <w:tcPr>
            <w:tcW w:w="31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83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566</w:t>
            </w:r>
          </w:p>
        </w:tc>
        <w:tc>
          <w:tcPr>
            <w:tcW w:w="460" w:type="dxa"/>
            <w:tcBorders/>
            <w:shd w:fill="CCEEFF" w:val="clear"/>
            <w:vAlign w:val="center"/>
          </w:tcPr>
          <w:p>
            <w:pPr>
              <w:pStyle w:val="TableContents"/>
              <w:bidi w:val="0"/>
              <w:spacing w:before="0" w:after="283"/>
              <w:jc w:val="left"/>
            </w:pPr>
            <w:r>
              <w:t> </w:t>
            </w:r>
          </w:p>
        </w:tc>
        <w:tc>
          <w:tcPr>
            <w:tcW w:w="149" w:type="dxa"/>
            <w:tcBorders/>
            <w:shd w:fill="CCEEFF" w:val="clear"/>
            <w:vAlign w:val="center"/>
          </w:tcPr>
          <w:p>
            <w:pPr>
              <w:pStyle w:val="TableContents"/>
              <w:bidi w:val="0"/>
              <w:spacing w:before="0" w:after="283"/>
              <w:ind w:left="0" w:right="0" w:hanging="0"/>
              <w:jc w:val="left"/>
            </w:pPr>
            <w:r>
              <w:t> </w:t>
            </w:r>
          </w:p>
        </w:tc>
        <w:tc>
          <w:tcPr>
            <w:tcW w:w="31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83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584</w:t>
            </w:r>
          </w:p>
        </w:tc>
        <w:tc>
          <w:tcPr>
            <w:tcW w:w="18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23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93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1,692</w:t>
            </w:r>
          </w:p>
        </w:tc>
        <w:tc>
          <w:tcPr>
            <w:tcW w:w="354" w:type="dxa"/>
            <w:tcBorders/>
            <w:shd w:fill="CCEEFF" w:val="clear"/>
            <w:vAlign w:val="center"/>
          </w:tcPr>
          <w:p>
            <w:pPr>
              <w:pStyle w:val="TableContents"/>
              <w:bidi w:val="0"/>
              <w:spacing w:before="0" w:after="283"/>
              <w:jc w:val="left"/>
            </w:pPr>
            <w:r>
              <w:t> </w:t>
            </w:r>
          </w:p>
        </w:tc>
        <w:tc>
          <w:tcPr>
            <w:tcW w:w="115" w:type="dxa"/>
            <w:tcBorders/>
            <w:shd w:fill="CCEEFF" w:val="clear"/>
            <w:vAlign w:val="center"/>
          </w:tcPr>
          <w:p>
            <w:pPr>
              <w:pStyle w:val="TableContents"/>
              <w:bidi w:val="0"/>
              <w:spacing w:before="0" w:after="283"/>
              <w:ind w:left="0" w:right="0" w:hanging="0"/>
              <w:jc w:val="left"/>
            </w:pPr>
            <w:r>
              <w:t> </w:t>
            </w:r>
          </w:p>
        </w:tc>
        <w:tc>
          <w:tcPr>
            <w:tcW w:w="23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93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1,807</w:t>
            </w:r>
          </w:p>
        </w:tc>
        <w:tc>
          <w:tcPr>
            <w:tcW w:w="185" w:type="dxa"/>
            <w:tcBorders/>
            <w:shd w:fill="CCEEFF" w:val="clear"/>
            <w:vAlign w:val="center"/>
          </w:tcPr>
          <w:p>
            <w:pPr>
              <w:pStyle w:val="TableContents"/>
              <w:bidi w:val="0"/>
              <w:spacing w:before="0" w:after="283"/>
              <w:jc w:val="left"/>
            </w:pPr>
            <w:r>
              <w:t> </w:t>
            </w:r>
          </w:p>
        </w:tc>
      </w:tr>
      <w:tr>
        <w:tc>
          <w:tcPr>
            <w:tcW w:w="29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Effective interest rate</w:t>
            </w:r>
          </w:p>
        </w:tc>
        <w:tc>
          <w:tcPr>
            <w:tcW w:w="60" w:type="dxa"/>
            <w:tcBorders/>
            <w:shd w:fill="FFFFFF" w:val="clear"/>
            <w:vAlign w:val="center"/>
          </w:tcPr>
          <w:p>
            <w:pPr>
              <w:pStyle w:val="TableContents"/>
              <w:bidi w:val="0"/>
              <w:spacing w:before="0" w:after="283"/>
              <w:jc w:val="left"/>
            </w:pPr>
            <w:r>
              <w:t> </w:t>
            </w:r>
          </w:p>
        </w:tc>
        <w:tc>
          <w:tcPr>
            <w:tcW w:w="311" w:type="dxa"/>
            <w:tcBorders/>
            <w:shd w:fill="FFFFFF" w:val="clear"/>
            <w:vAlign w:val="center"/>
          </w:tcPr>
          <w:p>
            <w:pPr>
              <w:pStyle w:val="TableContents"/>
              <w:bidi w:val="0"/>
              <w:spacing w:before="0" w:after="283"/>
              <w:ind w:left="0" w:right="0" w:hanging="0"/>
              <w:jc w:val="left"/>
            </w:pPr>
            <w:r>
              <w:t> </w:t>
            </w:r>
          </w:p>
        </w:tc>
        <w:tc>
          <w:tcPr>
            <w:tcW w:w="833" w:type="dxa"/>
            <w:tcBorders/>
            <w:shd w:fill="FFFFFF" w:val="clear"/>
            <w:vAlign w:val="center"/>
          </w:tcPr>
          <w:p>
            <w:pPr>
              <w:pStyle w:val="TableContents"/>
              <w:bidi w:val="0"/>
              <w:spacing w:before="0" w:after="283"/>
              <w:ind w:left="0" w:right="0" w:hanging="0"/>
              <w:jc w:val="right"/>
              <w:rPr>
                <w:sz w:val="20"/>
              </w:rPr>
            </w:pPr>
            <w:r>
              <w:rPr>
                <w:sz w:val="20"/>
              </w:rPr>
              <w:t>1.0</w:t>
            </w:r>
          </w:p>
        </w:tc>
        <w:tc>
          <w:tcPr>
            <w:tcW w:w="460" w:type="dxa"/>
            <w:tcBorders/>
            <w:shd w:fill="FFFFFF" w:val="clear"/>
            <w:vAlign w:val="center"/>
          </w:tcPr>
          <w:p>
            <w:pPr>
              <w:pStyle w:val="TableContents"/>
              <w:bidi w:val="0"/>
              <w:spacing w:before="0" w:after="283"/>
              <w:jc w:val="left"/>
              <w:rPr>
                <w:sz w:val="20"/>
              </w:rPr>
            </w:pPr>
            <w:r>
              <w:rPr>
                <w:sz w:val="20"/>
              </w:rPr>
              <w:t>%</w:t>
            </w:r>
          </w:p>
        </w:tc>
        <w:tc>
          <w:tcPr>
            <w:tcW w:w="149" w:type="dxa"/>
            <w:tcBorders/>
            <w:shd w:fill="FFFFFF" w:val="clear"/>
            <w:vAlign w:val="center"/>
          </w:tcPr>
          <w:p>
            <w:pPr>
              <w:pStyle w:val="TableContents"/>
              <w:bidi w:val="0"/>
              <w:spacing w:before="0" w:after="283"/>
              <w:jc w:val="left"/>
            </w:pPr>
            <w:r>
              <w:t> </w:t>
            </w:r>
          </w:p>
        </w:tc>
        <w:tc>
          <w:tcPr>
            <w:tcW w:w="311" w:type="dxa"/>
            <w:tcBorders/>
            <w:shd w:fill="FFFFFF" w:val="clear"/>
            <w:vAlign w:val="center"/>
          </w:tcPr>
          <w:p>
            <w:pPr>
              <w:pStyle w:val="TableContents"/>
              <w:bidi w:val="0"/>
              <w:spacing w:before="0" w:after="283"/>
              <w:ind w:left="0" w:right="0" w:hanging="0"/>
              <w:jc w:val="left"/>
            </w:pPr>
            <w:r>
              <w:t> </w:t>
            </w:r>
          </w:p>
        </w:tc>
        <w:tc>
          <w:tcPr>
            <w:tcW w:w="833" w:type="dxa"/>
            <w:tcBorders/>
            <w:shd w:fill="FFFFFF" w:val="clear"/>
            <w:vAlign w:val="center"/>
          </w:tcPr>
          <w:p>
            <w:pPr>
              <w:pStyle w:val="TableContents"/>
              <w:bidi w:val="0"/>
              <w:spacing w:before="0" w:after="283"/>
              <w:ind w:left="0" w:right="0" w:hanging="0"/>
              <w:jc w:val="right"/>
              <w:rPr>
                <w:sz w:val="20"/>
              </w:rPr>
            </w:pPr>
            <w:r>
              <w:rPr>
                <w:sz w:val="20"/>
              </w:rPr>
              <w:t>1.0</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pPr>
            <w:r>
              <w:t> </w:t>
            </w:r>
          </w:p>
        </w:tc>
        <w:tc>
          <w:tcPr>
            <w:tcW w:w="239" w:type="dxa"/>
            <w:tcBorders/>
            <w:shd w:fill="FFFFFF" w:val="clear"/>
            <w:vAlign w:val="center"/>
          </w:tcPr>
          <w:p>
            <w:pPr>
              <w:pStyle w:val="TableContents"/>
              <w:bidi w:val="0"/>
              <w:spacing w:before="0" w:after="283"/>
              <w:ind w:left="0" w:right="0" w:hanging="0"/>
              <w:jc w:val="left"/>
            </w:pPr>
            <w:r>
              <w:t> </w:t>
            </w:r>
          </w:p>
        </w:tc>
        <w:tc>
          <w:tcPr>
            <w:tcW w:w="930" w:type="dxa"/>
            <w:tcBorders/>
            <w:shd w:fill="FFFFFF" w:val="clear"/>
            <w:vAlign w:val="center"/>
          </w:tcPr>
          <w:p>
            <w:pPr>
              <w:pStyle w:val="TableContents"/>
              <w:bidi w:val="0"/>
              <w:spacing w:before="0" w:after="283"/>
              <w:ind w:left="0" w:right="0" w:hanging="0"/>
              <w:jc w:val="right"/>
              <w:rPr>
                <w:sz w:val="20"/>
              </w:rPr>
            </w:pPr>
            <w:r>
              <w:rPr>
                <w:sz w:val="20"/>
              </w:rPr>
              <w:t>1.0</w:t>
            </w:r>
          </w:p>
        </w:tc>
        <w:tc>
          <w:tcPr>
            <w:tcW w:w="354" w:type="dxa"/>
            <w:tcBorders/>
            <w:shd w:fill="FFFFFF" w:val="clear"/>
            <w:vAlign w:val="center"/>
          </w:tcPr>
          <w:p>
            <w:pPr>
              <w:pStyle w:val="TableContents"/>
              <w:bidi w:val="0"/>
              <w:spacing w:before="0" w:after="283"/>
              <w:jc w:val="left"/>
              <w:rPr>
                <w:sz w:val="20"/>
              </w:rPr>
            </w:pPr>
            <w:r>
              <w:rPr>
                <w:sz w:val="20"/>
              </w:rPr>
              <w:t>%</w:t>
            </w:r>
          </w:p>
        </w:tc>
        <w:tc>
          <w:tcPr>
            <w:tcW w:w="115" w:type="dxa"/>
            <w:tcBorders/>
            <w:shd w:fill="FFFFFF" w:val="clear"/>
            <w:vAlign w:val="center"/>
          </w:tcPr>
          <w:p>
            <w:pPr>
              <w:pStyle w:val="TableContents"/>
              <w:bidi w:val="0"/>
              <w:spacing w:before="0" w:after="283"/>
              <w:jc w:val="left"/>
            </w:pPr>
            <w:r>
              <w:t> </w:t>
            </w:r>
          </w:p>
        </w:tc>
        <w:tc>
          <w:tcPr>
            <w:tcW w:w="239" w:type="dxa"/>
            <w:tcBorders/>
            <w:shd w:fill="FFFFFF" w:val="clear"/>
            <w:vAlign w:val="center"/>
          </w:tcPr>
          <w:p>
            <w:pPr>
              <w:pStyle w:val="TableContents"/>
              <w:bidi w:val="0"/>
              <w:spacing w:before="0" w:after="283"/>
              <w:ind w:left="0" w:right="0" w:hanging="0"/>
              <w:jc w:val="left"/>
            </w:pPr>
            <w:r>
              <w:t> </w:t>
            </w:r>
          </w:p>
        </w:tc>
        <w:tc>
          <w:tcPr>
            <w:tcW w:w="930" w:type="dxa"/>
            <w:tcBorders/>
            <w:shd w:fill="FFFFFF" w:val="clear"/>
            <w:vAlign w:val="center"/>
          </w:tcPr>
          <w:p>
            <w:pPr>
              <w:pStyle w:val="TableContents"/>
              <w:bidi w:val="0"/>
              <w:spacing w:before="0" w:after="283"/>
              <w:ind w:left="0" w:right="0" w:hanging="0"/>
              <w:jc w:val="right"/>
              <w:rPr>
                <w:sz w:val="20"/>
              </w:rPr>
            </w:pPr>
            <w:r>
              <w:rPr>
                <w:sz w:val="20"/>
              </w:rPr>
              <w:t>1.0</w:t>
            </w:r>
          </w:p>
        </w:tc>
        <w:tc>
          <w:tcPr>
            <w:tcW w:w="185" w:type="dxa"/>
            <w:tcBorders/>
            <w:shd w:fill="FFFFFF" w:val="clear"/>
            <w:vAlign w:val="center"/>
          </w:tcPr>
          <w:p>
            <w:pPr>
              <w:pStyle w:val="TableContents"/>
              <w:bidi w:val="0"/>
              <w:spacing w:before="0" w:after="283"/>
              <w:jc w:val="left"/>
              <w:rPr>
                <w:sz w:val="20"/>
              </w:rPr>
            </w:pPr>
            <w:r>
              <w:rPr>
                <w:sz w:val="20"/>
              </w:rPr>
              <w:t>%</w:t>
            </w:r>
          </w:p>
        </w:tc>
      </w:tr>
    </w:tbl>
    <w:p>
      <w:pPr>
        <w:pStyle w:val="TextBody"/>
        <w:bidi w:val="0"/>
        <w:spacing w:before="0" w:after="0"/>
        <w:ind w:left="0" w:right="0" w:firstLine="720"/>
        <w:jc w:val="left"/>
      </w:pPr>
      <w:r>
        <w:t>​</w:t>
      </w:r>
    </w:p>
    <w:p>
      <w:pPr>
        <w:pStyle w:val="TextBody"/>
        <w:bidi w:val="0"/>
        <w:spacing w:before="0" w:after="283"/>
        <w:jc w:val="left"/>
      </w:pPr>
      <w:r>
        <w:t xml:space="preserve">  </w:t>
      </w:r>
    </w:p>
    <w:p>
      <w:pPr>
        <w:pStyle w:val="TextBody"/>
        <w:bidi w:val="0"/>
        <w:spacing w:before="0" w:after="0"/>
        <w:ind w:left="0" w:right="0" w:firstLine="360"/>
        <w:jc w:val="left"/>
      </w:pPr>
      <w:r>
        <w:rPr>
          <w:rFonts w:ascii="Times New Roman;Times;serif" w:hAnsi="Times New Roman;Times;serif"/>
          <w:b/>
          <w:sz w:val="20"/>
        </w:rPr>
        <w:t xml:space="preserve">Note </w:t>
      </w:r>
      <w:r>
        <w:rPr>
          <w:rStyle w:val="Emphasis"/>
          <w:rFonts w:ascii="Times New Roman;Times;serif" w:hAnsi="Times New Roman;Times;serif"/>
          <w:b/>
          <w:sz w:val="20"/>
        </w:rPr>
        <w:t>13.</w:t>
      </w:r>
      <w:r>
        <w:rPr>
          <w:rFonts w:ascii="Times New Roman;Times;serif" w:hAnsi="Times New Roman;Times;serif"/>
          <w:b/>
          <w:sz w:val="20"/>
        </w:rPr>
        <w:t>  Accrued Liabilities​</w:t>
      </w:r>
    </w:p>
    <w:p>
      <w:pPr>
        <w:pStyle w:val="TextBody"/>
        <w:bidi w:val="0"/>
        <w:spacing w:before="0" w:after="0"/>
        <w:ind w:left="0" w:right="0" w:hanging="0"/>
        <w:jc w:val="left"/>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Accrued liabilities consisted of the following for the periods indicated (in thousands):</w:t>
      </w:r>
    </w:p>
    <w:p>
      <w:pPr>
        <w:pStyle w:val="TextBody"/>
        <w:bidi w:val="0"/>
        <w:spacing w:before="0" w:after="0"/>
        <w:ind w:left="0" w:right="0" w:firstLine="720"/>
        <w:jc w:val="left"/>
      </w:pPr>
      <w:r>
        <w:t>​</w:t>
      </w:r>
    </w:p>
    <w:tbl>
      <w:tblPr>
        <w:tblW w:w="6523" w:type="dxa"/>
        <w:jc w:val="left"/>
        <w:tblInd w:w="0" w:type="dxa"/>
        <w:tblLayout w:type="fixed"/>
        <w:tblCellMar>
          <w:top w:w="0" w:type="dxa"/>
          <w:left w:w="0" w:type="dxa"/>
          <w:bottom w:w="0" w:type="dxa"/>
          <w:right w:w="0" w:type="dxa"/>
        </w:tblCellMar>
      </w:tblPr>
      <w:tblGrid>
        <w:gridCol w:w="3020"/>
        <w:gridCol w:w="60"/>
        <w:gridCol w:w="288"/>
        <w:gridCol w:w="1366"/>
        <w:gridCol w:w="60"/>
        <w:gridCol w:w="60"/>
        <w:gridCol w:w="280"/>
        <w:gridCol w:w="1329"/>
        <w:gridCol w:w="60"/>
      </w:tblGrid>
      <w:tr>
        <w:tc>
          <w:tcPr>
            <w:tcW w:w="302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6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September 30, 2026</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December 31, 2025</w:t>
            </w:r>
          </w:p>
        </w:tc>
        <w:tc>
          <w:tcPr>
            <w:tcW w:w="60" w:type="dxa"/>
            <w:tcBorders/>
            <w:shd w:fill="FFFFFF" w:val="clear"/>
            <w:vAlign w:val="center"/>
          </w:tcPr>
          <w:p>
            <w:pPr>
              <w:pStyle w:val="TableContents"/>
              <w:bidi w:val="0"/>
              <w:spacing w:before="0" w:after="283"/>
              <w:jc w:val="left"/>
            </w:pPr>
            <w:r>
              <w:t> </w:t>
            </w:r>
          </w:p>
        </w:tc>
      </w:tr>
      <w:tr>
        <w:tc>
          <w:tcPr>
            <w:tcW w:w="30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payroll</w:t>
            </w:r>
          </w:p>
        </w:tc>
        <w:tc>
          <w:tcPr>
            <w:tcW w:w="60" w:type="dxa"/>
            <w:tcBorders/>
            <w:shd w:fill="CCEEFF" w:val="clear"/>
            <w:vAlign w:val="center"/>
          </w:tcPr>
          <w:p>
            <w:pPr>
              <w:pStyle w:val="TableContents"/>
              <w:bidi w:val="0"/>
              <w:spacing w:before="0" w:after="283"/>
              <w:ind w:left="0" w:right="0" w:hanging="0"/>
              <w:jc w:val="left"/>
            </w:pPr>
            <w:r>
              <w:t> </w:t>
            </w:r>
          </w:p>
        </w:tc>
        <w:tc>
          <w:tcPr>
            <w:tcW w:w="28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33,170</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2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28,383</w:t>
            </w:r>
          </w:p>
        </w:tc>
        <w:tc>
          <w:tcPr>
            <w:tcW w:w="60" w:type="dxa"/>
            <w:tcBorders/>
            <w:shd w:fill="CCEEFF" w:val="clear"/>
            <w:vAlign w:val="center"/>
          </w:tcPr>
          <w:p>
            <w:pPr>
              <w:pStyle w:val="TableContents"/>
              <w:bidi w:val="0"/>
              <w:spacing w:before="0" w:after="283"/>
              <w:jc w:val="left"/>
            </w:pPr>
            <w:r>
              <w:t> </w:t>
            </w:r>
          </w:p>
        </w:tc>
      </w:tr>
      <w:tr>
        <w:tc>
          <w:tcPr>
            <w:tcW w:w="30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employee benefits</w:t>
            </w:r>
          </w:p>
        </w:tc>
        <w:tc>
          <w:tcPr>
            <w:tcW w:w="60" w:type="dxa"/>
            <w:tcBorders/>
            <w:shd w:fill="FFFFFF" w:val="clear"/>
            <w:vAlign w:val="center"/>
          </w:tcPr>
          <w:p>
            <w:pPr>
              <w:pStyle w:val="TableContents"/>
              <w:bidi w:val="0"/>
              <w:spacing w:before="0" w:after="283"/>
              <w:jc w:val="left"/>
            </w:pPr>
            <w:r>
              <w:t> </w:t>
            </w:r>
          </w:p>
        </w:tc>
        <w:tc>
          <w:tcPr>
            <w:tcW w:w="288" w:type="dxa"/>
            <w:tcBorders/>
            <w:shd w:fill="FFFFFF" w:val="clear"/>
            <w:vAlign w:val="center"/>
          </w:tcPr>
          <w:p>
            <w:pPr>
              <w:pStyle w:val="TableContents"/>
              <w:bidi w:val="0"/>
              <w:spacing w:before="0" w:after="283"/>
              <w:ind w:left="0" w:right="0" w:hanging="0"/>
              <w:jc w:val="left"/>
            </w:pPr>
            <w:r>
              <w:t> </w:t>
            </w:r>
          </w:p>
        </w:tc>
        <w:tc>
          <w:tcPr>
            <w:tcW w:w="13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6,554</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80" w:type="dxa"/>
            <w:tcBorders/>
            <w:shd w:fill="FFFFFF" w:val="clear"/>
            <w:vAlign w:val="center"/>
          </w:tcPr>
          <w:p>
            <w:pPr>
              <w:pStyle w:val="TableContents"/>
              <w:bidi w:val="0"/>
              <w:spacing w:before="0" w:after="283"/>
              <w:ind w:left="0" w:right="0" w:hanging="0"/>
              <w:jc w:val="left"/>
            </w:pPr>
            <w:r>
              <w:t> </w:t>
            </w:r>
          </w:p>
        </w:tc>
        <w:tc>
          <w:tcPr>
            <w:tcW w:w="13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5,506</w:t>
            </w:r>
          </w:p>
        </w:tc>
        <w:tc>
          <w:tcPr>
            <w:tcW w:w="60" w:type="dxa"/>
            <w:tcBorders/>
            <w:shd w:fill="FFFFFF" w:val="clear"/>
            <w:vAlign w:val="center"/>
          </w:tcPr>
          <w:p>
            <w:pPr>
              <w:pStyle w:val="TableContents"/>
              <w:bidi w:val="0"/>
              <w:spacing w:before="0" w:after="283"/>
              <w:jc w:val="left"/>
            </w:pPr>
            <w:r>
              <w:t> </w:t>
            </w:r>
          </w:p>
        </w:tc>
      </w:tr>
      <w:tr>
        <w:tc>
          <w:tcPr>
            <w:tcW w:w="30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state and local taxes</w:t>
            </w:r>
          </w:p>
        </w:tc>
        <w:tc>
          <w:tcPr>
            <w:tcW w:w="60" w:type="dxa"/>
            <w:tcBorders/>
            <w:shd w:fill="CCEEFF" w:val="clear"/>
            <w:vAlign w:val="center"/>
          </w:tcPr>
          <w:p>
            <w:pPr>
              <w:pStyle w:val="TableContents"/>
              <w:bidi w:val="0"/>
              <w:spacing w:before="0" w:after="283"/>
              <w:jc w:val="left"/>
            </w:pPr>
            <w:r>
              <w:t> </w:t>
            </w:r>
          </w:p>
        </w:tc>
        <w:tc>
          <w:tcPr>
            <w:tcW w:w="288" w:type="dxa"/>
            <w:tcBorders/>
            <w:shd w:fill="CCEEFF" w:val="clear"/>
            <w:vAlign w:val="center"/>
          </w:tcPr>
          <w:p>
            <w:pPr>
              <w:pStyle w:val="TableContents"/>
              <w:bidi w:val="0"/>
              <w:spacing w:before="0" w:after="283"/>
              <w:ind w:left="0" w:right="0" w:hanging="0"/>
              <w:jc w:val="left"/>
            </w:pPr>
            <w:r>
              <w:t> </w:t>
            </w:r>
          </w:p>
        </w:tc>
        <w:tc>
          <w:tcPr>
            <w:tcW w:w="13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2,251</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80" w:type="dxa"/>
            <w:tcBorders/>
            <w:shd w:fill="CCEEFF" w:val="clear"/>
            <w:vAlign w:val="center"/>
          </w:tcPr>
          <w:p>
            <w:pPr>
              <w:pStyle w:val="TableContents"/>
              <w:bidi w:val="0"/>
              <w:spacing w:before="0" w:after="283"/>
              <w:ind w:left="0" w:right="0" w:hanging="0"/>
              <w:jc w:val="left"/>
            </w:pPr>
            <w:r>
              <w:t> </w:t>
            </w:r>
          </w:p>
        </w:tc>
        <w:tc>
          <w:tcPr>
            <w:tcW w:w="13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965</w:t>
            </w:r>
          </w:p>
        </w:tc>
        <w:tc>
          <w:tcPr>
            <w:tcW w:w="60" w:type="dxa"/>
            <w:tcBorders/>
            <w:shd w:fill="CCEEFF" w:val="clear"/>
            <w:vAlign w:val="center"/>
          </w:tcPr>
          <w:p>
            <w:pPr>
              <w:pStyle w:val="TableContents"/>
              <w:bidi w:val="0"/>
              <w:spacing w:before="0" w:after="283"/>
              <w:jc w:val="left"/>
            </w:pPr>
            <w:r>
              <w:t> </w:t>
            </w:r>
          </w:p>
        </w:tc>
      </w:tr>
      <w:tr>
        <w:tc>
          <w:tcPr>
            <w:tcW w:w="30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interest</w:t>
            </w:r>
          </w:p>
        </w:tc>
        <w:tc>
          <w:tcPr>
            <w:tcW w:w="60" w:type="dxa"/>
            <w:tcBorders/>
            <w:shd w:fill="FFFFFF" w:val="clear"/>
            <w:vAlign w:val="center"/>
          </w:tcPr>
          <w:p>
            <w:pPr>
              <w:pStyle w:val="TableContents"/>
              <w:bidi w:val="0"/>
              <w:spacing w:before="0" w:after="283"/>
              <w:jc w:val="left"/>
            </w:pPr>
            <w:r>
              <w:t> </w:t>
            </w:r>
          </w:p>
        </w:tc>
        <w:tc>
          <w:tcPr>
            <w:tcW w:w="288" w:type="dxa"/>
            <w:tcBorders/>
            <w:shd w:fill="FFFFFF" w:val="clear"/>
            <w:vAlign w:val="center"/>
          </w:tcPr>
          <w:p>
            <w:pPr>
              <w:pStyle w:val="TableContents"/>
              <w:bidi w:val="0"/>
              <w:spacing w:before="0" w:after="283"/>
              <w:ind w:left="0" w:right="0" w:hanging="0"/>
              <w:jc w:val="left"/>
            </w:pPr>
            <w:r>
              <w:t> </w:t>
            </w:r>
          </w:p>
        </w:tc>
        <w:tc>
          <w:tcPr>
            <w:tcW w:w="13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789</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80" w:type="dxa"/>
            <w:tcBorders/>
            <w:shd w:fill="FFFFFF" w:val="clear"/>
            <w:vAlign w:val="center"/>
          </w:tcPr>
          <w:p>
            <w:pPr>
              <w:pStyle w:val="TableContents"/>
              <w:bidi w:val="0"/>
              <w:spacing w:before="0" w:after="283"/>
              <w:ind w:left="0" w:right="0" w:hanging="0"/>
              <w:jc w:val="left"/>
            </w:pPr>
            <w:r>
              <w:t> </w:t>
            </w:r>
          </w:p>
        </w:tc>
        <w:tc>
          <w:tcPr>
            <w:tcW w:w="13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1,599</w:t>
            </w:r>
          </w:p>
        </w:tc>
        <w:tc>
          <w:tcPr>
            <w:tcW w:w="60" w:type="dxa"/>
            <w:tcBorders/>
            <w:shd w:fill="FFFFFF" w:val="clear"/>
            <w:vAlign w:val="center"/>
          </w:tcPr>
          <w:p>
            <w:pPr>
              <w:pStyle w:val="TableContents"/>
              <w:bidi w:val="0"/>
              <w:spacing w:before="0" w:after="283"/>
              <w:jc w:val="left"/>
            </w:pPr>
            <w:r>
              <w:t> </w:t>
            </w:r>
          </w:p>
        </w:tc>
      </w:tr>
      <w:tr>
        <w:tc>
          <w:tcPr>
            <w:tcW w:w="30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shipping and tariff expenses</w:t>
            </w:r>
          </w:p>
        </w:tc>
        <w:tc>
          <w:tcPr>
            <w:tcW w:w="60" w:type="dxa"/>
            <w:tcBorders/>
            <w:shd w:fill="CCEEFF" w:val="clear"/>
            <w:vAlign w:val="center"/>
          </w:tcPr>
          <w:p>
            <w:pPr>
              <w:pStyle w:val="TableContents"/>
              <w:bidi w:val="0"/>
              <w:spacing w:before="0" w:after="283"/>
              <w:jc w:val="left"/>
            </w:pPr>
            <w:r>
              <w:t> </w:t>
            </w:r>
          </w:p>
        </w:tc>
        <w:tc>
          <w:tcPr>
            <w:tcW w:w="288" w:type="dxa"/>
            <w:tcBorders/>
            <w:shd w:fill="CCEEFF" w:val="clear"/>
            <w:vAlign w:val="center"/>
          </w:tcPr>
          <w:p>
            <w:pPr>
              <w:pStyle w:val="TableContents"/>
              <w:bidi w:val="0"/>
              <w:spacing w:before="0" w:after="283"/>
              <w:ind w:left="0" w:right="0" w:hanging="0"/>
              <w:jc w:val="left"/>
            </w:pPr>
            <w:r>
              <w:t> </w:t>
            </w:r>
          </w:p>
        </w:tc>
        <w:tc>
          <w:tcPr>
            <w:tcW w:w="13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80" w:type="dxa"/>
            <w:tcBorders/>
            <w:shd w:fill="CCEEFF" w:val="clear"/>
            <w:vAlign w:val="center"/>
          </w:tcPr>
          <w:p>
            <w:pPr>
              <w:pStyle w:val="TableContents"/>
              <w:bidi w:val="0"/>
              <w:spacing w:before="0" w:after="283"/>
              <w:ind w:left="0" w:right="0" w:hanging="0"/>
              <w:jc w:val="left"/>
            </w:pPr>
            <w:r>
              <w:t> </w:t>
            </w:r>
          </w:p>
        </w:tc>
        <w:tc>
          <w:tcPr>
            <w:tcW w:w="13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516</w:t>
            </w:r>
          </w:p>
        </w:tc>
        <w:tc>
          <w:tcPr>
            <w:tcW w:w="60" w:type="dxa"/>
            <w:tcBorders/>
            <w:shd w:fill="CCEEFF" w:val="clear"/>
            <w:vAlign w:val="center"/>
          </w:tcPr>
          <w:p>
            <w:pPr>
              <w:pStyle w:val="TableContents"/>
              <w:bidi w:val="0"/>
              <w:spacing w:before="0" w:after="283"/>
              <w:jc w:val="left"/>
            </w:pPr>
            <w:r>
              <w:t> </w:t>
            </w:r>
          </w:p>
        </w:tc>
      </w:tr>
      <w:tr>
        <w:tc>
          <w:tcPr>
            <w:tcW w:w="30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Advanced payments</w:t>
            </w:r>
          </w:p>
        </w:tc>
        <w:tc>
          <w:tcPr>
            <w:tcW w:w="60" w:type="dxa"/>
            <w:tcBorders/>
            <w:shd w:fill="FFFFFF" w:val="clear"/>
            <w:vAlign w:val="center"/>
          </w:tcPr>
          <w:p>
            <w:pPr>
              <w:pStyle w:val="TableContents"/>
              <w:bidi w:val="0"/>
              <w:spacing w:before="0" w:after="283"/>
              <w:jc w:val="left"/>
            </w:pPr>
            <w:r>
              <w:t> </w:t>
            </w:r>
          </w:p>
        </w:tc>
        <w:tc>
          <w:tcPr>
            <w:tcW w:w="288" w:type="dxa"/>
            <w:tcBorders/>
            <w:shd w:fill="FFFFFF" w:val="clear"/>
            <w:vAlign w:val="center"/>
          </w:tcPr>
          <w:p>
            <w:pPr>
              <w:pStyle w:val="TableContents"/>
              <w:bidi w:val="0"/>
              <w:spacing w:before="0" w:after="283"/>
              <w:ind w:left="0" w:right="0" w:hanging="0"/>
              <w:jc w:val="left"/>
            </w:pPr>
            <w:r>
              <w:t> </w:t>
            </w:r>
          </w:p>
        </w:tc>
        <w:tc>
          <w:tcPr>
            <w:tcW w:w="13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1,900</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80" w:type="dxa"/>
            <w:tcBorders/>
            <w:shd w:fill="FFFFFF" w:val="clear"/>
            <w:vAlign w:val="center"/>
          </w:tcPr>
          <w:p>
            <w:pPr>
              <w:pStyle w:val="TableContents"/>
              <w:bidi w:val="0"/>
              <w:spacing w:before="0" w:after="283"/>
              <w:ind w:left="0" w:right="0" w:hanging="0"/>
              <w:jc w:val="left"/>
            </w:pPr>
            <w:r>
              <w:t> </w:t>
            </w:r>
          </w:p>
        </w:tc>
        <w:tc>
          <w:tcPr>
            <w:tcW w:w="13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288</w:t>
            </w:r>
          </w:p>
        </w:tc>
        <w:tc>
          <w:tcPr>
            <w:tcW w:w="60" w:type="dxa"/>
            <w:tcBorders/>
            <w:shd w:fill="FFFFFF" w:val="clear"/>
            <w:vAlign w:val="center"/>
          </w:tcPr>
          <w:p>
            <w:pPr>
              <w:pStyle w:val="TableContents"/>
              <w:bidi w:val="0"/>
              <w:spacing w:before="0" w:after="283"/>
              <w:jc w:val="left"/>
            </w:pPr>
            <w:r>
              <w:t> </w:t>
            </w:r>
          </w:p>
        </w:tc>
      </w:tr>
      <w:tr>
        <w:tc>
          <w:tcPr>
            <w:tcW w:w="30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commission expenses</w:t>
            </w:r>
          </w:p>
        </w:tc>
        <w:tc>
          <w:tcPr>
            <w:tcW w:w="60" w:type="dxa"/>
            <w:tcBorders/>
            <w:shd w:fill="CCEEFF" w:val="clear"/>
            <w:vAlign w:val="center"/>
          </w:tcPr>
          <w:p>
            <w:pPr>
              <w:pStyle w:val="TableContents"/>
              <w:bidi w:val="0"/>
              <w:spacing w:before="0" w:after="283"/>
              <w:jc w:val="left"/>
            </w:pPr>
            <w:r>
              <w:t> </w:t>
            </w:r>
          </w:p>
        </w:tc>
        <w:tc>
          <w:tcPr>
            <w:tcW w:w="288" w:type="dxa"/>
            <w:tcBorders/>
            <w:shd w:fill="CCEEFF" w:val="clear"/>
            <w:vAlign w:val="center"/>
          </w:tcPr>
          <w:p>
            <w:pPr>
              <w:pStyle w:val="TableContents"/>
              <w:bidi w:val="0"/>
              <w:spacing w:before="0" w:after="283"/>
              <w:ind w:left="0" w:right="0" w:hanging="0"/>
              <w:jc w:val="left"/>
            </w:pPr>
            <w:r>
              <w:t> </w:t>
            </w:r>
          </w:p>
        </w:tc>
        <w:tc>
          <w:tcPr>
            <w:tcW w:w="13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767</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80" w:type="dxa"/>
            <w:tcBorders/>
            <w:shd w:fill="CCEEFF" w:val="clear"/>
            <w:vAlign w:val="center"/>
          </w:tcPr>
          <w:p>
            <w:pPr>
              <w:pStyle w:val="TableContents"/>
              <w:bidi w:val="0"/>
              <w:spacing w:before="0" w:after="283"/>
              <w:ind w:left="0" w:right="0" w:hanging="0"/>
              <w:jc w:val="left"/>
            </w:pPr>
            <w:r>
              <w:t> </w:t>
            </w:r>
          </w:p>
        </w:tc>
        <w:tc>
          <w:tcPr>
            <w:tcW w:w="13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1,381</w:t>
            </w:r>
          </w:p>
        </w:tc>
        <w:tc>
          <w:tcPr>
            <w:tcW w:w="60" w:type="dxa"/>
            <w:tcBorders/>
            <w:shd w:fill="CCEEFF" w:val="clear"/>
            <w:vAlign w:val="center"/>
          </w:tcPr>
          <w:p>
            <w:pPr>
              <w:pStyle w:val="TableContents"/>
              <w:bidi w:val="0"/>
              <w:spacing w:before="0" w:after="283"/>
              <w:jc w:val="left"/>
            </w:pPr>
            <w:r>
              <w:t> </w:t>
            </w:r>
          </w:p>
        </w:tc>
      </w:tr>
      <w:tr>
        <w:tc>
          <w:tcPr>
            <w:tcW w:w="30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professional fees</w:t>
            </w:r>
          </w:p>
        </w:tc>
        <w:tc>
          <w:tcPr>
            <w:tcW w:w="60" w:type="dxa"/>
            <w:tcBorders/>
            <w:shd w:fill="FFFFFF" w:val="clear"/>
            <w:vAlign w:val="center"/>
          </w:tcPr>
          <w:p>
            <w:pPr>
              <w:pStyle w:val="TableContents"/>
              <w:bidi w:val="0"/>
              <w:spacing w:before="0" w:after="283"/>
              <w:jc w:val="left"/>
            </w:pPr>
            <w:r>
              <w:t> </w:t>
            </w:r>
          </w:p>
        </w:tc>
        <w:tc>
          <w:tcPr>
            <w:tcW w:w="288" w:type="dxa"/>
            <w:tcBorders/>
            <w:shd w:fill="FFFFFF" w:val="clear"/>
            <w:vAlign w:val="center"/>
          </w:tcPr>
          <w:p>
            <w:pPr>
              <w:pStyle w:val="TableContents"/>
              <w:bidi w:val="0"/>
              <w:spacing w:before="0" w:after="283"/>
              <w:ind w:left="0" w:right="0" w:hanging="0"/>
              <w:jc w:val="left"/>
            </w:pPr>
            <w:r>
              <w:t> </w:t>
            </w:r>
          </w:p>
        </w:tc>
        <w:tc>
          <w:tcPr>
            <w:tcW w:w="13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474</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80" w:type="dxa"/>
            <w:tcBorders/>
            <w:shd w:fill="FFFFFF" w:val="clear"/>
            <w:vAlign w:val="center"/>
          </w:tcPr>
          <w:p>
            <w:pPr>
              <w:pStyle w:val="TableContents"/>
              <w:bidi w:val="0"/>
              <w:spacing w:before="0" w:after="283"/>
              <w:ind w:left="0" w:right="0" w:hanging="0"/>
              <w:jc w:val="left"/>
            </w:pPr>
            <w:r>
              <w:t> </w:t>
            </w:r>
          </w:p>
        </w:tc>
        <w:tc>
          <w:tcPr>
            <w:tcW w:w="13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581</w:t>
            </w:r>
          </w:p>
        </w:tc>
        <w:tc>
          <w:tcPr>
            <w:tcW w:w="60" w:type="dxa"/>
            <w:tcBorders/>
            <w:shd w:fill="FFFFFF" w:val="clear"/>
            <w:vAlign w:val="center"/>
          </w:tcPr>
          <w:p>
            <w:pPr>
              <w:pStyle w:val="TableContents"/>
              <w:bidi w:val="0"/>
              <w:spacing w:before="0" w:after="283"/>
              <w:jc w:val="left"/>
            </w:pPr>
            <w:r>
              <w:t> </w:t>
            </w:r>
          </w:p>
        </w:tc>
      </w:tr>
      <w:tr>
        <w:tc>
          <w:tcPr>
            <w:tcW w:w="30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product warranty</w:t>
            </w:r>
          </w:p>
        </w:tc>
        <w:tc>
          <w:tcPr>
            <w:tcW w:w="60" w:type="dxa"/>
            <w:tcBorders/>
            <w:shd w:fill="CCEEFF" w:val="clear"/>
            <w:vAlign w:val="center"/>
          </w:tcPr>
          <w:p>
            <w:pPr>
              <w:pStyle w:val="TableContents"/>
              <w:bidi w:val="0"/>
              <w:spacing w:before="0" w:after="283"/>
              <w:jc w:val="left"/>
            </w:pPr>
            <w:r>
              <w:t> </w:t>
            </w:r>
          </w:p>
        </w:tc>
        <w:tc>
          <w:tcPr>
            <w:tcW w:w="288" w:type="dxa"/>
            <w:tcBorders/>
            <w:shd w:fill="CCEEFF" w:val="clear"/>
            <w:vAlign w:val="center"/>
          </w:tcPr>
          <w:p>
            <w:pPr>
              <w:pStyle w:val="TableContents"/>
              <w:bidi w:val="0"/>
              <w:spacing w:before="0" w:after="283"/>
              <w:ind w:left="0" w:right="0" w:hanging="0"/>
              <w:jc w:val="left"/>
            </w:pPr>
            <w:r>
              <w:t> </w:t>
            </w:r>
          </w:p>
        </w:tc>
        <w:tc>
          <w:tcPr>
            <w:tcW w:w="13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80" w:type="dxa"/>
            <w:tcBorders/>
            <w:shd w:fill="CCEEFF" w:val="clear"/>
            <w:vAlign w:val="center"/>
          </w:tcPr>
          <w:p>
            <w:pPr>
              <w:pStyle w:val="TableContents"/>
              <w:bidi w:val="0"/>
              <w:spacing w:before="0" w:after="283"/>
              <w:ind w:left="0" w:right="0" w:hanging="0"/>
              <w:jc w:val="left"/>
            </w:pPr>
            <w:r>
              <w:t> </w:t>
            </w:r>
          </w:p>
        </w:tc>
        <w:tc>
          <w:tcPr>
            <w:tcW w:w="13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480</w:t>
            </w:r>
          </w:p>
        </w:tc>
        <w:tc>
          <w:tcPr>
            <w:tcW w:w="60" w:type="dxa"/>
            <w:tcBorders/>
            <w:shd w:fill="CCEEFF" w:val="clear"/>
            <w:vAlign w:val="center"/>
          </w:tcPr>
          <w:p>
            <w:pPr>
              <w:pStyle w:val="TableContents"/>
              <w:bidi w:val="0"/>
              <w:spacing w:before="0" w:after="283"/>
              <w:jc w:val="left"/>
            </w:pPr>
            <w:r>
              <w:t> </w:t>
            </w:r>
          </w:p>
        </w:tc>
      </w:tr>
      <w:tr>
        <w:tc>
          <w:tcPr>
            <w:tcW w:w="302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capital expenditure</w:t>
            </w:r>
          </w:p>
        </w:tc>
        <w:tc>
          <w:tcPr>
            <w:tcW w:w="60" w:type="dxa"/>
            <w:tcBorders/>
            <w:shd w:fill="FFFFFF" w:val="clear"/>
            <w:vAlign w:val="center"/>
          </w:tcPr>
          <w:p>
            <w:pPr>
              <w:pStyle w:val="TableContents"/>
              <w:bidi w:val="0"/>
              <w:spacing w:before="0" w:after="283"/>
              <w:jc w:val="left"/>
            </w:pPr>
            <w:r>
              <w:t> </w:t>
            </w:r>
          </w:p>
        </w:tc>
        <w:tc>
          <w:tcPr>
            <w:tcW w:w="288" w:type="dxa"/>
            <w:tcBorders/>
            <w:shd w:fill="FFFFFF" w:val="clear"/>
            <w:vAlign w:val="center"/>
          </w:tcPr>
          <w:p>
            <w:pPr>
              <w:pStyle w:val="TableContents"/>
              <w:bidi w:val="0"/>
              <w:spacing w:before="0" w:after="283"/>
              <w:jc w:val="left"/>
            </w:pPr>
            <w:r>
              <w:t> </w:t>
            </w:r>
          </w:p>
        </w:tc>
        <w:tc>
          <w:tcPr>
            <w:tcW w:w="136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309</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80" w:type="dxa"/>
            <w:tcBorders/>
            <w:shd w:fill="FFFFFF" w:val="clear"/>
            <w:vAlign w:val="center"/>
          </w:tcPr>
          <w:p>
            <w:pPr>
              <w:pStyle w:val="TableContents"/>
              <w:bidi w:val="0"/>
              <w:spacing w:before="0" w:after="283"/>
              <w:jc w:val="left"/>
            </w:pPr>
            <w:r>
              <w:t> </w:t>
            </w:r>
          </w:p>
        </w:tc>
        <w:tc>
          <w:tcPr>
            <w:tcW w:w="132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1,583</w:t>
            </w:r>
          </w:p>
        </w:tc>
        <w:tc>
          <w:tcPr>
            <w:tcW w:w="60" w:type="dxa"/>
            <w:tcBorders/>
            <w:shd w:fill="FFFFFF" w:val="clear"/>
            <w:vAlign w:val="center"/>
          </w:tcPr>
          <w:p>
            <w:pPr>
              <w:pStyle w:val="TableContents"/>
              <w:bidi w:val="0"/>
              <w:spacing w:before="0" w:after="283"/>
              <w:jc w:val="left"/>
            </w:pPr>
            <w:r>
              <w:t> </w:t>
            </w:r>
          </w:p>
        </w:tc>
      </w:tr>
      <w:tr>
        <w:tc>
          <w:tcPr>
            <w:tcW w:w="30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other-Donation</w:t>
            </w:r>
          </w:p>
        </w:tc>
        <w:tc>
          <w:tcPr>
            <w:tcW w:w="60" w:type="dxa"/>
            <w:tcBorders/>
            <w:shd w:fill="CCEEFF" w:val="clear"/>
            <w:vAlign w:val="center"/>
          </w:tcPr>
          <w:p>
            <w:pPr>
              <w:pStyle w:val="TableContents"/>
              <w:bidi w:val="0"/>
              <w:spacing w:before="0" w:after="283"/>
              <w:jc w:val="left"/>
            </w:pPr>
            <w:r>
              <w:t> </w:t>
            </w:r>
          </w:p>
        </w:tc>
        <w:tc>
          <w:tcPr>
            <w:tcW w:w="288" w:type="dxa"/>
            <w:tcBorders/>
            <w:shd w:fill="CCEEFF" w:val="clear"/>
            <w:vAlign w:val="center"/>
          </w:tcPr>
          <w:p>
            <w:pPr>
              <w:pStyle w:val="TableContents"/>
              <w:bidi w:val="0"/>
              <w:spacing w:before="0" w:after="283"/>
              <w:jc w:val="left"/>
            </w:pPr>
            <w:r>
              <w:t> </w:t>
            </w:r>
          </w:p>
        </w:tc>
        <w:tc>
          <w:tcPr>
            <w:tcW w:w="136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412</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80" w:type="dxa"/>
            <w:tcBorders/>
            <w:shd w:fill="CCEEFF" w:val="clear"/>
            <w:vAlign w:val="center"/>
          </w:tcPr>
          <w:p>
            <w:pPr>
              <w:pStyle w:val="TableContents"/>
              <w:bidi w:val="0"/>
              <w:spacing w:before="0" w:after="283"/>
              <w:jc w:val="left"/>
            </w:pPr>
            <w:r>
              <w:t> </w:t>
            </w:r>
          </w:p>
        </w:tc>
        <w:tc>
          <w:tcPr>
            <w:tcW w:w="132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95</w:t>
            </w:r>
          </w:p>
        </w:tc>
        <w:tc>
          <w:tcPr>
            <w:tcW w:w="60" w:type="dxa"/>
            <w:tcBorders/>
            <w:shd w:fill="CCEEFF" w:val="clear"/>
            <w:vAlign w:val="center"/>
          </w:tcPr>
          <w:p>
            <w:pPr>
              <w:pStyle w:val="TableContents"/>
              <w:bidi w:val="0"/>
              <w:spacing w:before="0" w:after="283"/>
              <w:jc w:val="left"/>
            </w:pPr>
            <w:r>
              <w:t> </w:t>
            </w:r>
          </w:p>
        </w:tc>
      </w:tr>
      <w:tr>
        <w:tc>
          <w:tcPr>
            <w:tcW w:w="30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other-Government fee</w:t>
            </w:r>
          </w:p>
        </w:tc>
        <w:tc>
          <w:tcPr>
            <w:tcW w:w="60" w:type="dxa"/>
            <w:tcBorders/>
            <w:shd w:fill="FFFFFF" w:val="clear"/>
            <w:vAlign w:val="center"/>
          </w:tcPr>
          <w:p>
            <w:pPr>
              <w:pStyle w:val="TableContents"/>
              <w:bidi w:val="0"/>
              <w:spacing w:before="0" w:after="283"/>
              <w:jc w:val="left"/>
            </w:pPr>
            <w:r>
              <w:t> </w:t>
            </w:r>
          </w:p>
        </w:tc>
        <w:tc>
          <w:tcPr>
            <w:tcW w:w="288" w:type="dxa"/>
            <w:tcBorders/>
            <w:shd w:fill="FFFFFF" w:val="clear"/>
            <w:vAlign w:val="center"/>
          </w:tcPr>
          <w:p>
            <w:pPr>
              <w:pStyle w:val="TableContents"/>
              <w:bidi w:val="0"/>
              <w:spacing w:before="0" w:after="283"/>
              <w:jc w:val="left"/>
            </w:pPr>
            <w:r>
              <w:t> </w:t>
            </w:r>
          </w:p>
        </w:tc>
        <w:tc>
          <w:tcPr>
            <w:tcW w:w="136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248</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80" w:type="dxa"/>
            <w:tcBorders/>
            <w:shd w:fill="FFFFFF" w:val="clear"/>
            <w:vAlign w:val="center"/>
          </w:tcPr>
          <w:p>
            <w:pPr>
              <w:pStyle w:val="TableContents"/>
              <w:bidi w:val="0"/>
              <w:spacing w:before="0" w:after="283"/>
              <w:jc w:val="left"/>
            </w:pPr>
            <w:r>
              <w:t> </w:t>
            </w:r>
          </w:p>
        </w:tc>
        <w:tc>
          <w:tcPr>
            <w:tcW w:w="132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151</w:t>
            </w:r>
          </w:p>
        </w:tc>
        <w:tc>
          <w:tcPr>
            <w:tcW w:w="60" w:type="dxa"/>
            <w:tcBorders/>
            <w:shd w:fill="FFFFFF" w:val="clear"/>
            <w:vAlign w:val="center"/>
          </w:tcPr>
          <w:p>
            <w:pPr>
              <w:pStyle w:val="TableContents"/>
              <w:bidi w:val="0"/>
              <w:spacing w:before="0" w:after="283"/>
              <w:jc w:val="left"/>
            </w:pPr>
            <w:r>
              <w:t> </w:t>
            </w:r>
          </w:p>
        </w:tc>
      </w:tr>
      <w:tr>
        <w:tc>
          <w:tcPr>
            <w:tcW w:w="30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other-Service fee</w:t>
            </w:r>
          </w:p>
        </w:tc>
        <w:tc>
          <w:tcPr>
            <w:tcW w:w="60" w:type="dxa"/>
            <w:tcBorders/>
            <w:shd w:fill="CCEEFF" w:val="clear"/>
            <w:vAlign w:val="center"/>
          </w:tcPr>
          <w:p>
            <w:pPr>
              <w:pStyle w:val="TableContents"/>
              <w:bidi w:val="0"/>
              <w:spacing w:before="0" w:after="283"/>
              <w:jc w:val="left"/>
            </w:pPr>
            <w:r>
              <w:t> </w:t>
            </w:r>
          </w:p>
        </w:tc>
        <w:tc>
          <w:tcPr>
            <w:tcW w:w="288" w:type="dxa"/>
            <w:tcBorders/>
            <w:shd w:fill="CCEEFF" w:val="clear"/>
            <w:vAlign w:val="center"/>
          </w:tcPr>
          <w:p>
            <w:pPr>
              <w:pStyle w:val="TableContents"/>
              <w:bidi w:val="0"/>
              <w:spacing w:before="0" w:after="283"/>
              <w:jc w:val="left"/>
            </w:pPr>
            <w:r>
              <w:t> </w:t>
            </w:r>
          </w:p>
        </w:tc>
        <w:tc>
          <w:tcPr>
            <w:tcW w:w="136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1,498</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80" w:type="dxa"/>
            <w:tcBorders/>
            <w:shd w:fill="CCEEFF" w:val="clear"/>
            <w:vAlign w:val="center"/>
          </w:tcPr>
          <w:p>
            <w:pPr>
              <w:pStyle w:val="TableContents"/>
              <w:bidi w:val="0"/>
              <w:spacing w:before="0" w:after="283"/>
              <w:jc w:val="left"/>
            </w:pPr>
            <w:r>
              <w:t> </w:t>
            </w:r>
          </w:p>
        </w:tc>
        <w:tc>
          <w:tcPr>
            <w:tcW w:w="132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442</w:t>
            </w:r>
          </w:p>
        </w:tc>
        <w:tc>
          <w:tcPr>
            <w:tcW w:w="60" w:type="dxa"/>
            <w:tcBorders/>
            <w:shd w:fill="CCEEFF" w:val="clear"/>
            <w:vAlign w:val="center"/>
          </w:tcPr>
          <w:p>
            <w:pPr>
              <w:pStyle w:val="TableContents"/>
              <w:bidi w:val="0"/>
              <w:spacing w:before="0" w:after="283"/>
              <w:jc w:val="left"/>
            </w:pPr>
            <w:r>
              <w:t> </w:t>
            </w:r>
          </w:p>
        </w:tc>
      </w:tr>
      <w:tr>
        <w:tc>
          <w:tcPr>
            <w:tcW w:w="30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other</w:t>
            </w:r>
          </w:p>
        </w:tc>
        <w:tc>
          <w:tcPr>
            <w:tcW w:w="60" w:type="dxa"/>
            <w:tcBorders/>
            <w:shd w:fill="FFFFFF" w:val="clear"/>
            <w:vAlign w:val="center"/>
          </w:tcPr>
          <w:p>
            <w:pPr>
              <w:pStyle w:val="TableContents"/>
              <w:bidi w:val="0"/>
              <w:spacing w:before="0" w:after="283"/>
              <w:jc w:val="left"/>
            </w:pPr>
            <w:r>
              <w:t> </w:t>
            </w:r>
          </w:p>
        </w:tc>
        <w:tc>
          <w:tcPr>
            <w:tcW w:w="28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3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993</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32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521</w:t>
            </w:r>
          </w:p>
        </w:tc>
        <w:tc>
          <w:tcPr>
            <w:tcW w:w="60" w:type="dxa"/>
            <w:tcBorders/>
            <w:shd w:fill="FFFFFF" w:val="clear"/>
            <w:vAlign w:val="center"/>
          </w:tcPr>
          <w:p>
            <w:pPr>
              <w:pStyle w:val="TableContents"/>
              <w:bidi w:val="0"/>
              <w:spacing w:before="0" w:after="283"/>
              <w:jc w:val="left"/>
            </w:pPr>
            <w:r>
              <w:t> </w:t>
            </w:r>
          </w:p>
        </w:tc>
      </w:tr>
      <w:tr>
        <w:tc>
          <w:tcPr>
            <w:tcW w:w="30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accrued liabilities</w:t>
            </w:r>
          </w:p>
        </w:tc>
        <w:tc>
          <w:tcPr>
            <w:tcW w:w="60" w:type="dxa"/>
            <w:tcBorders/>
            <w:shd w:fill="CCEEFF" w:val="clear"/>
            <w:vAlign w:val="center"/>
          </w:tcPr>
          <w:p>
            <w:pPr>
              <w:pStyle w:val="TableContents"/>
              <w:bidi w:val="0"/>
              <w:spacing w:before="0" w:after="283"/>
              <w:ind w:left="0" w:right="0" w:hanging="0"/>
              <w:jc w:val="left"/>
            </w:pPr>
            <w:r>
              <w:t> </w:t>
            </w:r>
          </w:p>
        </w:tc>
        <w:tc>
          <w:tcPr>
            <w:tcW w:w="28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6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49,794</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28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2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42,491</w:t>
            </w:r>
          </w:p>
        </w:tc>
        <w:tc>
          <w:tcPr>
            <w:tcW w:w="60" w:type="dxa"/>
            <w:tcBorders/>
            <w:shd w:fill="CCEEFF" w:val="clear"/>
            <w:vAlign w:val="center"/>
          </w:tcPr>
          <w:p>
            <w:pPr>
              <w:pStyle w:val="TableContents"/>
              <w:bidi w:val="0"/>
              <w:spacing w:before="0" w:after="283"/>
              <w:jc w:val="left"/>
            </w:pPr>
            <w:r>
              <w:t> </w:t>
            </w:r>
          </w:p>
        </w:tc>
      </w:tr>
    </w:tbl>
    <w:p>
      <w:pPr>
        <w:pStyle w:val="TextBody"/>
        <w:bidi w:val="0"/>
        <w:spacing w:before="0" w:after="0"/>
        <w:ind w:left="0" w:right="0" w:hanging="0"/>
        <w:jc w:val="left"/>
      </w:pPr>
      <w:r>
        <w:t>​</w:t>
      </w:r>
    </w:p>
    <w:p>
      <w:pPr>
        <w:pStyle w:val="TextBody"/>
        <w:bidi w:val="0"/>
        <w:spacing w:before="0" w:after="283"/>
        <w:jc w:val="left"/>
      </w:pPr>
      <w:r>
        <w:t xml:space="preserve">  </w:t>
      </w:r>
    </w:p>
    <w:p>
      <w:pPr>
        <w:pStyle w:val="TextBody"/>
        <w:bidi w:val="0"/>
        <w:spacing w:before="0" w:after="0"/>
        <w:ind w:left="0" w:right="0" w:hanging="0"/>
        <w:jc w:val="left"/>
      </w:pPr>
      <w:r>
        <w:rPr>
          <w:rFonts w:ascii="Times New Roman" w:hAnsi="Times New Roman"/>
          <w:b/>
          <w:sz w:val="20"/>
        </w:rPr>
        <w:t xml:space="preserve">Note </w:t>
      </w:r>
      <w:r>
        <w:rPr>
          <w:rStyle w:val="Emphasis"/>
          <w:rFonts w:ascii="Times New Roman" w:hAnsi="Times New Roman"/>
          <w:b/>
          <w:sz w:val="20"/>
        </w:rPr>
        <w:t>14.</w:t>
      </w:r>
      <w:r>
        <w:rPr>
          <w:rFonts w:ascii="Times New Roman" w:hAnsi="Times New Roman"/>
          <w:b/>
          <w:sz w:val="20"/>
        </w:rPr>
        <w:t>  Other Income and Expense</w:t>
      </w:r>
    </w:p>
    <w:p>
      <w:pPr>
        <w:pStyle w:val="TextBody"/>
        <w:bidi w:val="0"/>
        <w:spacing w:before="0" w:after="0"/>
        <w:ind w:left="0" w:right="0" w:hanging="0"/>
        <w:jc w:val="left"/>
      </w:pPr>
      <w:r>
        <w:t>​</w:t>
      </w:r>
    </w:p>
    <w:p>
      <w:pPr>
        <w:pStyle w:val="TextBody"/>
        <w:bidi w:val="0"/>
        <w:spacing w:before="0" w:after="0"/>
        <w:ind w:left="0" w:right="0" w:firstLine="720"/>
        <w:jc w:val="left"/>
        <w:rPr>
          <w:rFonts w:ascii="Times New Roman" w:hAnsi="Times New Roman"/>
          <w:sz w:val="20"/>
        </w:rPr>
      </w:pPr>
      <w:r>
        <w:rPr>
          <w:rFonts w:ascii="Times New Roman" w:hAnsi="Times New Roman"/>
          <w:sz w:val="20"/>
        </w:rPr>
        <w:t>Other income and expense consisted of the following for the periods indicated (in thousands):</w:t>
      </w:r>
    </w:p>
    <w:p>
      <w:pPr>
        <w:pStyle w:val="TextBody"/>
        <w:bidi w:val="0"/>
        <w:spacing w:before="0" w:after="0"/>
        <w:ind w:left="0" w:right="0" w:firstLine="720"/>
        <w:jc w:val="left"/>
      </w:pPr>
      <w:r>
        <w:t> </w:t>
      </w:r>
    </w:p>
    <w:tbl>
      <w:tblPr>
        <w:tblW w:w="8721" w:type="dxa"/>
        <w:jc w:val="left"/>
        <w:tblInd w:w="0" w:type="dxa"/>
        <w:tblLayout w:type="fixed"/>
        <w:tblCellMar>
          <w:top w:w="0" w:type="dxa"/>
          <w:left w:w="0" w:type="dxa"/>
          <w:bottom w:w="0" w:type="dxa"/>
          <w:right w:w="0" w:type="dxa"/>
        </w:tblCellMar>
      </w:tblPr>
      <w:tblGrid>
        <w:gridCol w:w="2735"/>
        <w:gridCol w:w="60"/>
        <w:gridCol w:w="255"/>
        <w:gridCol w:w="990"/>
        <w:gridCol w:w="163"/>
        <w:gridCol w:w="122"/>
        <w:gridCol w:w="255"/>
        <w:gridCol w:w="1113"/>
        <w:gridCol w:w="80"/>
        <w:gridCol w:w="60"/>
        <w:gridCol w:w="258"/>
        <w:gridCol w:w="1002"/>
        <w:gridCol w:w="165"/>
        <w:gridCol w:w="123"/>
        <w:gridCol w:w="258"/>
        <w:gridCol w:w="1002"/>
        <w:gridCol w:w="80"/>
      </w:tblGrid>
      <w:tr>
        <w:tc>
          <w:tcPr>
            <w:tcW w:w="273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89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Three months ended September 30,</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80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Nine months ended September 30,</w:t>
            </w:r>
          </w:p>
        </w:tc>
        <w:tc>
          <w:tcPr>
            <w:tcW w:w="80" w:type="dxa"/>
            <w:tcBorders/>
            <w:shd w:fill="FFFFFF" w:val="clear"/>
            <w:vAlign w:val="center"/>
          </w:tcPr>
          <w:p>
            <w:pPr>
              <w:pStyle w:val="TableContents"/>
              <w:bidi w:val="0"/>
              <w:spacing w:before="0" w:after="283"/>
              <w:jc w:val="left"/>
            </w:pPr>
            <w:r>
              <w:t> </w:t>
            </w:r>
          </w:p>
        </w:tc>
      </w:tr>
      <w:tr>
        <w:tc>
          <w:tcPr>
            <w:tcW w:w="273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2026</w:t>
            </w:r>
          </w:p>
        </w:tc>
        <w:tc>
          <w:tcPr>
            <w:tcW w:w="163" w:type="dxa"/>
            <w:tcBorders/>
            <w:shd w:fill="FFFFFF" w:val="clear"/>
            <w:vAlign w:val="center"/>
          </w:tcPr>
          <w:p>
            <w:pPr>
              <w:pStyle w:val="TableContents"/>
              <w:bidi w:val="0"/>
              <w:spacing w:before="0" w:after="283"/>
              <w:jc w:val="left"/>
            </w:pPr>
            <w:r>
              <w:t> </w:t>
            </w:r>
          </w:p>
        </w:tc>
        <w:tc>
          <w:tcPr>
            <w:tcW w:w="122" w:type="dxa"/>
            <w:tcBorders/>
            <w:shd w:fill="FFFFFF" w:val="clear"/>
            <w:vAlign w:val="center"/>
          </w:tcPr>
          <w:p>
            <w:pPr>
              <w:pStyle w:val="TableContents"/>
              <w:bidi w:val="0"/>
              <w:spacing w:before="0" w:after="283"/>
              <w:ind w:left="0" w:right="0" w:hanging="0"/>
              <w:jc w:val="left"/>
            </w:pPr>
            <w:r>
              <w:t> </w:t>
            </w:r>
          </w:p>
        </w:tc>
        <w:tc>
          <w:tcPr>
            <w:tcW w:w="136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2026</w:t>
            </w:r>
          </w:p>
        </w:tc>
        <w:tc>
          <w:tcPr>
            <w:tcW w:w="165" w:type="dxa"/>
            <w:tcBorders/>
            <w:shd w:fill="FFFFFF" w:val="clear"/>
            <w:vAlign w:val="center"/>
          </w:tcPr>
          <w:p>
            <w:pPr>
              <w:pStyle w:val="TableContents"/>
              <w:bidi w:val="0"/>
              <w:spacing w:before="0" w:after="283"/>
              <w:jc w:val="left"/>
            </w:pPr>
            <w:r>
              <w:t> </w:t>
            </w:r>
          </w:p>
        </w:tc>
        <w:tc>
          <w:tcPr>
            <w:tcW w:w="123" w:type="dxa"/>
            <w:tcBorders/>
            <w:shd w:fill="FFFFFF" w:val="clear"/>
            <w:vAlign w:val="center"/>
          </w:tcPr>
          <w:p>
            <w:pPr>
              <w:pStyle w:val="TableContents"/>
              <w:bidi w:val="0"/>
              <w:spacing w:before="0" w:after="283"/>
              <w:ind w:left="0" w:right="0" w:hanging="0"/>
              <w:jc w:val="left"/>
            </w:pPr>
            <w:r>
              <w:t> </w:t>
            </w:r>
          </w:p>
        </w:tc>
        <w:tc>
          <w:tcPr>
            <w:tcW w:w="12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pPr>
            <w:r>
              <w:t> </w:t>
            </w:r>
          </w:p>
        </w:tc>
      </w:tr>
      <w:tr>
        <w:tc>
          <w:tcPr>
            <w:tcW w:w="27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disposal of assets</w:t>
            </w:r>
          </w:p>
        </w:tc>
        <w:tc>
          <w:tcPr>
            <w:tcW w:w="60" w:type="dxa"/>
            <w:tcBorders/>
            <w:shd w:fill="CCEEFF" w:val="clear"/>
            <w:vAlign w:val="center"/>
          </w:tcPr>
          <w:p>
            <w:pPr>
              <w:pStyle w:val="TableContents"/>
              <w:bidi w:val="0"/>
              <w:spacing w:before="0" w:after="283"/>
              <w:ind w:left="0" w:right="0" w:hanging="0"/>
              <w:jc w:val="left"/>
            </w:pPr>
            <w:r>
              <w:t> </w:t>
            </w:r>
          </w:p>
        </w:tc>
        <w:tc>
          <w:tcPr>
            <w:tcW w:w="25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(468</w:t>
            </w:r>
          </w:p>
        </w:tc>
        <w:tc>
          <w:tcPr>
            <w:tcW w:w="16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2" w:type="dxa"/>
            <w:tcBorders/>
            <w:shd w:fill="CCEEFF" w:val="clear"/>
            <w:vAlign w:val="center"/>
          </w:tcPr>
          <w:p>
            <w:pPr>
              <w:pStyle w:val="TableContents"/>
              <w:bidi w:val="0"/>
              <w:spacing w:before="0" w:after="283"/>
              <w:ind w:left="0" w:right="0" w:hanging="0"/>
              <w:jc w:val="left"/>
            </w:pPr>
            <w:r>
              <w:t> </w:t>
            </w:r>
          </w:p>
        </w:tc>
        <w:tc>
          <w:tcPr>
            <w:tcW w:w="25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pPr>
            <w:r>
              <w:t> </w:t>
            </w:r>
          </w:p>
        </w:tc>
        <w:tc>
          <w:tcPr>
            <w:tcW w:w="25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(711</w:t>
            </w:r>
          </w:p>
        </w:tc>
        <w:tc>
          <w:tcPr>
            <w:tcW w:w="1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3" w:type="dxa"/>
            <w:tcBorders/>
            <w:shd w:fill="CCEEFF" w:val="clear"/>
            <w:vAlign w:val="center"/>
          </w:tcPr>
          <w:p>
            <w:pPr>
              <w:pStyle w:val="TableContents"/>
              <w:bidi w:val="0"/>
              <w:spacing w:before="0" w:after="283"/>
              <w:ind w:left="0" w:right="0" w:hanging="0"/>
              <w:jc w:val="left"/>
            </w:pPr>
            <w:r>
              <w:t> </w:t>
            </w:r>
          </w:p>
        </w:tc>
        <w:tc>
          <w:tcPr>
            <w:tcW w:w="25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27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Government subsidy income</w:t>
            </w:r>
          </w:p>
        </w:tc>
        <w:tc>
          <w:tcPr>
            <w:tcW w:w="60" w:type="dxa"/>
            <w:tcBorders/>
            <w:shd w:fill="FFFFFF" w:val="clear"/>
            <w:vAlign w:val="center"/>
          </w:tcPr>
          <w:p>
            <w:pPr>
              <w:pStyle w:val="TableContents"/>
              <w:bidi w:val="0"/>
              <w:spacing w:before="0" w:after="283"/>
              <w:jc w:val="left"/>
            </w:pPr>
            <w:r>
              <w:t> </w:t>
            </w:r>
          </w:p>
        </w:tc>
        <w:tc>
          <w:tcPr>
            <w:tcW w:w="255" w:type="dxa"/>
            <w:tcBorders/>
            <w:shd w:fill="FFFFFF" w:val="clear"/>
            <w:vAlign w:val="center"/>
          </w:tcPr>
          <w:p>
            <w:pPr>
              <w:pStyle w:val="TableContents"/>
              <w:bidi w:val="0"/>
              <w:spacing w:before="0" w:after="283"/>
              <w:ind w:left="0" w:right="0" w:hanging="0"/>
              <w:jc w:val="left"/>
            </w:pPr>
            <w:r>
              <w:t> </w:t>
            </w:r>
          </w:p>
        </w:tc>
        <w:tc>
          <w:tcPr>
            <w:tcW w:w="9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8,160</w:t>
            </w:r>
          </w:p>
        </w:tc>
        <w:tc>
          <w:tcPr>
            <w:tcW w:w="163" w:type="dxa"/>
            <w:tcBorders/>
            <w:shd w:fill="FFFFFF" w:val="clear"/>
            <w:vAlign w:val="center"/>
          </w:tcPr>
          <w:p>
            <w:pPr>
              <w:pStyle w:val="TableContents"/>
              <w:bidi w:val="0"/>
              <w:spacing w:before="0" w:after="283"/>
              <w:jc w:val="left"/>
            </w:pPr>
            <w:r>
              <w:t> </w:t>
            </w:r>
          </w:p>
        </w:tc>
        <w:tc>
          <w:tcPr>
            <w:tcW w:w="122" w:type="dxa"/>
            <w:tcBorders/>
            <w:shd w:fill="FFFFFF" w:val="clear"/>
            <w:vAlign w:val="center"/>
          </w:tcPr>
          <w:p>
            <w:pPr>
              <w:pStyle w:val="TableContents"/>
              <w:bidi w:val="0"/>
              <w:spacing w:before="0" w:after="283"/>
              <w:jc w:val="left"/>
            </w:pPr>
            <w:r>
              <w:t> </w:t>
            </w:r>
          </w:p>
        </w:tc>
        <w:tc>
          <w:tcPr>
            <w:tcW w:w="255" w:type="dxa"/>
            <w:tcBorders/>
            <w:shd w:fill="FFFFFF" w:val="clear"/>
            <w:vAlign w:val="center"/>
          </w:tcPr>
          <w:p>
            <w:pPr>
              <w:pStyle w:val="TableContents"/>
              <w:bidi w:val="0"/>
              <w:spacing w:before="0" w:after="283"/>
              <w:ind w:left="0" w:right="0" w:hanging="0"/>
              <w:jc w:val="left"/>
            </w:pPr>
            <w:r>
              <w:t> </w:t>
            </w:r>
          </w:p>
        </w:tc>
        <w:tc>
          <w:tcPr>
            <w:tcW w:w="11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3,219</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58" w:type="dxa"/>
            <w:tcBorders/>
            <w:shd w:fill="FFFFFF" w:val="clear"/>
            <w:vAlign w:val="center"/>
          </w:tcPr>
          <w:p>
            <w:pPr>
              <w:pStyle w:val="TableContents"/>
              <w:bidi w:val="0"/>
              <w:spacing w:before="0" w:after="283"/>
              <w:ind w:left="0" w:right="0" w:hanging="0"/>
              <w:jc w:val="left"/>
            </w:pPr>
            <w:r>
              <w:t> </w:t>
            </w:r>
          </w:p>
        </w:tc>
        <w:tc>
          <w:tcPr>
            <w:tcW w:w="100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9,154</w:t>
            </w:r>
          </w:p>
        </w:tc>
        <w:tc>
          <w:tcPr>
            <w:tcW w:w="165" w:type="dxa"/>
            <w:tcBorders/>
            <w:shd w:fill="FFFFFF" w:val="clear"/>
            <w:vAlign w:val="center"/>
          </w:tcPr>
          <w:p>
            <w:pPr>
              <w:pStyle w:val="TableContents"/>
              <w:bidi w:val="0"/>
              <w:spacing w:before="0" w:after="283"/>
              <w:jc w:val="left"/>
            </w:pPr>
            <w:r>
              <w:t> </w:t>
            </w:r>
          </w:p>
        </w:tc>
        <w:tc>
          <w:tcPr>
            <w:tcW w:w="123" w:type="dxa"/>
            <w:tcBorders/>
            <w:shd w:fill="FFFFFF" w:val="clear"/>
            <w:vAlign w:val="center"/>
          </w:tcPr>
          <w:p>
            <w:pPr>
              <w:pStyle w:val="TableContents"/>
              <w:bidi w:val="0"/>
              <w:spacing w:before="0" w:after="283"/>
              <w:jc w:val="left"/>
            </w:pPr>
            <w:r>
              <w:t> </w:t>
            </w:r>
          </w:p>
        </w:tc>
        <w:tc>
          <w:tcPr>
            <w:tcW w:w="258" w:type="dxa"/>
            <w:tcBorders/>
            <w:shd w:fill="FFFFFF" w:val="clear"/>
            <w:vAlign w:val="center"/>
          </w:tcPr>
          <w:p>
            <w:pPr>
              <w:pStyle w:val="TableContents"/>
              <w:bidi w:val="0"/>
              <w:spacing w:before="0" w:after="283"/>
              <w:ind w:left="0" w:right="0" w:hanging="0"/>
              <w:jc w:val="left"/>
            </w:pPr>
            <w:r>
              <w:t> </w:t>
            </w:r>
          </w:p>
        </w:tc>
        <w:tc>
          <w:tcPr>
            <w:tcW w:w="100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4,717</w:t>
            </w:r>
          </w:p>
        </w:tc>
        <w:tc>
          <w:tcPr>
            <w:tcW w:w="80" w:type="dxa"/>
            <w:tcBorders/>
            <w:shd w:fill="FFFFFF" w:val="clear"/>
            <w:vAlign w:val="center"/>
          </w:tcPr>
          <w:p>
            <w:pPr>
              <w:pStyle w:val="TableContents"/>
              <w:bidi w:val="0"/>
              <w:spacing w:before="0" w:after="283"/>
              <w:jc w:val="left"/>
            </w:pPr>
            <w:r>
              <w:t> </w:t>
            </w:r>
          </w:p>
        </w:tc>
      </w:tr>
      <w:tr>
        <w:tc>
          <w:tcPr>
            <w:tcW w:w="27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exchange gain (loss)</w:t>
            </w:r>
          </w:p>
        </w:tc>
        <w:tc>
          <w:tcPr>
            <w:tcW w:w="60" w:type="dxa"/>
            <w:tcBorders/>
            <w:shd w:fill="CCEEFF" w:val="clear"/>
            <w:vAlign w:val="center"/>
          </w:tcPr>
          <w:p>
            <w:pPr>
              <w:pStyle w:val="TableContents"/>
              <w:bidi w:val="0"/>
              <w:spacing w:before="0" w:after="283"/>
              <w:jc w:val="left"/>
            </w:pPr>
            <w:r>
              <w:t> </w:t>
            </w:r>
          </w:p>
        </w:tc>
        <w:tc>
          <w:tcPr>
            <w:tcW w:w="255" w:type="dxa"/>
            <w:tcBorders/>
            <w:shd w:fill="CCEEFF" w:val="clear"/>
            <w:vAlign w:val="center"/>
          </w:tcPr>
          <w:p>
            <w:pPr>
              <w:pStyle w:val="TableContents"/>
              <w:bidi w:val="0"/>
              <w:spacing w:before="0" w:after="283"/>
              <w:ind w:left="0" w:right="0" w:hanging="0"/>
              <w:jc w:val="left"/>
            </w:pPr>
            <w:r>
              <w:t> </w:t>
            </w:r>
          </w:p>
        </w:tc>
        <w:tc>
          <w:tcPr>
            <w:tcW w:w="9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695</w:t>
            </w:r>
          </w:p>
        </w:tc>
        <w:tc>
          <w:tcPr>
            <w:tcW w:w="163" w:type="dxa"/>
            <w:tcBorders/>
            <w:shd w:fill="CCEEFF" w:val="clear"/>
            <w:vAlign w:val="center"/>
          </w:tcPr>
          <w:p>
            <w:pPr>
              <w:pStyle w:val="TableContents"/>
              <w:bidi w:val="0"/>
              <w:spacing w:before="0" w:after="283"/>
              <w:jc w:val="left"/>
            </w:pPr>
            <w:r>
              <w:t> </w:t>
            </w:r>
          </w:p>
        </w:tc>
        <w:tc>
          <w:tcPr>
            <w:tcW w:w="122" w:type="dxa"/>
            <w:tcBorders/>
            <w:shd w:fill="CCEEFF" w:val="clear"/>
            <w:vAlign w:val="center"/>
          </w:tcPr>
          <w:p>
            <w:pPr>
              <w:pStyle w:val="TableContents"/>
              <w:bidi w:val="0"/>
              <w:spacing w:before="0" w:after="283"/>
              <w:jc w:val="left"/>
            </w:pPr>
            <w:r>
              <w:t> </w:t>
            </w:r>
          </w:p>
        </w:tc>
        <w:tc>
          <w:tcPr>
            <w:tcW w:w="255" w:type="dxa"/>
            <w:tcBorders/>
            <w:shd w:fill="CCEEFF" w:val="clear"/>
            <w:vAlign w:val="center"/>
          </w:tcPr>
          <w:p>
            <w:pPr>
              <w:pStyle w:val="TableContents"/>
              <w:bidi w:val="0"/>
              <w:spacing w:before="0" w:after="283"/>
              <w:ind w:left="0" w:right="0" w:hanging="0"/>
              <w:jc w:val="left"/>
            </w:pPr>
            <w:r>
              <w:t> </w:t>
            </w:r>
          </w:p>
        </w:tc>
        <w:tc>
          <w:tcPr>
            <w:tcW w:w="11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(2,438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258" w:type="dxa"/>
            <w:tcBorders/>
            <w:shd w:fill="CCEEFF" w:val="clear"/>
            <w:vAlign w:val="center"/>
          </w:tcPr>
          <w:p>
            <w:pPr>
              <w:pStyle w:val="TableContents"/>
              <w:bidi w:val="0"/>
              <w:spacing w:before="0" w:after="283"/>
              <w:ind w:left="0" w:right="0" w:hanging="0"/>
              <w:jc w:val="left"/>
            </w:pPr>
            <w:r>
              <w:t> </w:t>
            </w:r>
          </w:p>
        </w:tc>
        <w:tc>
          <w:tcPr>
            <w:tcW w:w="100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(363</w:t>
            </w:r>
          </w:p>
        </w:tc>
        <w:tc>
          <w:tcPr>
            <w:tcW w:w="1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3" w:type="dxa"/>
            <w:tcBorders/>
            <w:shd w:fill="CCEEFF" w:val="clear"/>
            <w:vAlign w:val="center"/>
          </w:tcPr>
          <w:p>
            <w:pPr>
              <w:pStyle w:val="TableContents"/>
              <w:bidi w:val="0"/>
              <w:spacing w:before="0" w:after="283"/>
              <w:jc w:val="left"/>
            </w:pPr>
            <w:r>
              <w:t> </w:t>
            </w:r>
          </w:p>
        </w:tc>
        <w:tc>
          <w:tcPr>
            <w:tcW w:w="258" w:type="dxa"/>
            <w:tcBorders/>
            <w:shd w:fill="CCEEFF" w:val="clear"/>
            <w:vAlign w:val="center"/>
          </w:tcPr>
          <w:p>
            <w:pPr>
              <w:pStyle w:val="TableContents"/>
              <w:bidi w:val="0"/>
              <w:spacing w:before="0" w:after="283"/>
              <w:ind w:left="0" w:right="0" w:hanging="0"/>
              <w:jc w:val="left"/>
            </w:pPr>
            <w:r>
              <w:t> </w:t>
            </w:r>
          </w:p>
        </w:tc>
        <w:tc>
          <w:tcPr>
            <w:tcW w:w="100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3,915</w:t>
            </w:r>
          </w:p>
        </w:tc>
        <w:tc>
          <w:tcPr>
            <w:tcW w:w="80" w:type="dxa"/>
            <w:tcBorders/>
            <w:shd w:fill="CCEEFF" w:val="clear"/>
            <w:vAlign w:val="center"/>
          </w:tcPr>
          <w:p>
            <w:pPr>
              <w:pStyle w:val="TableContents"/>
              <w:bidi w:val="0"/>
              <w:spacing w:before="0" w:after="283"/>
              <w:jc w:val="left"/>
            </w:pPr>
            <w:r>
              <w:t> </w:t>
            </w:r>
          </w:p>
        </w:tc>
      </w:tr>
      <w:tr>
        <w:tc>
          <w:tcPr>
            <w:tcW w:w="27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non-operating gain</w:t>
            </w:r>
          </w:p>
        </w:tc>
        <w:tc>
          <w:tcPr>
            <w:tcW w:w="60" w:type="dxa"/>
            <w:tcBorders/>
            <w:shd w:fill="FFFFFF" w:val="clear"/>
            <w:vAlign w:val="center"/>
          </w:tcPr>
          <w:p>
            <w:pPr>
              <w:pStyle w:val="TableContents"/>
              <w:bidi w:val="0"/>
              <w:spacing w:before="0" w:after="283"/>
              <w:jc w:val="left"/>
            </w:pPr>
            <w:r>
              <w:t> </w:t>
            </w:r>
          </w:p>
        </w:tc>
        <w:tc>
          <w:tcPr>
            <w:tcW w:w="25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9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w:t>
            </w:r>
          </w:p>
        </w:tc>
        <w:tc>
          <w:tcPr>
            <w:tcW w:w="16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2" w:type="dxa"/>
            <w:tcBorders/>
            <w:shd w:fill="FFFFFF" w:val="clear"/>
            <w:vAlign w:val="center"/>
          </w:tcPr>
          <w:p>
            <w:pPr>
              <w:pStyle w:val="TableContents"/>
              <w:bidi w:val="0"/>
              <w:spacing w:before="0" w:after="283"/>
              <w:jc w:val="left"/>
            </w:pPr>
            <w:r>
              <w:t> </w:t>
            </w:r>
          </w:p>
        </w:tc>
        <w:tc>
          <w:tcPr>
            <w:tcW w:w="25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11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2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00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w:t>
            </w:r>
          </w:p>
        </w:tc>
        <w:tc>
          <w:tcPr>
            <w:tcW w:w="1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3" w:type="dxa"/>
            <w:tcBorders/>
            <w:shd w:fill="FFFFFF" w:val="clear"/>
            <w:vAlign w:val="center"/>
          </w:tcPr>
          <w:p>
            <w:pPr>
              <w:pStyle w:val="TableContents"/>
              <w:bidi w:val="0"/>
              <w:spacing w:before="0" w:after="283"/>
              <w:jc w:val="left"/>
            </w:pPr>
            <w:r>
              <w:t> </w:t>
            </w:r>
          </w:p>
        </w:tc>
        <w:tc>
          <w:tcPr>
            <w:tcW w:w="2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00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27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income (expense), net</w:t>
            </w:r>
          </w:p>
        </w:tc>
        <w:tc>
          <w:tcPr>
            <w:tcW w:w="60" w:type="dxa"/>
            <w:tcBorders/>
            <w:shd w:fill="CCEEFF" w:val="clear"/>
            <w:vAlign w:val="center"/>
          </w:tcPr>
          <w:p>
            <w:pPr>
              <w:pStyle w:val="TableContents"/>
              <w:bidi w:val="0"/>
              <w:spacing w:before="0" w:after="283"/>
              <w:ind w:left="0" w:right="0" w:hanging="0"/>
              <w:jc w:val="left"/>
            </w:pPr>
            <w:r>
              <w:t> </w:t>
            </w:r>
          </w:p>
        </w:tc>
        <w:tc>
          <w:tcPr>
            <w:tcW w:w="25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8,228</w:t>
            </w:r>
          </w:p>
        </w:tc>
        <w:tc>
          <w:tcPr>
            <w:tcW w:w="163" w:type="dxa"/>
            <w:tcBorders/>
            <w:shd w:fill="CCEEFF" w:val="clear"/>
            <w:vAlign w:val="center"/>
          </w:tcPr>
          <w:p>
            <w:pPr>
              <w:pStyle w:val="TableContents"/>
              <w:bidi w:val="0"/>
              <w:spacing w:before="0" w:after="283"/>
              <w:jc w:val="left"/>
            </w:pPr>
            <w:r>
              <w:t> </w:t>
            </w:r>
          </w:p>
        </w:tc>
        <w:tc>
          <w:tcPr>
            <w:tcW w:w="122" w:type="dxa"/>
            <w:tcBorders/>
            <w:shd w:fill="CCEEFF" w:val="clear"/>
            <w:vAlign w:val="center"/>
          </w:tcPr>
          <w:p>
            <w:pPr>
              <w:pStyle w:val="TableContents"/>
              <w:bidi w:val="0"/>
              <w:spacing w:before="0" w:after="283"/>
              <w:ind w:left="0" w:right="0" w:hanging="0"/>
              <w:jc w:val="left"/>
            </w:pPr>
            <w:r>
              <w:t> </w:t>
            </w:r>
          </w:p>
        </w:tc>
        <w:tc>
          <w:tcPr>
            <w:tcW w:w="25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702</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25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8,027</w:t>
            </w:r>
          </w:p>
        </w:tc>
        <w:tc>
          <w:tcPr>
            <w:tcW w:w="165" w:type="dxa"/>
            <w:tcBorders/>
            <w:shd w:fill="CCEEFF" w:val="clear"/>
            <w:vAlign w:val="center"/>
          </w:tcPr>
          <w:p>
            <w:pPr>
              <w:pStyle w:val="TableContents"/>
              <w:bidi w:val="0"/>
              <w:spacing w:before="0" w:after="283"/>
              <w:jc w:val="left"/>
            </w:pPr>
            <w:r>
              <w:t> </w:t>
            </w:r>
          </w:p>
        </w:tc>
        <w:tc>
          <w:tcPr>
            <w:tcW w:w="123" w:type="dxa"/>
            <w:tcBorders/>
            <w:shd w:fill="CCEEFF" w:val="clear"/>
            <w:vAlign w:val="center"/>
          </w:tcPr>
          <w:p>
            <w:pPr>
              <w:pStyle w:val="TableContents"/>
              <w:bidi w:val="0"/>
              <w:spacing w:before="0" w:after="283"/>
              <w:ind w:left="0" w:right="0" w:hanging="0"/>
              <w:jc w:val="left"/>
            </w:pPr>
            <w:r>
              <w:t> </w:t>
            </w:r>
          </w:p>
        </w:tc>
        <w:tc>
          <w:tcPr>
            <w:tcW w:w="25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8,587</w:t>
            </w:r>
          </w:p>
        </w:tc>
        <w:tc>
          <w:tcPr>
            <w:tcW w:w="80" w:type="dxa"/>
            <w:tcBorders/>
            <w:shd w:fill="CCEEFF" w:val="clear"/>
            <w:vAlign w:val="center"/>
          </w:tcPr>
          <w:p>
            <w:pPr>
              <w:pStyle w:val="TableContents"/>
              <w:bidi w:val="0"/>
              <w:spacing w:before="0" w:after="283"/>
              <w:jc w:val="left"/>
            </w:pPr>
            <w:r>
              <w:t> </w:t>
            </w:r>
          </w:p>
        </w:tc>
      </w:tr>
    </w:tbl>
    <w:p>
      <w:pPr>
        <w:pStyle w:val="TextBody"/>
        <w:bidi w:val="0"/>
        <w:spacing w:before="0" w:after="0"/>
        <w:ind w:left="0" w:right="0" w:firstLine="720"/>
        <w:jc w:val="left"/>
      </w:pPr>
      <w:r>
        <w:t>​</w:t>
      </w:r>
    </w:p>
    <w:p>
      <w:pPr>
        <w:pStyle w:val="TextBody"/>
        <w:bidi w:val="0"/>
        <w:spacing w:before="0" w:after="0"/>
        <w:ind w:left="0" w:right="0" w:firstLine="720"/>
        <w:jc w:val="left"/>
      </w:pPr>
      <w:r>
        <w:rPr>
          <w:rFonts w:ascii="Times New Roman;Times;serif" w:hAnsi="Times New Roman;Times;serif"/>
          <w:caps w:val="false"/>
          <w:smallCaps w:val="false"/>
          <w:sz w:val="20"/>
        </w:rPr>
        <w:t xml:space="preserve">Government subsidy income primarily relates to grants received under government assistance programs, including grants received by the Company's China entity under local government incentive programs that support manufacturing operations, technology development, and capital investment, as well as the Texas Semiconductor Innovation Fund ("TSIF"). In </w:t>
      </w:r>
      <w:r>
        <w:rPr>
          <w:rStyle w:val="Emphasis"/>
          <w:rFonts w:ascii="Times New Roman;Times;serif" w:hAnsi="Times New Roman;Times;serif"/>
          <w:caps w:val="false"/>
          <w:smallCaps w:val="false"/>
          <w:sz w:val="20"/>
        </w:rPr>
        <w:t xml:space="preserve">April 2026, </w:t>
      </w:r>
      <w:r>
        <w:rPr>
          <w:rFonts w:ascii="Times New Roman;Times;serif" w:hAnsi="Times New Roman;Times;serif"/>
          <w:caps w:val="false"/>
          <w:smallCaps w:val="false"/>
          <w:sz w:val="20"/>
        </w:rPr>
        <w:t xml:space="preserve">the Company and the State of Texas, Office of the Governor, Texas CHIPS Office entered into a grant agreement under the Texas Semiconductor Innovation Fund for the TSIF to reimburse the Company for qualifying expenditures </w:t>
      </w:r>
      <w:r>
        <w:rPr>
          <w:rStyle w:val="Emphasis"/>
          <w:rFonts w:ascii="Times New Roman;Times;serif" w:hAnsi="Times New Roman;Times;serif"/>
          <w:caps w:val="false"/>
          <w:smallCaps w:val="false"/>
          <w:sz w:val="20"/>
        </w:rPr>
        <w:t>not</w:t>
      </w:r>
      <w:r>
        <w:rPr>
          <w:rFonts w:ascii="Times New Roman;Times;serif" w:hAnsi="Times New Roman;Times;serif"/>
          <w:caps w:val="false"/>
          <w:smallCaps w:val="false"/>
          <w:sz w:val="20"/>
        </w:rPr>
        <w:t xml:space="preserve"> to exceed $20.9 million through </w:t>
      </w:r>
      <w:r>
        <w:rPr>
          <w:rStyle w:val="Emphasis"/>
          <w:rFonts w:ascii="Times New Roman;Times;serif" w:hAnsi="Times New Roman;Times;serif"/>
          <w:caps w:val="false"/>
          <w:smallCaps w:val="false"/>
          <w:sz w:val="20"/>
        </w:rPr>
        <w:t xml:space="preserve">December 31, 2027.  </w:t>
      </w:r>
      <w:r>
        <w:rPr>
          <w:rFonts w:ascii="Times New Roman;Times;serif" w:hAnsi="Times New Roman;Times;serif"/>
          <w:caps w:val="false"/>
          <w:smallCaps w:val="false"/>
          <w:sz w:val="20"/>
        </w:rPr>
        <w:t xml:space="preserve">The TSIF grant is intended to support qualifying semiconductor manufacturing and capital investment activities in Texas and is subject to compliance with the terms and conditions of the grant agreement. Amounts associated with the TSIF grant are recognized in prepaid expenses and other current assets and Government subsidy income within other income (expense), net when the applicable grant requirements are satisfied and receipt became reasonably assured.  During the </w:t>
      </w:r>
      <w:r>
        <w:rPr>
          <w:rStyle w:val="Emphasis"/>
          <w:rFonts w:ascii="Times New Roman;Times;serif" w:hAnsi="Times New Roman;Times;serif"/>
          <w:caps w:val="false"/>
          <w:smallCaps w:val="false"/>
          <w:sz w:val="20"/>
        </w:rPr>
        <w:t>three</w:t>
      </w:r>
      <w:r>
        <w:rPr>
          <w:rFonts w:ascii="Times New Roman;Times;serif" w:hAnsi="Times New Roman;Times;serif"/>
          <w:caps w:val="false"/>
          <w:smallCaps w:val="false"/>
          <w:sz w:val="20"/>
        </w:rPr>
        <w:t xml:space="preserve"> and </w:t>
      </w:r>
      <w:r>
        <w:rPr>
          <w:rStyle w:val="Emphasis"/>
          <w:rFonts w:ascii="Times New Roman;Times;serif" w:hAnsi="Times New Roman;Times;serif"/>
          <w:caps w:val="false"/>
          <w:smallCaps w:val="false"/>
          <w:sz w:val="20"/>
        </w:rPr>
        <w:t>nine</w:t>
      </w:r>
      <w:r>
        <w:rPr>
          <w:rFonts w:ascii="Times New Roman;Times;serif" w:hAnsi="Times New Roman;Times;serif"/>
          <w:caps w:val="false"/>
          <w:smallCaps w:val="false"/>
          <w:sz w:val="20"/>
        </w:rPr>
        <w:t xml:space="preserve"> months ended </w:t>
      </w:r>
      <w:r>
        <w:rPr>
          <w:rStyle w:val="Emphasis"/>
          <w:rFonts w:ascii="Times New Roman;Times;serif" w:hAnsi="Times New Roman;Times;serif"/>
          <w:caps w:val="false"/>
          <w:smallCaps w:val="false"/>
          <w:sz w:val="20"/>
        </w:rPr>
        <w:t xml:space="preserve">September 30, 2026, </w:t>
      </w:r>
      <w:r>
        <w:rPr>
          <w:rFonts w:ascii="Times New Roman;Times;serif" w:hAnsi="Times New Roman;Times;serif"/>
          <w:caps w:val="false"/>
          <w:smallCaps w:val="false"/>
          <w:sz w:val="20"/>
        </w:rPr>
        <w:t xml:space="preserve">the Company recognized government subsidy income of $8.2 million and $9.2 million, respectively, which included approximately $3.5 million related to the TSIF grant, recognized during the </w:t>
      </w:r>
      <w:r>
        <w:rPr>
          <w:rStyle w:val="Emphasis"/>
          <w:rFonts w:ascii="Times New Roman;Times;serif" w:hAnsi="Times New Roman;Times;serif"/>
          <w:caps w:val="false"/>
          <w:smallCaps w:val="false"/>
          <w:sz w:val="20"/>
        </w:rPr>
        <w:t>three</w:t>
      </w:r>
      <w:r>
        <w:rPr>
          <w:rFonts w:ascii="Times New Roman;Times;serif" w:hAnsi="Times New Roman;Times;serif"/>
          <w:caps w:val="false"/>
          <w:smallCaps w:val="false"/>
          <w:sz w:val="20"/>
        </w:rPr>
        <w:t xml:space="preserve"> months ended </w:t>
      </w:r>
      <w:r>
        <w:rPr>
          <w:rStyle w:val="Emphasis"/>
          <w:rFonts w:ascii="Times New Roman;Times;serif" w:hAnsi="Times New Roman;Times;serif"/>
          <w:caps w:val="false"/>
          <w:smallCaps w:val="false"/>
          <w:sz w:val="20"/>
        </w:rPr>
        <w:t>September 30, 2026.  </w:t>
      </w:r>
    </w:p>
    <w:p>
      <w:pPr>
        <w:pStyle w:val="TextBody"/>
        <w:bidi w:val="0"/>
        <w:spacing w:before="0" w:after="283"/>
        <w:jc w:val="left"/>
      </w:pPr>
      <w:r>
        <w:t xml:space="preserve">  </w:t>
      </w:r>
    </w:p>
    <w:p>
      <w:pPr>
        <w:pStyle w:val="TextBody"/>
        <w:bidi w:val="0"/>
        <w:spacing w:before="0" w:after="0"/>
        <w:ind w:left="0" w:right="0" w:hanging="0"/>
        <w:jc w:val="left"/>
      </w:pPr>
      <w:r>
        <w:rPr>
          <w:rFonts w:ascii="Times New Roman" w:hAnsi="Times New Roman"/>
          <w:b/>
          <w:sz w:val="20"/>
        </w:rPr>
        <w:t xml:space="preserve">Note </w:t>
      </w:r>
      <w:r>
        <w:rPr>
          <w:rStyle w:val="Emphasis"/>
          <w:rFonts w:ascii="Times New Roman" w:hAnsi="Times New Roman"/>
          <w:b/>
          <w:sz w:val="20"/>
        </w:rPr>
        <w:t>15.</w:t>
      </w:r>
      <w:r>
        <w:rPr>
          <w:rFonts w:ascii="Times New Roman" w:hAnsi="Times New Roman"/>
          <w:b/>
          <w:sz w:val="20"/>
        </w:rPr>
        <w:t>  Share-Based Compensation</w:t>
      </w:r>
    </w:p>
    <w:p>
      <w:pPr>
        <w:pStyle w:val="TextBody"/>
        <w:bidi w:val="0"/>
        <w:spacing w:before="0" w:after="0"/>
        <w:ind w:left="0" w:right="0" w:hanging="0"/>
        <w:jc w:val="left"/>
      </w:pPr>
      <w:r>
        <w:t>​</w:t>
      </w:r>
    </w:p>
    <w:p>
      <w:pPr>
        <w:pStyle w:val="TextBody"/>
        <w:bidi w:val="0"/>
        <w:spacing w:before="0" w:after="0"/>
        <w:ind w:left="0" w:right="0" w:hanging="0"/>
        <w:jc w:val="left"/>
        <w:rPr>
          <w:rFonts w:ascii="Times New Roman" w:hAnsi="Times New Roman"/>
          <w:i/>
          <w:sz w:val="20"/>
        </w:rPr>
      </w:pPr>
      <w:r>
        <w:rPr>
          <w:rFonts w:ascii="Times New Roman" w:hAnsi="Times New Roman"/>
          <w:i/>
          <w:sz w:val="20"/>
        </w:rPr>
        <w:t>Equity Plans</w:t>
      </w:r>
    </w:p>
    <w:p>
      <w:pPr>
        <w:pStyle w:val="TextBody"/>
        <w:bidi w:val="0"/>
        <w:spacing w:before="0" w:after="0"/>
        <w:ind w:left="0" w:right="0" w:hanging="0"/>
        <w:jc w:val="left"/>
      </w:pPr>
      <w:r>
        <w:t>​</w:t>
      </w:r>
    </w:p>
    <w:p>
      <w:pPr>
        <w:pStyle w:val="TextBody"/>
        <w:bidi w:val="0"/>
        <w:spacing w:before="0" w:after="0"/>
        <w:ind w:left="0" w:right="0" w:firstLine="720"/>
        <w:jc w:val="left"/>
        <w:rPr>
          <w:rFonts w:ascii="Times New Roman" w:hAnsi="Times New Roman"/>
          <w:sz w:val="20"/>
        </w:rPr>
      </w:pPr>
      <w:r>
        <w:rPr>
          <w:rFonts w:ascii="Times New Roman" w:hAnsi="Times New Roman"/>
          <w:sz w:val="20"/>
        </w:rPr>
        <w:t>The Company’s board of directors and stockholders approved the following equity plans:</w:t>
      </w:r>
    </w:p>
    <w:p>
      <w:pPr>
        <w:pStyle w:val="TextBody"/>
        <w:bidi w:val="0"/>
        <w:spacing w:before="0" w:after="0"/>
        <w:ind w:left="720" w:right="0" w:hanging="720"/>
        <w:jc w:val="left"/>
      </w:pPr>
      <w:r>
        <w:t>​</w:t>
      </w:r>
    </w:p>
    <w:tbl>
      <w:tblPr>
        <w:tblW w:w="4660" w:type="dxa"/>
        <w:jc w:val="left"/>
        <w:tblInd w:w="0" w:type="dxa"/>
        <w:tblLayout w:type="fixed"/>
        <w:tblCellMar>
          <w:top w:w="0" w:type="dxa"/>
          <w:left w:w="0" w:type="dxa"/>
          <w:bottom w:w="0" w:type="dxa"/>
          <w:right w:w="0" w:type="dxa"/>
        </w:tblCellMar>
      </w:tblPr>
      <w:tblGrid>
        <w:gridCol w:w="60"/>
        <w:gridCol w:w="170"/>
        <w:gridCol w:w="4430"/>
      </w:tblGrid>
      <w:tr>
        <w:tc>
          <w:tcPr>
            <w:tcW w:w="6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w:t>
            </w:r>
          </w:p>
        </w:tc>
        <w:tc>
          <w:tcPr>
            <w:tcW w:w="4430" w:type="dxa"/>
            <w:tcBorders/>
            <w:vAlign w:val="center"/>
          </w:tcPr>
          <w:p>
            <w:pPr>
              <w:pStyle w:val="TableContents"/>
              <w:bidi w:val="0"/>
              <w:spacing w:before="0" w:after="283"/>
              <w:jc w:val="left"/>
            </w:pPr>
            <w:r>
              <w:rPr>
                <w:rFonts w:ascii="Times New Roman" w:hAnsi="Times New Roman"/>
                <w:sz w:val="20"/>
              </w:rPr>
              <w:t xml:space="preserve">the </w:t>
            </w:r>
            <w:r>
              <w:rPr>
                <w:rStyle w:val="Emphasis"/>
                <w:rFonts w:ascii="Times New Roman" w:hAnsi="Times New Roman"/>
                <w:sz w:val="20"/>
              </w:rPr>
              <w:t>2023</w:t>
            </w:r>
            <w:r>
              <w:rPr>
                <w:rFonts w:ascii="Times New Roman" w:hAnsi="Times New Roman"/>
                <w:sz w:val="20"/>
              </w:rPr>
              <w:t xml:space="preserve"> Equity Inducement Plan ("Inducement Plan")</w:t>
            </w:r>
          </w:p>
        </w:tc>
      </w:tr>
      <w:tr>
        <w:tc>
          <w:tcPr>
            <w:tcW w:w="6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w:t>
            </w:r>
          </w:p>
        </w:tc>
        <w:tc>
          <w:tcPr>
            <w:tcW w:w="4430" w:type="dxa"/>
            <w:tcBorders/>
            <w:vAlign w:val="center"/>
          </w:tcPr>
          <w:p>
            <w:pPr>
              <w:pStyle w:val="TableContents"/>
              <w:bidi w:val="0"/>
              <w:spacing w:before="0" w:after="283"/>
              <w:jc w:val="left"/>
            </w:pPr>
            <w:r>
              <w:rPr>
                <w:rFonts w:ascii="Times New Roman" w:hAnsi="Times New Roman"/>
                <w:sz w:val="20"/>
              </w:rPr>
              <w:t xml:space="preserve">the </w:t>
            </w:r>
            <w:r>
              <w:rPr>
                <w:rStyle w:val="Emphasis"/>
                <w:rFonts w:ascii="Times New Roman" w:hAnsi="Times New Roman"/>
                <w:sz w:val="20"/>
              </w:rPr>
              <w:t>2026</w:t>
            </w:r>
            <w:r>
              <w:rPr>
                <w:rFonts w:ascii="Times New Roman" w:hAnsi="Times New Roman"/>
                <w:sz w:val="20"/>
              </w:rPr>
              <w:t xml:space="preserve"> Equity Incentive Plan (</w:t>
            </w:r>
            <w:r>
              <w:rPr>
                <w:rStyle w:val="Emphasis"/>
                <w:rFonts w:ascii="Times New Roman" w:hAnsi="Times New Roman"/>
                <w:sz w:val="20"/>
              </w:rPr>
              <w:t>"2026</w:t>
            </w:r>
            <w:r>
              <w:rPr>
                <w:rFonts w:ascii="Times New Roman" w:hAnsi="Times New Roman"/>
                <w:sz w:val="20"/>
              </w:rPr>
              <w:t xml:space="preserve"> Plan")</w:t>
            </w:r>
          </w:p>
        </w:tc>
      </w:tr>
    </w:tbl>
    <w:p>
      <w:pPr>
        <w:pStyle w:val="TextBody"/>
        <w:bidi w:val="0"/>
        <w:spacing w:before="0" w:after="0"/>
        <w:ind w:left="0" w:right="0" w:firstLine="720"/>
        <w:jc w:val="left"/>
      </w:pPr>
      <w:r>
        <w:t> </w:t>
      </w:r>
    </w:p>
    <w:p>
      <w:pPr>
        <w:pStyle w:val="TextBody"/>
        <w:bidi w:val="0"/>
        <w:spacing w:before="0" w:after="0"/>
        <w:ind w:left="0" w:right="0" w:firstLine="720"/>
        <w:jc w:val="left"/>
      </w:pPr>
      <w:r>
        <w:rPr>
          <w:rFonts w:ascii="Times New Roman" w:hAnsi="Times New Roman"/>
          <w:sz w:val="20"/>
        </w:rPr>
        <w:t xml:space="preserve">The Company has issued stock options, restricted stock awards ("RSAs") and restricted stock units ("RSUs") to employees, consultants and non-employee directors. Stock option awards generally vest over a four-year period and have a maximum term of ten years. Stock options under these plans have been granted with an exercise price equal to the fair market value on the date of the grant. Nonqualified and Incentive Stock Options, RSAs and RSUs </w:t>
      </w:r>
      <w:r>
        <w:rPr>
          <w:rStyle w:val="Emphasis"/>
          <w:rFonts w:ascii="Times New Roman" w:hAnsi="Times New Roman"/>
          <w:sz w:val="20"/>
        </w:rPr>
        <w:t xml:space="preserve">may </w:t>
      </w:r>
      <w:r>
        <w:rPr>
          <w:rFonts w:ascii="Times New Roman" w:hAnsi="Times New Roman"/>
          <w:sz w:val="20"/>
        </w:rPr>
        <w:t>be granted from these plans.</w:t>
      </w:r>
    </w:p>
    <w:p>
      <w:pPr>
        <w:pStyle w:val="TextBody"/>
        <w:bidi w:val="0"/>
        <w:spacing w:before="0" w:after="0"/>
        <w:ind w:left="0" w:right="0" w:firstLine="720"/>
        <w:jc w:val="left"/>
      </w:pPr>
      <w:r>
        <w:t>​</w:t>
      </w:r>
    </w:p>
    <w:p>
      <w:pPr>
        <w:pStyle w:val="TextBody"/>
        <w:bidi w:val="0"/>
        <w:spacing w:before="0" w:after="0"/>
        <w:jc w:val="center"/>
      </w:pPr>
      <w:r>
        <w:rPr>
          <w:rStyle w:val="Emphasis"/>
          <w:rFonts w:ascii="Times New Roman" w:hAnsi="Times New Roman"/>
          <w:sz w:val="20"/>
        </w:rPr>
        <w:t>19</w:t>
      </w:r>
      <w:r>
        <w:rPr>
          <w:rFonts w:ascii="Times New Roman" w:hAnsi="Times New Roman"/>
          <w:sz w:val="20"/>
        </w:rPr>
        <w:t xml:space="preserve"> </w:t>
      </w:r>
    </w:p>
    <w:p>
      <w:pPr>
        <w:pStyle w:val="HorizontalLine"/>
        <w:pBdr>
          <w:bottom w:val="double" w:sz="2" w:space="0" w:color="808080"/>
        </w:pBdr>
        <w:bidi w:val="0"/>
        <w:spacing w:before="0" w:after="283"/>
        <w:jc w:val="left"/>
      </w:pPr>
      <w:r/>
    </w:p>
    <w:p>
      <w:pPr>
        <w:pStyle w:val="TextBody"/>
        <w:bidi w:val="0"/>
        <w:spacing w:before="0" w:after="0"/>
        <w:jc w:val="left"/>
      </w:pPr>
      <w:hyperlink w:anchor="toc">
        <w:r>
          <w:rPr>
            <w:rStyle w:val="InternetLink"/>
            <w:rFonts w:ascii="Times New Roman;Times;serif" w:hAnsi="Times New Roman;Times;serif"/>
            <w:sz w:val="20"/>
          </w:rPr>
          <w:t>Table of Contents</w:t>
        </w:r>
      </w:hyperlink>
      <w:r>
        <w:t xml:space="preserve"> </w:t>
      </w:r>
    </w:p>
    <w:p>
      <w:pPr>
        <w:pStyle w:val="TextBody"/>
        <w:bidi w:val="0"/>
        <w:spacing w:before="0" w:after="283"/>
        <w:jc w:val="left"/>
      </w:pPr>
      <w:r>
        <w:t xml:space="preserve">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Performance Based Incentive Plan</w:t>
      </w:r>
    </w:p>
    <w:p>
      <w:pPr>
        <w:pStyle w:val="TextBody"/>
        <w:bidi w:val="0"/>
        <w:spacing w:before="0" w:after="0"/>
        <w:ind w:left="0" w:right="0" w:hanging="0"/>
        <w:jc w:val="left"/>
      </w:pPr>
      <w:r>
        <w:t> </w:t>
      </w:r>
    </w:p>
    <w:p>
      <w:pPr>
        <w:pStyle w:val="TextBody"/>
        <w:bidi w:val="0"/>
        <w:spacing w:before="0" w:after="0"/>
        <w:ind w:left="0" w:right="0" w:firstLine="720"/>
        <w:jc w:val="left"/>
      </w:pPr>
      <w:r>
        <w:t>​</w:t>
      </w:r>
      <w:r>
        <w:rPr>
          <w:rFonts w:ascii="Times New Roman" w:hAnsi="Times New Roman"/>
          <w:sz w:val="20"/>
        </w:rPr>
        <w:t xml:space="preserve">Starting in </w:t>
      </w:r>
      <w:r>
        <w:rPr>
          <w:rStyle w:val="Emphasis"/>
          <w:rFonts w:ascii="Times New Roman" w:hAnsi="Times New Roman"/>
          <w:sz w:val="20"/>
        </w:rPr>
        <w:t>2021,</w:t>
      </w:r>
      <w:r>
        <w:rPr>
          <w:rFonts w:ascii="Times New Roman" w:hAnsi="Times New Roman"/>
          <w:sz w:val="20"/>
        </w:rPr>
        <w:t xml:space="preserve"> certain senior executives were granted performance stock units ("PSUs") under our equity plan, which generally vest over a three-year period subject to achievement of certain pre-established performance metrics. The number of shares of common stock that would ultimately be issued to settle PSUs granted ranged from 0% to 200% of the target number of shares granted. We estimate the fair value of the PSUs on the date of grant using a Monte Carlo simulation model, with stock-based compensation expense recognized ratably over the applicable </w:t>
      </w:r>
      <w:r>
        <w:rPr>
          <w:rStyle w:val="Emphasis"/>
          <w:rFonts w:ascii="Times New Roman" w:hAnsi="Times New Roman"/>
          <w:sz w:val="20"/>
        </w:rPr>
        <w:t>three</w:t>
      </w:r>
      <w:r>
        <w:rPr>
          <w:rFonts w:ascii="Times New Roman" w:hAnsi="Times New Roman"/>
          <w:sz w:val="20"/>
        </w:rPr>
        <w:t>-year performance period</w:t>
      </w:r>
      <w:r>
        <w:rPr>
          <w:rFonts w:ascii="Times New Roman" w:hAnsi="Times New Roman"/>
          <w:sz w:val="20"/>
          <w:shd w:fill="FFFFFF" w:val="clear"/>
        </w:rPr>
        <w:t xml:space="preserve">. The Company recognized </w:t>
      </w:r>
      <w:r>
        <w:rPr>
          <w:rFonts w:ascii="Times New Roman" w:hAnsi="Times New Roman"/>
          <w:sz w:val="20"/>
        </w:rPr>
        <w:t xml:space="preserve">stock-based compensation expense for the PSUs for the </w:t>
      </w:r>
      <w:r>
        <w:rPr>
          <w:rStyle w:val="Emphasis"/>
          <w:rFonts w:ascii="Times New Roman" w:hAnsi="Times New Roman"/>
          <w:sz w:val="20"/>
        </w:rPr>
        <w:t>three</w:t>
      </w:r>
      <w:r>
        <w:rPr>
          <w:rFonts w:ascii="Times New Roman" w:hAnsi="Times New Roman"/>
          <w:sz w:val="20"/>
        </w:rPr>
        <w:t> months ended </w:t>
      </w:r>
      <w:r>
        <w:rPr>
          <w:rStyle w:val="Emphasis"/>
          <w:rFonts w:ascii="Times New Roman" w:hAnsi="Times New Roman"/>
          <w:sz w:val="20"/>
        </w:rPr>
        <w:t xml:space="preserve"> September 30, 2026 </w:t>
      </w:r>
      <w:r>
        <w:rPr>
          <w:rFonts w:ascii="Times New Roman" w:hAnsi="Times New Roman"/>
          <w:sz w:val="20"/>
        </w:rPr>
        <w:t xml:space="preserve">and </w:t>
      </w:r>
      <w:r>
        <w:rPr>
          <w:rStyle w:val="Emphasis"/>
          <w:rFonts w:ascii="Times New Roman" w:hAnsi="Times New Roman"/>
          <w:sz w:val="20"/>
        </w:rPr>
        <w:t>2025</w:t>
      </w:r>
      <w:r>
        <w:rPr>
          <w:rFonts w:ascii="Times New Roman" w:hAnsi="Times New Roman"/>
          <w:sz w:val="20"/>
        </w:rPr>
        <w:t xml:space="preserve"> of $2.8 million and $1.2 million, respectively. </w:t>
      </w:r>
      <w:r>
        <w:rPr>
          <w:rFonts w:ascii="Times New Roman" w:hAnsi="Times New Roman"/>
          <w:sz w:val="20"/>
          <w:shd w:fill="FFFFFF" w:val="clear"/>
        </w:rPr>
        <w:t xml:space="preserve">The Company recognized </w:t>
      </w:r>
      <w:r>
        <w:rPr>
          <w:rFonts w:ascii="Times New Roman" w:hAnsi="Times New Roman"/>
          <w:sz w:val="20"/>
        </w:rPr>
        <w:t xml:space="preserve">stock-based compensation expense for the PSUs for the </w:t>
      </w:r>
      <w:r>
        <w:rPr>
          <w:rStyle w:val="Emphasis"/>
          <w:rFonts w:ascii="Times New Roman" w:hAnsi="Times New Roman"/>
          <w:sz w:val="20"/>
        </w:rPr>
        <w:t>nine</w:t>
      </w:r>
      <w:r>
        <w:rPr>
          <w:rFonts w:ascii="Times New Roman" w:hAnsi="Times New Roman"/>
          <w:sz w:val="20"/>
        </w:rPr>
        <w:t> months ended </w:t>
      </w:r>
      <w:r>
        <w:rPr>
          <w:rStyle w:val="Emphasis"/>
          <w:rFonts w:ascii="Times New Roman" w:hAnsi="Times New Roman"/>
          <w:sz w:val="20"/>
        </w:rPr>
        <w:t xml:space="preserve"> September 30, 2026 </w:t>
      </w:r>
      <w:r>
        <w:rPr>
          <w:rFonts w:ascii="Times New Roman" w:hAnsi="Times New Roman"/>
          <w:sz w:val="20"/>
        </w:rPr>
        <w:t xml:space="preserve">and </w:t>
      </w:r>
      <w:r>
        <w:rPr>
          <w:rStyle w:val="Emphasis"/>
          <w:rFonts w:ascii="Times New Roman" w:hAnsi="Times New Roman"/>
          <w:sz w:val="20"/>
        </w:rPr>
        <w:t>2025</w:t>
      </w:r>
      <w:r>
        <w:rPr>
          <w:rFonts w:ascii="Times New Roman" w:hAnsi="Times New Roman"/>
          <w:sz w:val="20"/>
        </w:rPr>
        <w:t xml:space="preserve"> of $6.8 million and $3.3 million, respectively. </w:t>
      </w:r>
    </w:p>
    <w:p>
      <w:pPr>
        <w:pStyle w:val="TextBody"/>
        <w:bidi w:val="0"/>
        <w:spacing w:before="0" w:after="0"/>
        <w:ind w:left="0" w:right="0" w:firstLine="720"/>
        <w:jc w:val="left"/>
      </w:pPr>
      <w:r>
        <w:t> </w:t>
      </w:r>
    </w:p>
    <w:p>
      <w:pPr>
        <w:pStyle w:val="TextBody"/>
        <w:bidi w:val="0"/>
        <w:spacing w:before="0" w:after="0"/>
        <w:ind w:left="0" w:right="0" w:firstLine="720"/>
        <w:jc w:val="left"/>
      </w:pPr>
      <w:r>
        <w:rPr>
          <w:rFonts w:ascii="Times New Roman" w:hAnsi="Times New Roman"/>
          <w:sz w:val="20"/>
        </w:rPr>
        <w:t xml:space="preserve">The following is a summary of PSU activity for the </w:t>
      </w:r>
      <w:r>
        <w:rPr>
          <w:rStyle w:val="Emphasis"/>
          <w:rFonts w:ascii="Times New Roman" w:hAnsi="Times New Roman"/>
          <w:sz w:val="20"/>
        </w:rPr>
        <w:t>nine</w:t>
      </w:r>
      <w:r>
        <w:rPr>
          <w:rFonts w:ascii="Times New Roman" w:hAnsi="Times New Roman"/>
          <w:sz w:val="20"/>
        </w:rPr>
        <w:t xml:space="preserve"> months ended </w:t>
      </w:r>
      <w:r>
        <w:rPr>
          <w:rStyle w:val="Emphasis"/>
          <w:rFonts w:ascii="Times New Roman" w:hAnsi="Times New Roman"/>
          <w:sz w:val="20"/>
        </w:rPr>
        <w:t>September 30, 2026</w:t>
      </w:r>
      <w:r>
        <w:rPr>
          <w:rFonts w:ascii="Times New Roman" w:hAnsi="Times New Roman"/>
          <w:sz w:val="20"/>
        </w:rPr>
        <w:t>:</w:t>
      </w:r>
    </w:p>
    <w:p>
      <w:pPr>
        <w:pStyle w:val="TextBody"/>
        <w:bidi w:val="0"/>
        <w:spacing w:before="0" w:after="0"/>
        <w:ind w:left="160" w:right="0" w:firstLine="540"/>
        <w:jc w:val="left"/>
        <w:rPr>
          <w:caps w:val="false"/>
          <w:smallCaps w:val="false"/>
        </w:rPr>
      </w:pPr>
      <w:r>
        <w:rPr>
          <w:caps w:val="false"/>
          <w:smallCaps w:val="false"/>
        </w:rPr>
        <w:t> </w:t>
      </w:r>
    </w:p>
    <w:tbl>
      <w:tblPr>
        <w:tblW w:w="7381" w:type="dxa"/>
        <w:jc w:val="left"/>
        <w:tblInd w:w="0" w:type="dxa"/>
        <w:tblLayout w:type="fixed"/>
        <w:tblCellMar>
          <w:top w:w="0" w:type="dxa"/>
          <w:left w:w="0" w:type="dxa"/>
          <w:bottom w:w="0" w:type="dxa"/>
          <w:right w:w="0" w:type="dxa"/>
        </w:tblCellMar>
      </w:tblPr>
      <w:tblGrid>
        <w:gridCol w:w="2735"/>
        <w:gridCol w:w="60"/>
        <w:gridCol w:w="91"/>
        <w:gridCol w:w="840"/>
        <w:gridCol w:w="83"/>
        <w:gridCol w:w="62"/>
        <w:gridCol w:w="225"/>
        <w:gridCol w:w="1067"/>
        <w:gridCol w:w="62"/>
        <w:gridCol w:w="62"/>
        <w:gridCol w:w="200"/>
        <w:gridCol w:w="778"/>
        <w:gridCol w:w="62"/>
        <w:gridCol w:w="62"/>
        <w:gridCol w:w="141"/>
        <w:gridCol w:w="791"/>
        <w:gridCol w:w="60"/>
      </w:tblGrid>
      <w:tr>
        <w:tc>
          <w:tcPr>
            <w:tcW w:w="273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91" w:type="dxa"/>
            <w:tcBorders/>
            <w:shd w:fill="FFFFFF" w:val="clear"/>
            <w:vAlign w:val="center"/>
          </w:tcPr>
          <w:p>
            <w:pPr>
              <w:pStyle w:val="TableContents"/>
              <w:bidi w:val="0"/>
              <w:spacing w:before="0" w:after="283"/>
              <w:jc w:val="left"/>
            </w:pPr>
            <w:r>
              <w:t> </w:t>
            </w:r>
          </w:p>
        </w:tc>
        <w:tc>
          <w:tcPr>
            <w:tcW w:w="840" w:type="dxa"/>
            <w:tcBorders/>
            <w:shd w:fill="FFFFFF" w:val="clear"/>
            <w:vAlign w:val="center"/>
          </w:tcPr>
          <w:p>
            <w:pPr>
              <w:pStyle w:val="TableContents"/>
              <w:bidi w:val="0"/>
              <w:spacing w:before="0" w:after="283"/>
              <w:jc w:val="right"/>
            </w:pPr>
            <w:r>
              <w:rPr>
                <w:rStyle w:val="Emphasis"/>
              </w:rPr>
              <w:t> </w:t>
            </w:r>
          </w:p>
        </w:tc>
        <w:tc>
          <w:tcPr>
            <w:tcW w:w="83" w:type="dxa"/>
            <w:tcBorders/>
            <w:shd w:fill="FFFFFF" w:val="clear"/>
            <w:vAlign w:val="center"/>
          </w:tcPr>
          <w:p>
            <w:pPr>
              <w:pStyle w:val="TableContents"/>
              <w:bidi w:val="0"/>
              <w:spacing w:before="0" w:after="283"/>
              <w:jc w:val="left"/>
            </w:pPr>
            <w:r>
              <w:t> </w:t>
            </w:r>
          </w:p>
        </w:tc>
        <w:tc>
          <w:tcPr>
            <w:tcW w:w="62" w:type="dxa"/>
            <w:tcBorders/>
            <w:shd w:fill="FFFFFF" w:val="clear"/>
            <w:vAlign w:val="center"/>
          </w:tcPr>
          <w:p>
            <w:pPr>
              <w:pStyle w:val="TableContents"/>
              <w:bidi w:val="0"/>
              <w:spacing w:before="0" w:after="283"/>
              <w:ind w:left="0" w:right="0" w:hanging="0"/>
              <w:jc w:val="right"/>
            </w:pPr>
            <w:r>
              <w:t> </w:t>
            </w:r>
          </w:p>
        </w:tc>
        <w:tc>
          <w:tcPr>
            <w:tcW w:w="1292" w:type="dxa"/>
            <w:gridSpan w:val="2"/>
            <w:tcBorders/>
            <w:shd w:fill="FFFFFF" w:val="clear"/>
            <w:vAlign w:val="center"/>
          </w:tcPr>
          <w:p>
            <w:pPr>
              <w:pStyle w:val="TableContents"/>
              <w:bidi w:val="0"/>
              <w:spacing w:before="0" w:after="0"/>
              <w:jc w:val="center"/>
            </w:pPr>
            <w:r>
              <w:rPr>
                <w:rStyle w:val="Emphasis"/>
                <w:rFonts w:ascii="Times New Roman;Times;serif" w:hAnsi="Times New Roman;Times;serif"/>
                <w:b/>
                <w:sz w:val="20"/>
              </w:rPr>
              <w:t>Weighted</w:t>
            </w:r>
          </w:p>
        </w:tc>
        <w:tc>
          <w:tcPr>
            <w:tcW w:w="62" w:type="dxa"/>
            <w:tcBorders/>
            <w:shd w:fill="FFFFFF" w:val="clear"/>
            <w:vAlign w:val="center"/>
          </w:tcPr>
          <w:p>
            <w:pPr>
              <w:pStyle w:val="TableContents"/>
              <w:bidi w:val="0"/>
              <w:spacing w:before="0" w:after="283"/>
              <w:jc w:val="left"/>
            </w:pPr>
            <w:r>
              <w:t> </w:t>
            </w:r>
          </w:p>
        </w:tc>
        <w:tc>
          <w:tcPr>
            <w:tcW w:w="62" w:type="dxa"/>
            <w:tcBorders/>
            <w:shd w:fill="FFFFFF" w:val="clear"/>
            <w:vAlign w:val="center"/>
          </w:tcPr>
          <w:p>
            <w:pPr>
              <w:pStyle w:val="TableContents"/>
              <w:bidi w:val="0"/>
              <w:spacing w:before="0" w:after="283"/>
              <w:jc w:val="left"/>
            </w:pPr>
            <w:r>
              <w:t> </w:t>
            </w:r>
          </w:p>
        </w:tc>
        <w:tc>
          <w:tcPr>
            <w:tcW w:w="200" w:type="dxa"/>
            <w:tcBorders/>
            <w:shd w:fill="FFFFFF" w:val="clear"/>
            <w:vAlign w:val="center"/>
          </w:tcPr>
          <w:p>
            <w:pPr>
              <w:pStyle w:val="TableContents"/>
              <w:bidi w:val="0"/>
              <w:spacing w:before="0" w:after="283"/>
              <w:jc w:val="left"/>
            </w:pPr>
            <w:r>
              <w:t> </w:t>
            </w:r>
          </w:p>
        </w:tc>
        <w:tc>
          <w:tcPr>
            <w:tcW w:w="778" w:type="dxa"/>
            <w:tcBorders/>
            <w:shd w:fill="FFFFFF" w:val="clear"/>
            <w:vAlign w:val="center"/>
          </w:tcPr>
          <w:p>
            <w:pPr>
              <w:pStyle w:val="TableContents"/>
              <w:bidi w:val="0"/>
              <w:spacing w:before="0" w:after="283"/>
              <w:jc w:val="right"/>
            </w:pPr>
            <w:r>
              <w:rPr>
                <w:rStyle w:val="Emphasis"/>
              </w:rPr>
              <w:t> </w:t>
            </w:r>
          </w:p>
        </w:tc>
        <w:tc>
          <w:tcPr>
            <w:tcW w:w="62" w:type="dxa"/>
            <w:tcBorders/>
            <w:shd w:fill="FFFFFF" w:val="clear"/>
            <w:vAlign w:val="center"/>
          </w:tcPr>
          <w:p>
            <w:pPr>
              <w:pStyle w:val="TableContents"/>
              <w:bidi w:val="0"/>
              <w:spacing w:before="0" w:after="283"/>
              <w:jc w:val="left"/>
            </w:pPr>
            <w:r>
              <w:t> </w:t>
            </w:r>
          </w:p>
        </w:tc>
        <w:tc>
          <w:tcPr>
            <w:tcW w:w="62" w:type="dxa"/>
            <w:tcBorders/>
            <w:shd w:fill="FFFFFF" w:val="clear"/>
            <w:vAlign w:val="center"/>
          </w:tcPr>
          <w:p>
            <w:pPr>
              <w:pStyle w:val="TableContents"/>
              <w:bidi w:val="0"/>
              <w:spacing w:before="0" w:after="283"/>
              <w:jc w:val="left"/>
            </w:pPr>
            <w:r>
              <w:t> </w:t>
            </w:r>
          </w:p>
        </w:tc>
        <w:tc>
          <w:tcPr>
            <w:tcW w:w="141" w:type="dxa"/>
            <w:tcBorders/>
            <w:shd w:fill="FFFFFF" w:val="clear"/>
            <w:vAlign w:val="center"/>
          </w:tcPr>
          <w:p>
            <w:pPr>
              <w:pStyle w:val="TableContents"/>
              <w:bidi w:val="0"/>
              <w:spacing w:before="0" w:after="283"/>
              <w:jc w:val="left"/>
            </w:pPr>
            <w:r>
              <w:t> </w:t>
            </w:r>
          </w:p>
        </w:tc>
        <w:tc>
          <w:tcPr>
            <w:tcW w:w="791" w:type="dxa"/>
            <w:tcBorders/>
            <w:shd w:fill="FFFFFF" w:val="clear"/>
            <w:vAlign w:val="center"/>
          </w:tcPr>
          <w:p>
            <w:pPr>
              <w:pStyle w:val="TableContents"/>
              <w:bidi w:val="0"/>
              <w:spacing w:before="0" w:after="283"/>
              <w:jc w:val="right"/>
            </w:pPr>
            <w:r>
              <w:rPr>
                <w:rStyle w:val="Emphasis"/>
              </w:rPr>
              <w:t> </w:t>
            </w:r>
          </w:p>
        </w:tc>
        <w:tc>
          <w:tcPr>
            <w:tcW w:w="60" w:type="dxa"/>
            <w:tcBorders/>
            <w:shd w:fill="FFFFFF" w:val="clear"/>
            <w:vAlign w:val="center"/>
          </w:tcPr>
          <w:p>
            <w:pPr>
              <w:pStyle w:val="TableContents"/>
              <w:bidi w:val="0"/>
              <w:spacing w:before="0" w:after="283"/>
              <w:jc w:val="left"/>
            </w:pPr>
            <w:r>
              <w:t> </w:t>
            </w:r>
          </w:p>
        </w:tc>
      </w:tr>
      <w:tr>
        <w:tc>
          <w:tcPr>
            <w:tcW w:w="273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931" w:type="dxa"/>
            <w:gridSpan w:val="2"/>
            <w:tcBorders/>
            <w:shd w:fill="FFFFFF" w:val="clear"/>
            <w:vAlign w:val="center"/>
          </w:tcPr>
          <w:p>
            <w:pPr>
              <w:pStyle w:val="TableContents"/>
              <w:bidi w:val="0"/>
              <w:spacing w:before="0" w:after="283"/>
              <w:jc w:val="left"/>
            </w:pPr>
            <w:r>
              <w:rPr>
                <w:rStyle w:val="Emphasis"/>
              </w:rPr>
              <w:t> </w:t>
            </w:r>
          </w:p>
        </w:tc>
        <w:tc>
          <w:tcPr>
            <w:tcW w:w="83" w:type="dxa"/>
            <w:tcBorders/>
            <w:shd w:fill="FFFFFF" w:val="clear"/>
            <w:vAlign w:val="center"/>
          </w:tcPr>
          <w:p>
            <w:pPr>
              <w:pStyle w:val="TableContents"/>
              <w:bidi w:val="0"/>
              <w:spacing w:before="0" w:after="283"/>
              <w:jc w:val="left"/>
            </w:pPr>
            <w:r>
              <w:t> </w:t>
            </w:r>
          </w:p>
        </w:tc>
        <w:tc>
          <w:tcPr>
            <w:tcW w:w="62" w:type="dxa"/>
            <w:tcBorders/>
            <w:shd w:fill="FFFFFF" w:val="clear"/>
            <w:vAlign w:val="center"/>
          </w:tcPr>
          <w:p>
            <w:pPr>
              <w:pStyle w:val="TableContents"/>
              <w:bidi w:val="0"/>
              <w:spacing w:before="0" w:after="283"/>
              <w:ind w:left="0" w:right="0" w:hanging="0"/>
              <w:jc w:val="left"/>
            </w:pPr>
            <w:r>
              <w:t> </w:t>
            </w:r>
          </w:p>
        </w:tc>
        <w:tc>
          <w:tcPr>
            <w:tcW w:w="1292"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Average Share</w:t>
            </w:r>
          </w:p>
        </w:tc>
        <w:tc>
          <w:tcPr>
            <w:tcW w:w="62" w:type="dxa"/>
            <w:tcBorders/>
            <w:shd w:fill="FFFFFF" w:val="clear"/>
            <w:vAlign w:val="center"/>
          </w:tcPr>
          <w:p>
            <w:pPr>
              <w:pStyle w:val="TableContents"/>
              <w:bidi w:val="0"/>
              <w:spacing w:before="0" w:after="283"/>
              <w:jc w:val="left"/>
            </w:pPr>
            <w:r>
              <w:t> </w:t>
            </w:r>
          </w:p>
        </w:tc>
        <w:tc>
          <w:tcPr>
            <w:tcW w:w="62" w:type="dxa"/>
            <w:tcBorders/>
            <w:shd w:fill="FFFFFF" w:val="clear"/>
            <w:vAlign w:val="center"/>
          </w:tcPr>
          <w:p>
            <w:pPr>
              <w:pStyle w:val="TableContents"/>
              <w:bidi w:val="0"/>
              <w:spacing w:before="0" w:after="283"/>
              <w:ind w:left="0" w:right="0" w:hanging="0"/>
              <w:jc w:val="left"/>
            </w:pPr>
            <w:r>
              <w:t> </w:t>
            </w:r>
          </w:p>
        </w:tc>
        <w:tc>
          <w:tcPr>
            <w:tcW w:w="978"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Weighted</w:t>
            </w:r>
          </w:p>
        </w:tc>
        <w:tc>
          <w:tcPr>
            <w:tcW w:w="62" w:type="dxa"/>
            <w:tcBorders/>
            <w:shd w:fill="FFFFFF" w:val="clear"/>
            <w:vAlign w:val="center"/>
          </w:tcPr>
          <w:p>
            <w:pPr>
              <w:pStyle w:val="TableContents"/>
              <w:bidi w:val="0"/>
              <w:spacing w:before="0" w:after="283"/>
              <w:jc w:val="left"/>
            </w:pPr>
            <w:r>
              <w:t> </w:t>
            </w:r>
          </w:p>
        </w:tc>
        <w:tc>
          <w:tcPr>
            <w:tcW w:w="62" w:type="dxa"/>
            <w:tcBorders/>
            <w:shd w:fill="FFFFFF" w:val="clear"/>
            <w:vAlign w:val="center"/>
          </w:tcPr>
          <w:p>
            <w:pPr>
              <w:pStyle w:val="TableContents"/>
              <w:bidi w:val="0"/>
              <w:spacing w:before="0" w:after="283"/>
              <w:ind w:left="0" w:right="0" w:hanging="0"/>
              <w:jc w:val="left"/>
            </w:pPr>
            <w:r>
              <w:t> </w:t>
            </w:r>
          </w:p>
        </w:tc>
        <w:tc>
          <w:tcPr>
            <w:tcW w:w="932"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Aggregate</w:t>
            </w:r>
          </w:p>
        </w:tc>
        <w:tc>
          <w:tcPr>
            <w:tcW w:w="60" w:type="dxa"/>
            <w:tcBorders/>
            <w:shd w:fill="FFFFFF" w:val="clear"/>
            <w:vAlign w:val="center"/>
          </w:tcPr>
          <w:p>
            <w:pPr>
              <w:pStyle w:val="TableContents"/>
              <w:bidi w:val="0"/>
              <w:spacing w:before="0" w:after="283"/>
              <w:jc w:val="left"/>
            </w:pPr>
            <w:r>
              <w:t> </w:t>
            </w:r>
          </w:p>
        </w:tc>
      </w:tr>
      <w:tr>
        <w:tc>
          <w:tcPr>
            <w:tcW w:w="273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931"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Number of</w:t>
            </w:r>
          </w:p>
        </w:tc>
        <w:tc>
          <w:tcPr>
            <w:tcW w:w="83" w:type="dxa"/>
            <w:tcBorders/>
            <w:shd w:fill="FFFFFF" w:val="clear"/>
            <w:vAlign w:val="center"/>
          </w:tcPr>
          <w:p>
            <w:pPr>
              <w:pStyle w:val="TableContents"/>
              <w:bidi w:val="0"/>
              <w:spacing w:before="0" w:after="283"/>
              <w:jc w:val="left"/>
            </w:pPr>
            <w:r>
              <w:t> </w:t>
            </w:r>
          </w:p>
        </w:tc>
        <w:tc>
          <w:tcPr>
            <w:tcW w:w="62" w:type="dxa"/>
            <w:tcBorders/>
            <w:shd w:fill="FFFFFF" w:val="clear"/>
            <w:vAlign w:val="center"/>
          </w:tcPr>
          <w:p>
            <w:pPr>
              <w:pStyle w:val="TableContents"/>
              <w:bidi w:val="0"/>
              <w:spacing w:before="0" w:after="283"/>
              <w:ind w:left="0" w:right="0" w:hanging="0"/>
              <w:jc w:val="left"/>
            </w:pPr>
            <w:r>
              <w:t> </w:t>
            </w:r>
          </w:p>
        </w:tc>
        <w:tc>
          <w:tcPr>
            <w:tcW w:w="1292"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Price on Date</w:t>
            </w:r>
          </w:p>
        </w:tc>
        <w:tc>
          <w:tcPr>
            <w:tcW w:w="62" w:type="dxa"/>
            <w:tcBorders/>
            <w:shd w:fill="FFFFFF" w:val="clear"/>
            <w:vAlign w:val="center"/>
          </w:tcPr>
          <w:p>
            <w:pPr>
              <w:pStyle w:val="TableContents"/>
              <w:bidi w:val="0"/>
              <w:spacing w:before="0" w:after="283"/>
              <w:jc w:val="left"/>
            </w:pPr>
            <w:r>
              <w:t> </w:t>
            </w:r>
          </w:p>
        </w:tc>
        <w:tc>
          <w:tcPr>
            <w:tcW w:w="62" w:type="dxa"/>
            <w:tcBorders/>
            <w:shd w:fill="FFFFFF" w:val="clear"/>
            <w:vAlign w:val="center"/>
          </w:tcPr>
          <w:p>
            <w:pPr>
              <w:pStyle w:val="TableContents"/>
              <w:bidi w:val="0"/>
              <w:spacing w:before="0" w:after="283"/>
              <w:ind w:left="0" w:right="0" w:hanging="0"/>
              <w:jc w:val="left"/>
            </w:pPr>
            <w:r>
              <w:t> </w:t>
            </w:r>
          </w:p>
        </w:tc>
        <w:tc>
          <w:tcPr>
            <w:tcW w:w="978"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Average</w:t>
            </w:r>
          </w:p>
        </w:tc>
        <w:tc>
          <w:tcPr>
            <w:tcW w:w="62" w:type="dxa"/>
            <w:tcBorders/>
            <w:shd w:fill="FFFFFF" w:val="clear"/>
            <w:vAlign w:val="center"/>
          </w:tcPr>
          <w:p>
            <w:pPr>
              <w:pStyle w:val="TableContents"/>
              <w:bidi w:val="0"/>
              <w:spacing w:before="0" w:after="283"/>
              <w:jc w:val="left"/>
            </w:pPr>
            <w:r>
              <w:t> </w:t>
            </w:r>
          </w:p>
        </w:tc>
        <w:tc>
          <w:tcPr>
            <w:tcW w:w="62" w:type="dxa"/>
            <w:tcBorders/>
            <w:shd w:fill="FFFFFF" w:val="clear"/>
            <w:vAlign w:val="center"/>
          </w:tcPr>
          <w:p>
            <w:pPr>
              <w:pStyle w:val="TableContents"/>
              <w:bidi w:val="0"/>
              <w:spacing w:before="0" w:after="283"/>
              <w:ind w:left="0" w:right="0" w:hanging="0"/>
              <w:jc w:val="left"/>
            </w:pPr>
            <w:r>
              <w:t> </w:t>
            </w:r>
          </w:p>
        </w:tc>
        <w:tc>
          <w:tcPr>
            <w:tcW w:w="932"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Intrinsic</w:t>
            </w:r>
          </w:p>
        </w:tc>
        <w:tc>
          <w:tcPr>
            <w:tcW w:w="60" w:type="dxa"/>
            <w:tcBorders/>
            <w:shd w:fill="FFFFFF" w:val="clear"/>
            <w:vAlign w:val="center"/>
          </w:tcPr>
          <w:p>
            <w:pPr>
              <w:pStyle w:val="TableContents"/>
              <w:bidi w:val="0"/>
              <w:spacing w:before="0" w:after="283"/>
              <w:jc w:val="left"/>
            </w:pPr>
            <w:r>
              <w:t> </w:t>
            </w:r>
          </w:p>
        </w:tc>
      </w:tr>
      <w:tr>
        <w:tc>
          <w:tcPr>
            <w:tcW w:w="273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93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shares</w:t>
            </w:r>
          </w:p>
        </w:tc>
        <w:tc>
          <w:tcPr>
            <w:tcW w:w="83" w:type="dxa"/>
            <w:tcBorders/>
            <w:shd w:fill="FFFFFF" w:val="clear"/>
            <w:vAlign w:val="center"/>
          </w:tcPr>
          <w:p>
            <w:pPr>
              <w:pStyle w:val="TableContents"/>
              <w:bidi w:val="0"/>
              <w:spacing w:before="0" w:after="283"/>
              <w:jc w:val="left"/>
            </w:pPr>
            <w:r>
              <w:t> </w:t>
            </w:r>
          </w:p>
        </w:tc>
        <w:tc>
          <w:tcPr>
            <w:tcW w:w="62" w:type="dxa"/>
            <w:tcBorders/>
            <w:shd w:fill="FFFFFF" w:val="clear"/>
            <w:vAlign w:val="center"/>
          </w:tcPr>
          <w:p>
            <w:pPr>
              <w:pStyle w:val="TableContents"/>
              <w:bidi w:val="0"/>
              <w:spacing w:before="0" w:after="283"/>
              <w:ind w:left="0" w:right="0" w:hanging="0"/>
              <w:jc w:val="left"/>
            </w:pPr>
            <w:r>
              <w:t> </w:t>
            </w:r>
          </w:p>
        </w:tc>
        <w:tc>
          <w:tcPr>
            <w:tcW w:w="129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of Release</w:t>
            </w:r>
          </w:p>
        </w:tc>
        <w:tc>
          <w:tcPr>
            <w:tcW w:w="62" w:type="dxa"/>
            <w:tcBorders/>
            <w:shd w:fill="FFFFFF" w:val="clear"/>
            <w:vAlign w:val="center"/>
          </w:tcPr>
          <w:p>
            <w:pPr>
              <w:pStyle w:val="TableContents"/>
              <w:bidi w:val="0"/>
              <w:spacing w:before="0" w:after="283"/>
              <w:jc w:val="left"/>
            </w:pPr>
            <w:r>
              <w:t> </w:t>
            </w:r>
          </w:p>
        </w:tc>
        <w:tc>
          <w:tcPr>
            <w:tcW w:w="62" w:type="dxa"/>
            <w:tcBorders/>
            <w:shd w:fill="FFFFFF" w:val="clear"/>
            <w:vAlign w:val="center"/>
          </w:tcPr>
          <w:p>
            <w:pPr>
              <w:pStyle w:val="TableContents"/>
              <w:bidi w:val="0"/>
              <w:spacing w:before="0" w:after="283"/>
              <w:ind w:left="0" w:right="0" w:hanging="0"/>
              <w:jc w:val="left"/>
            </w:pPr>
            <w:r>
              <w:t> </w:t>
            </w:r>
          </w:p>
        </w:tc>
        <w:tc>
          <w:tcPr>
            <w:tcW w:w="97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Fair Value</w:t>
            </w:r>
          </w:p>
        </w:tc>
        <w:tc>
          <w:tcPr>
            <w:tcW w:w="62" w:type="dxa"/>
            <w:tcBorders/>
            <w:shd w:fill="FFFFFF" w:val="clear"/>
            <w:vAlign w:val="center"/>
          </w:tcPr>
          <w:p>
            <w:pPr>
              <w:pStyle w:val="TableContents"/>
              <w:bidi w:val="0"/>
              <w:spacing w:before="0" w:after="283"/>
              <w:jc w:val="left"/>
            </w:pPr>
            <w:r>
              <w:t> </w:t>
            </w:r>
          </w:p>
        </w:tc>
        <w:tc>
          <w:tcPr>
            <w:tcW w:w="62" w:type="dxa"/>
            <w:tcBorders/>
            <w:shd w:fill="FFFFFF" w:val="clear"/>
            <w:vAlign w:val="center"/>
          </w:tcPr>
          <w:p>
            <w:pPr>
              <w:pStyle w:val="TableContents"/>
              <w:bidi w:val="0"/>
              <w:spacing w:before="0" w:after="283"/>
              <w:ind w:left="0" w:right="0" w:hanging="0"/>
              <w:jc w:val="left"/>
            </w:pPr>
            <w:r>
              <w:t> </w:t>
            </w:r>
          </w:p>
        </w:tc>
        <w:tc>
          <w:tcPr>
            <w:tcW w:w="93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Value</w:t>
            </w:r>
          </w:p>
        </w:tc>
        <w:tc>
          <w:tcPr>
            <w:tcW w:w="60" w:type="dxa"/>
            <w:tcBorders/>
            <w:shd w:fill="FFFFFF" w:val="clear"/>
            <w:vAlign w:val="center"/>
          </w:tcPr>
          <w:p>
            <w:pPr>
              <w:pStyle w:val="TableContents"/>
              <w:bidi w:val="0"/>
              <w:spacing w:before="0" w:after="283"/>
              <w:jc w:val="left"/>
            </w:pPr>
            <w:r>
              <w:t> </w:t>
            </w:r>
          </w:p>
        </w:tc>
      </w:tr>
      <w:tr>
        <w:tc>
          <w:tcPr>
            <w:tcW w:w="273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4526" w:type="dxa"/>
            <w:gridSpan w:val="14"/>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 except price data and Contractual Life)</w:t>
            </w:r>
          </w:p>
        </w:tc>
        <w:tc>
          <w:tcPr>
            <w:tcW w:w="60" w:type="dxa"/>
            <w:tcBorders/>
            <w:shd w:fill="FFFFFF" w:val="clear"/>
            <w:vAlign w:val="center"/>
          </w:tcPr>
          <w:p>
            <w:pPr>
              <w:pStyle w:val="TableContents"/>
              <w:bidi w:val="0"/>
              <w:spacing w:before="0" w:after="283"/>
              <w:jc w:val="left"/>
            </w:pPr>
            <w:r>
              <w:t> </w:t>
            </w:r>
          </w:p>
        </w:tc>
      </w:tr>
      <w:tr>
        <w:tc>
          <w:tcPr>
            <w:tcW w:w="27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at January 1, 2026</w:t>
            </w:r>
          </w:p>
        </w:tc>
        <w:tc>
          <w:tcPr>
            <w:tcW w:w="60" w:type="dxa"/>
            <w:tcBorders/>
            <w:shd w:fill="CCEEFF" w:val="clear"/>
            <w:vAlign w:val="center"/>
          </w:tcPr>
          <w:p>
            <w:pPr>
              <w:pStyle w:val="TableContents"/>
              <w:bidi w:val="0"/>
              <w:spacing w:before="0" w:after="283"/>
              <w:jc w:val="left"/>
            </w:pPr>
            <w:r>
              <w:t> </w:t>
            </w:r>
          </w:p>
        </w:tc>
        <w:tc>
          <w:tcPr>
            <w:tcW w:w="91" w:type="dxa"/>
            <w:tcBorders/>
            <w:shd w:fill="CCEEFF" w:val="clear"/>
            <w:vAlign w:val="center"/>
          </w:tcPr>
          <w:p>
            <w:pPr>
              <w:pStyle w:val="TableContents"/>
              <w:bidi w:val="0"/>
              <w:spacing w:before="0" w:after="283"/>
              <w:ind w:left="0" w:right="0" w:hanging="0"/>
              <w:jc w:val="left"/>
            </w:pPr>
            <w:r>
              <w:t> </w:t>
            </w:r>
          </w:p>
        </w:tc>
        <w:tc>
          <w:tcPr>
            <w:tcW w:w="8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1,189</w:t>
            </w:r>
          </w:p>
        </w:tc>
        <w:tc>
          <w:tcPr>
            <w:tcW w:w="83" w:type="dxa"/>
            <w:tcBorders/>
            <w:shd w:fill="CCEEFF" w:val="clear"/>
            <w:vAlign w:val="center"/>
          </w:tcPr>
          <w:p>
            <w:pPr>
              <w:pStyle w:val="TableContents"/>
              <w:bidi w:val="0"/>
              <w:spacing w:before="0" w:after="283"/>
              <w:jc w:val="right"/>
            </w:pPr>
            <w:r>
              <w:t> </w:t>
            </w:r>
          </w:p>
        </w:tc>
        <w:tc>
          <w:tcPr>
            <w:tcW w:w="62" w:type="dxa"/>
            <w:tcBorders/>
            <w:shd w:fill="CCEEFF" w:val="clear"/>
            <w:vAlign w:val="center"/>
          </w:tcPr>
          <w:p>
            <w:pPr>
              <w:pStyle w:val="TableContents"/>
              <w:bidi w:val="0"/>
              <w:spacing w:before="0" w:after="283"/>
              <w:jc w:val="right"/>
            </w:pPr>
            <w:r>
              <w:t> </w:t>
            </w:r>
          </w:p>
        </w:tc>
        <w:tc>
          <w:tcPr>
            <w:tcW w:w="225" w:type="dxa"/>
            <w:tcBorders/>
            <w:shd w:fill="CCEEFF" w:val="clear"/>
            <w:vAlign w:val="center"/>
          </w:tcPr>
          <w:p>
            <w:pPr>
              <w:pStyle w:val="TableContents"/>
              <w:bidi w:val="0"/>
              <w:spacing w:before="0" w:after="283"/>
              <w:ind w:left="0" w:right="0" w:hanging="0"/>
              <w:jc w:val="right"/>
            </w:pPr>
            <w:r>
              <w:t> </w:t>
            </w:r>
          </w:p>
        </w:tc>
        <w:tc>
          <w:tcPr>
            <w:tcW w:w="1067" w:type="dxa"/>
            <w:tcBorders/>
            <w:shd w:fill="CCEEFF" w:val="clear"/>
            <w:vAlign w:val="center"/>
          </w:tcPr>
          <w:p>
            <w:pPr>
              <w:pStyle w:val="TableContents"/>
              <w:bidi w:val="0"/>
              <w:spacing w:before="0" w:after="283"/>
              <w:ind w:left="0" w:right="0" w:hanging="0"/>
              <w:jc w:val="right"/>
            </w:pPr>
            <w:r>
              <w:rPr>
                <w:rStyle w:val="Emphasis"/>
              </w:rPr>
              <w:t>—</w:t>
            </w:r>
          </w:p>
        </w:tc>
        <w:tc>
          <w:tcPr>
            <w:tcW w:w="62" w:type="dxa"/>
            <w:tcBorders/>
            <w:shd w:fill="CCEEFF" w:val="clear"/>
            <w:vAlign w:val="center"/>
          </w:tcPr>
          <w:p>
            <w:pPr>
              <w:pStyle w:val="TableContents"/>
              <w:bidi w:val="0"/>
              <w:spacing w:before="0" w:after="283"/>
              <w:jc w:val="left"/>
            </w:pPr>
            <w:r>
              <w:t> </w:t>
            </w:r>
          </w:p>
        </w:tc>
        <w:tc>
          <w:tcPr>
            <w:tcW w:w="62" w:type="dxa"/>
            <w:tcBorders/>
            <w:shd w:fill="CCEEFF" w:val="clear"/>
            <w:vAlign w:val="center"/>
          </w:tcPr>
          <w:p>
            <w:pPr>
              <w:pStyle w:val="TableContents"/>
              <w:bidi w:val="0"/>
              <w:spacing w:before="0" w:after="283"/>
              <w:ind w:left="0" w:right="0" w:hanging="0"/>
              <w:jc w:val="left"/>
            </w:pPr>
            <w:r>
              <w:t> </w:t>
            </w:r>
          </w:p>
        </w:tc>
        <w:tc>
          <w:tcPr>
            <w:tcW w:w="20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11.55</w:t>
            </w:r>
          </w:p>
        </w:tc>
        <w:tc>
          <w:tcPr>
            <w:tcW w:w="62" w:type="dxa"/>
            <w:tcBorders/>
            <w:shd w:fill="CCEEFF" w:val="clear"/>
            <w:vAlign w:val="center"/>
          </w:tcPr>
          <w:p>
            <w:pPr>
              <w:pStyle w:val="TableContents"/>
              <w:bidi w:val="0"/>
              <w:spacing w:before="0" w:after="283"/>
              <w:jc w:val="left"/>
            </w:pPr>
            <w:r>
              <w:t> </w:t>
            </w:r>
          </w:p>
        </w:tc>
        <w:tc>
          <w:tcPr>
            <w:tcW w:w="62" w:type="dxa"/>
            <w:tcBorders/>
            <w:shd w:fill="CCEEFF" w:val="clear"/>
            <w:vAlign w:val="center"/>
          </w:tcPr>
          <w:p>
            <w:pPr>
              <w:pStyle w:val="TableContents"/>
              <w:bidi w:val="0"/>
              <w:spacing w:before="0" w:after="283"/>
              <w:ind w:left="0" w:right="0" w:hanging="0"/>
              <w:jc w:val="left"/>
            </w:pPr>
            <w:r>
              <w:t> </w:t>
            </w:r>
          </w:p>
        </w:tc>
        <w:tc>
          <w:tcPr>
            <w:tcW w:w="14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41,442</w:t>
            </w:r>
          </w:p>
        </w:tc>
        <w:tc>
          <w:tcPr>
            <w:tcW w:w="60" w:type="dxa"/>
            <w:tcBorders/>
            <w:shd w:fill="CCEEFF" w:val="clear"/>
            <w:vAlign w:val="center"/>
          </w:tcPr>
          <w:p>
            <w:pPr>
              <w:pStyle w:val="TableContents"/>
              <w:bidi w:val="0"/>
              <w:spacing w:before="0" w:after="283"/>
              <w:jc w:val="left"/>
            </w:pPr>
            <w:r>
              <w:t> </w:t>
            </w:r>
          </w:p>
        </w:tc>
      </w:tr>
      <w:tr>
        <w:tc>
          <w:tcPr>
            <w:tcW w:w="27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Granted</w:t>
            </w:r>
          </w:p>
        </w:tc>
        <w:tc>
          <w:tcPr>
            <w:tcW w:w="60" w:type="dxa"/>
            <w:tcBorders/>
            <w:shd w:fill="FFFFFF" w:val="clear"/>
            <w:vAlign w:val="center"/>
          </w:tcPr>
          <w:p>
            <w:pPr>
              <w:pStyle w:val="TableContents"/>
              <w:bidi w:val="0"/>
              <w:spacing w:before="0" w:after="283"/>
              <w:jc w:val="left"/>
            </w:pPr>
            <w:r>
              <w:t> </w:t>
            </w:r>
          </w:p>
        </w:tc>
        <w:tc>
          <w:tcPr>
            <w:tcW w:w="91" w:type="dxa"/>
            <w:tcBorders/>
            <w:shd w:fill="FFFFFF" w:val="clear"/>
            <w:vAlign w:val="center"/>
          </w:tcPr>
          <w:p>
            <w:pPr>
              <w:pStyle w:val="TableContents"/>
              <w:bidi w:val="0"/>
              <w:spacing w:before="0" w:after="283"/>
              <w:ind w:left="0" w:right="0" w:hanging="0"/>
              <w:jc w:val="left"/>
            </w:pPr>
            <w:r>
              <w:t> </w:t>
            </w:r>
          </w:p>
        </w:tc>
        <w:tc>
          <w:tcPr>
            <w:tcW w:w="8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974</w:t>
            </w:r>
          </w:p>
        </w:tc>
        <w:tc>
          <w:tcPr>
            <w:tcW w:w="83" w:type="dxa"/>
            <w:tcBorders/>
            <w:shd w:fill="FFFFFF" w:val="clear"/>
            <w:vAlign w:val="center"/>
          </w:tcPr>
          <w:p>
            <w:pPr>
              <w:pStyle w:val="TableContents"/>
              <w:bidi w:val="0"/>
              <w:spacing w:before="0" w:after="283"/>
              <w:jc w:val="right"/>
            </w:pPr>
            <w:r>
              <w:t> </w:t>
            </w:r>
          </w:p>
        </w:tc>
        <w:tc>
          <w:tcPr>
            <w:tcW w:w="62" w:type="dxa"/>
            <w:tcBorders/>
            <w:shd w:fill="FFFFFF" w:val="clear"/>
            <w:vAlign w:val="center"/>
          </w:tcPr>
          <w:p>
            <w:pPr>
              <w:pStyle w:val="TableContents"/>
              <w:bidi w:val="0"/>
              <w:spacing w:before="0" w:after="283"/>
              <w:jc w:val="right"/>
            </w:pPr>
            <w:r>
              <w:t> </w:t>
            </w:r>
          </w:p>
        </w:tc>
        <w:tc>
          <w:tcPr>
            <w:tcW w:w="225" w:type="dxa"/>
            <w:tcBorders/>
            <w:shd w:fill="FFFFFF" w:val="clear"/>
            <w:vAlign w:val="center"/>
          </w:tcPr>
          <w:p>
            <w:pPr>
              <w:pStyle w:val="TableContents"/>
              <w:bidi w:val="0"/>
              <w:spacing w:before="0" w:after="283"/>
              <w:ind w:left="0" w:right="0" w:hanging="0"/>
              <w:jc w:val="right"/>
            </w:pPr>
            <w:r>
              <w:t> </w:t>
            </w:r>
          </w:p>
        </w:tc>
        <w:tc>
          <w:tcPr>
            <w:tcW w:w="1067" w:type="dxa"/>
            <w:tcBorders/>
            <w:shd w:fill="FFFFFF" w:val="clear"/>
            <w:vAlign w:val="center"/>
          </w:tcPr>
          <w:p>
            <w:pPr>
              <w:pStyle w:val="TableContents"/>
              <w:bidi w:val="0"/>
              <w:spacing w:before="0" w:after="283"/>
              <w:ind w:left="0" w:right="0" w:hanging="0"/>
              <w:jc w:val="right"/>
            </w:pPr>
            <w:r>
              <w:rPr>
                <w:rStyle w:val="Emphasis"/>
              </w:rPr>
              <w:t>—</w:t>
            </w:r>
          </w:p>
        </w:tc>
        <w:tc>
          <w:tcPr>
            <w:tcW w:w="62" w:type="dxa"/>
            <w:tcBorders/>
            <w:shd w:fill="FFFFFF" w:val="clear"/>
            <w:vAlign w:val="center"/>
          </w:tcPr>
          <w:p>
            <w:pPr>
              <w:pStyle w:val="TableContents"/>
              <w:bidi w:val="0"/>
              <w:spacing w:before="0" w:after="283"/>
              <w:jc w:val="left"/>
            </w:pPr>
            <w:r>
              <w:t> </w:t>
            </w:r>
          </w:p>
        </w:tc>
        <w:tc>
          <w:tcPr>
            <w:tcW w:w="62" w:type="dxa"/>
            <w:tcBorders/>
            <w:shd w:fill="FFFFFF" w:val="clear"/>
            <w:vAlign w:val="center"/>
          </w:tcPr>
          <w:p>
            <w:pPr>
              <w:pStyle w:val="TableContents"/>
              <w:bidi w:val="0"/>
              <w:spacing w:before="0" w:after="283"/>
              <w:jc w:val="left"/>
            </w:pPr>
            <w:r>
              <w:t> </w:t>
            </w:r>
          </w:p>
        </w:tc>
        <w:tc>
          <w:tcPr>
            <w:tcW w:w="200" w:type="dxa"/>
            <w:tcBorders/>
            <w:shd w:fill="FFFFFF" w:val="clear"/>
            <w:vAlign w:val="center"/>
          </w:tcPr>
          <w:p>
            <w:pPr>
              <w:pStyle w:val="TableContents"/>
              <w:bidi w:val="0"/>
              <w:spacing w:before="0" w:after="283"/>
              <w:ind w:left="0" w:right="0" w:hanging="0"/>
              <w:jc w:val="left"/>
            </w:pPr>
            <w:r>
              <w:t> </w:t>
            </w:r>
          </w:p>
        </w:tc>
        <w:tc>
          <w:tcPr>
            <w:tcW w:w="7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28.72</w:t>
            </w:r>
          </w:p>
        </w:tc>
        <w:tc>
          <w:tcPr>
            <w:tcW w:w="62" w:type="dxa"/>
            <w:tcBorders/>
            <w:shd w:fill="FFFFFF" w:val="clear"/>
            <w:vAlign w:val="center"/>
          </w:tcPr>
          <w:p>
            <w:pPr>
              <w:pStyle w:val="TableContents"/>
              <w:bidi w:val="0"/>
              <w:spacing w:before="0" w:after="283"/>
              <w:jc w:val="left"/>
            </w:pPr>
            <w:r>
              <w:t> </w:t>
            </w:r>
          </w:p>
        </w:tc>
        <w:tc>
          <w:tcPr>
            <w:tcW w:w="62" w:type="dxa"/>
            <w:tcBorders/>
            <w:shd w:fill="FFFFFF" w:val="clear"/>
            <w:vAlign w:val="center"/>
          </w:tcPr>
          <w:p>
            <w:pPr>
              <w:pStyle w:val="TableContents"/>
              <w:bidi w:val="0"/>
              <w:spacing w:before="0" w:after="283"/>
              <w:jc w:val="left"/>
            </w:pPr>
            <w:r>
              <w:t> </w:t>
            </w:r>
          </w:p>
        </w:tc>
        <w:tc>
          <w:tcPr>
            <w:tcW w:w="141" w:type="dxa"/>
            <w:tcBorders/>
            <w:shd w:fill="FFFFFF" w:val="clear"/>
            <w:vAlign w:val="center"/>
          </w:tcPr>
          <w:p>
            <w:pPr>
              <w:pStyle w:val="TableContents"/>
              <w:bidi w:val="0"/>
              <w:spacing w:before="0" w:after="283"/>
              <w:ind w:left="0" w:right="0" w:hanging="0"/>
              <w:jc w:val="left"/>
            </w:pPr>
            <w:r>
              <w:t> </w:t>
            </w:r>
          </w:p>
        </w:tc>
        <w:tc>
          <w:tcPr>
            <w:tcW w:w="7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137,709</w:t>
            </w:r>
          </w:p>
        </w:tc>
        <w:tc>
          <w:tcPr>
            <w:tcW w:w="60" w:type="dxa"/>
            <w:tcBorders/>
            <w:shd w:fill="FFFFFF" w:val="clear"/>
            <w:vAlign w:val="center"/>
          </w:tcPr>
          <w:p>
            <w:pPr>
              <w:pStyle w:val="TableContents"/>
              <w:bidi w:val="0"/>
              <w:spacing w:before="0" w:after="283"/>
              <w:jc w:val="left"/>
            </w:pPr>
            <w:r>
              <w:t> </w:t>
            </w:r>
          </w:p>
        </w:tc>
      </w:tr>
      <w:tr>
        <w:tc>
          <w:tcPr>
            <w:tcW w:w="27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Vested</w:t>
            </w:r>
          </w:p>
        </w:tc>
        <w:tc>
          <w:tcPr>
            <w:tcW w:w="60" w:type="dxa"/>
            <w:tcBorders/>
            <w:shd w:fill="CCEEFF" w:val="clear"/>
            <w:vAlign w:val="center"/>
          </w:tcPr>
          <w:p>
            <w:pPr>
              <w:pStyle w:val="TableContents"/>
              <w:bidi w:val="0"/>
              <w:spacing w:before="0" w:after="283"/>
              <w:jc w:val="left"/>
            </w:pPr>
            <w:r>
              <w:t> </w:t>
            </w:r>
          </w:p>
        </w:tc>
        <w:tc>
          <w:tcPr>
            <w:tcW w:w="91" w:type="dxa"/>
            <w:tcBorders/>
            <w:shd w:fill="CCEEFF" w:val="clear"/>
            <w:vAlign w:val="center"/>
          </w:tcPr>
          <w:p>
            <w:pPr>
              <w:pStyle w:val="TableContents"/>
              <w:bidi w:val="0"/>
              <w:spacing w:before="0" w:after="283"/>
              <w:ind w:left="0" w:right="0" w:hanging="0"/>
              <w:jc w:val="left"/>
            </w:pPr>
            <w:r>
              <w:t> </w:t>
            </w:r>
          </w:p>
        </w:tc>
        <w:tc>
          <w:tcPr>
            <w:tcW w:w="8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(1,534</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 w:type="dxa"/>
            <w:tcBorders/>
            <w:shd w:fill="CCEEFF" w:val="clear"/>
            <w:vAlign w:val="center"/>
          </w:tcPr>
          <w:p>
            <w:pPr>
              <w:pStyle w:val="TableContents"/>
              <w:bidi w:val="0"/>
              <w:spacing w:before="0" w:after="283"/>
              <w:jc w:val="right"/>
            </w:pPr>
            <w:r>
              <w:t> </w:t>
            </w:r>
          </w:p>
        </w:tc>
        <w:tc>
          <w:tcPr>
            <w:tcW w:w="2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0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181.57</w:t>
            </w:r>
          </w:p>
        </w:tc>
        <w:tc>
          <w:tcPr>
            <w:tcW w:w="62" w:type="dxa"/>
            <w:tcBorders/>
            <w:shd w:fill="CCEEFF" w:val="clear"/>
            <w:vAlign w:val="center"/>
          </w:tcPr>
          <w:p>
            <w:pPr>
              <w:pStyle w:val="TableContents"/>
              <w:bidi w:val="0"/>
              <w:spacing w:before="0" w:after="283"/>
              <w:jc w:val="left"/>
            </w:pPr>
            <w:r>
              <w:t> </w:t>
            </w:r>
          </w:p>
        </w:tc>
        <w:tc>
          <w:tcPr>
            <w:tcW w:w="62" w:type="dxa"/>
            <w:tcBorders/>
            <w:shd w:fill="CCEEFF" w:val="clear"/>
            <w:vAlign w:val="center"/>
          </w:tcPr>
          <w:p>
            <w:pPr>
              <w:pStyle w:val="TableContents"/>
              <w:bidi w:val="0"/>
              <w:spacing w:before="0" w:after="283"/>
              <w:jc w:val="left"/>
            </w:pPr>
            <w:r>
              <w:t> </w:t>
            </w:r>
          </w:p>
        </w:tc>
        <w:tc>
          <w:tcPr>
            <w:tcW w:w="200" w:type="dxa"/>
            <w:tcBorders/>
            <w:shd w:fill="CCEEFF" w:val="clear"/>
            <w:vAlign w:val="center"/>
          </w:tcPr>
          <w:p>
            <w:pPr>
              <w:pStyle w:val="TableContents"/>
              <w:bidi w:val="0"/>
              <w:spacing w:before="0" w:after="283"/>
              <w:ind w:left="0" w:right="0" w:hanging="0"/>
              <w:jc w:val="left"/>
            </w:pPr>
            <w:r>
              <w:t> </w:t>
            </w:r>
          </w:p>
        </w:tc>
        <w:tc>
          <w:tcPr>
            <w:tcW w:w="7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8.89</w:t>
            </w:r>
          </w:p>
        </w:tc>
        <w:tc>
          <w:tcPr>
            <w:tcW w:w="62" w:type="dxa"/>
            <w:tcBorders/>
            <w:shd w:fill="CCEEFF" w:val="clear"/>
            <w:vAlign w:val="center"/>
          </w:tcPr>
          <w:p>
            <w:pPr>
              <w:pStyle w:val="TableContents"/>
              <w:bidi w:val="0"/>
              <w:spacing w:before="0" w:after="283"/>
              <w:jc w:val="left"/>
            </w:pPr>
            <w:r>
              <w:t> </w:t>
            </w:r>
          </w:p>
        </w:tc>
        <w:tc>
          <w:tcPr>
            <w:tcW w:w="62" w:type="dxa"/>
            <w:tcBorders/>
            <w:shd w:fill="CCEEFF" w:val="clear"/>
            <w:vAlign w:val="center"/>
          </w:tcPr>
          <w:p>
            <w:pPr>
              <w:pStyle w:val="TableContents"/>
              <w:bidi w:val="0"/>
              <w:spacing w:before="0" w:after="283"/>
              <w:jc w:val="left"/>
            </w:pPr>
            <w:r>
              <w:t> </w:t>
            </w:r>
          </w:p>
        </w:tc>
        <w:tc>
          <w:tcPr>
            <w:tcW w:w="141" w:type="dxa"/>
            <w:tcBorders/>
            <w:shd w:fill="CCEEFF" w:val="clear"/>
            <w:vAlign w:val="center"/>
          </w:tcPr>
          <w:p>
            <w:pPr>
              <w:pStyle w:val="TableContents"/>
              <w:bidi w:val="0"/>
              <w:spacing w:before="0" w:after="283"/>
              <w:ind w:left="0" w:right="0" w:hanging="0"/>
              <w:jc w:val="left"/>
            </w:pPr>
            <w:r>
              <w:t> </w:t>
            </w:r>
          </w:p>
        </w:tc>
        <w:tc>
          <w:tcPr>
            <w:tcW w:w="7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278,493</w:t>
            </w:r>
          </w:p>
        </w:tc>
        <w:tc>
          <w:tcPr>
            <w:tcW w:w="60" w:type="dxa"/>
            <w:tcBorders/>
            <w:shd w:fill="CCEEFF" w:val="clear"/>
            <w:vAlign w:val="center"/>
          </w:tcPr>
          <w:p>
            <w:pPr>
              <w:pStyle w:val="TableContents"/>
              <w:bidi w:val="0"/>
              <w:spacing w:before="0" w:after="283"/>
              <w:jc w:val="left"/>
            </w:pPr>
            <w:r>
              <w:t> </w:t>
            </w:r>
          </w:p>
        </w:tc>
      </w:tr>
      <w:tr>
        <w:tc>
          <w:tcPr>
            <w:tcW w:w="27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Cancelled/Forfeited</w:t>
            </w:r>
          </w:p>
        </w:tc>
        <w:tc>
          <w:tcPr>
            <w:tcW w:w="60" w:type="dxa"/>
            <w:tcBorders/>
            <w:shd w:fill="FFFFFF" w:val="clear"/>
            <w:vAlign w:val="center"/>
          </w:tcPr>
          <w:p>
            <w:pPr>
              <w:pStyle w:val="TableContents"/>
              <w:bidi w:val="0"/>
              <w:spacing w:before="0" w:after="283"/>
              <w:jc w:val="left"/>
            </w:pPr>
            <w:r>
              <w:t> </w:t>
            </w:r>
          </w:p>
        </w:tc>
        <w:tc>
          <w:tcPr>
            <w:tcW w:w="9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8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pPr>
            <w:r>
              <w:t>—</w:t>
            </w:r>
          </w:p>
        </w:tc>
        <w:tc>
          <w:tcPr>
            <w:tcW w:w="83" w:type="dxa"/>
            <w:tcBorders/>
            <w:shd w:fill="FFFFFF" w:val="clear"/>
            <w:vAlign w:val="center"/>
          </w:tcPr>
          <w:p>
            <w:pPr>
              <w:pStyle w:val="TableContents"/>
              <w:bidi w:val="0"/>
              <w:spacing w:before="0" w:after="283"/>
              <w:jc w:val="right"/>
            </w:pPr>
            <w:r>
              <w:t> </w:t>
            </w:r>
          </w:p>
        </w:tc>
        <w:tc>
          <w:tcPr>
            <w:tcW w:w="62" w:type="dxa"/>
            <w:tcBorders/>
            <w:shd w:fill="FFFFFF" w:val="clear"/>
            <w:vAlign w:val="center"/>
          </w:tcPr>
          <w:p>
            <w:pPr>
              <w:pStyle w:val="TableContents"/>
              <w:bidi w:val="0"/>
              <w:spacing w:before="0" w:after="283"/>
              <w:jc w:val="right"/>
            </w:pPr>
            <w:r>
              <w:t> </w:t>
            </w:r>
          </w:p>
        </w:tc>
        <w:tc>
          <w:tcPr>
            <w:tcW w:w="22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pPr>
            <w:r>
              <w:t> </w:t>
            </w:r>
          </w:p>
        </w:tc>
        <w:tc>
          <w:tcPr>
            <w:tcW w:w="106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pPr>
            <w:r>
              <w:rPr>
                <w:rStyle w:val="Emphasis"/>
              </w:rPr>
              <w:t>—</w:t>
            </w:r>
          </w:p>
        </w:tc>
        <w:tc>
          <w:tcPr>
            <w:tcW w:w="62" w:type="dxa"/>
            <w:tcBorders/>
            <w:shd w:fill="FFFFFF" w:val="clear"/>
            <w:vAlign w:val="center"/>
          </w:tcPr>
          <w:p>
            <w:pPr>
              <w:pStyle w:val="TableContents"/>
              <w:bidi w:val="0"/>
              <w:spacing w:before="0" w:after="283"/>
              <w:jc w:val="left"/>
            </w:pPr>
            <w:r>
              <w:t> </w:t>
            </w:r>
          </w:p>
        </w:tc>
        <w:tc>
          <w:tcPr>
            <w:tcW w:w="62" w:type="dxa"/>
            <w:tcBorders/>
            <w:shd w:fill="FFFFFF" w:val="clear"/>
            <w:vAlign w:val="center"/>
          </w:tcPr>
          <w:p>
            <w:pPr>
              <w:pStyle w:val="TableContents"/>
              <w:bidi w:val="0"/>
              <w:spacing w:before="0" w:after="283"/>
              <w:jc w:val="left"/>
            </w:pPr>
            <w:r>
              <w:t> </w:t>
            </w:r>
          </w:p>
        </w:tc>
        <w:tc>
          <w:tcPr>
            <w:tcW w:w="20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77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pPr>
            <w:r>
              <w:t>—</w:t>
            </w:r>
          </w:p>
        </w:tc>
        <w:tc>
          <w:tcPr>
            <w:tcW w:w="62" w:type="dxa"/>
            <w:tcBorders/>
            <w:shd w:fill="FFFFFF" w:val="clear"/>
            <w:vAlign w:val="center"/>
          </w:tcPr>
          <w:p>
            <w:pPr>
              <w:pStyle w:val="TableContents"/>
              <w:bidi w:val="0"/>
              <w:spacing w:before="0" w:after="283"/>
              <w:jc w:val="left"/>
            </w:pPr>
            <w:r>
              <w:t> </w:t>
            </w:r>
          </w:p>
        </w:tc>
        <w:tc>
          <w:tcPr>
            <w:tcW w:w="62" w:type="dxa"/>
            <w:tcBorders/>
            <w:shd w:fill="FFFFFF" w:val="clear"/>
            <w:vAlign w:val="center"/>
          </w:tcPr>
          <w:p>
            <w:pPr>
              <w:pStyle w:val="TableContents"/>
              <w:bidi w:val="0"/>
              <w:spacing w:before="0" w:after="283"/>
              <w:jc w:val="left"/>
            </w:pPr>
            <w:r>
              <w:t> </w:t>
            </w:r>
          </w:p>
        </w:tc>
        <w:tc>
          <w:tcPr>
            <w:tcW w:w="1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79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r>
      <w:tr>
        <w:tc>
          <w:tcPr>
            <w:tcW w:w="27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September 30, 2026</w:t>
            </w:r>
          </w:p>
        </w:tc>
        <w:tc>
          <w:tcPr>
            <w:tcW w:w="60" w:type="dxa"/>
            <w:tcBorders/>
            <w:shd w:fill="CCEEFF" w:val="clear"/>
            <w:vAlign w:val="center"/>
          </w:tcPr>
          <w:p>
            <w:pPr>
              <w:pStyle w:val="TableContents"/>
              <w:bidi w:val="0"/>
              <w:spacing w:before="0" w:after="283"/>
              <w:jc w:val="left"/>
            </w:pPr>
            <w:r>
              <w:t> </w:t>
            </w:r>
          </w:p>
        </w:tc>
        <w:tc>
          <w:tcPr>
            <w:tcW w:w="9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pPr>
            <w:r>
              <w:t> </w:t>
            </w:r>
          </w:p>
        </w:tc>
        <w:tc>
          <w:tcPr>
            <w:tcW w:w="8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629</w:t>
            </w:r>
          </w:p>
        </w:tc>
        <w:tc>
          <w:tcPr>
            <w:tcW w:w="83" w:type="dxa"/>
            <w:tcBorders/>
            <w:shd w:fill="CCEEFF" w:val="clear"/>
            <w:vAlign w:val="center"/>
          </w:tcPr>
          <w:p>
            <w:pPr>
              <w:pStyle w:val="TableContents"/>
              <w:bidi w:val="0"/>
              <w:spacing w:before="0" w:after="283"/>
              <w:jc w:val="right"/>
            </w:pPr>
            <w:r>
              <w:t> </w:t>
            </w:r>
          </w:p>
        </w:tc>
        <w:tc>
          <w:tcPr>
            <w:tcW w:w="62" w:type="dxa"/>
            <w:tcBorders/>
            <w:shd w:fill="CCEEFF" w:val="clear"/>
            <w:vAlign w:val="center"/>
          </w:tcPr>
          <w:p>
            <w:pPr>
              <w:pStyle w:val="TableContents"/>
              <w:bidi w:val="0"/>
              <w:spacing w:before="0" w:after="283"/>
              <w:jc w:val="right"/>
            </w:pPr>
            <w:r>
              <w:t> </w:t>
            </w:r>
          </w:p>
        </w:tc>
        <w:tc>
          <w:tcPr>
            <w:tcW w:w="22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pPr>
            <w:r>
              <w:t> </w:t>
            </w:r>
          </w:p>
        </w:tc>
        <w:tc>
          <w:tcPr>
            <w:tcW w:w="106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pPr>
            <w:r>
              <w:rPr>
                <w:rStyle w:val="Emphasis"/>
              </w:rPr>
              <w:t>—</w:t>
            </w:r>
          </w:p>
        </w:tc>
        <w:tc>
          <w:tcPr>
            <w:tcW w:w="62" w:type="dxa"/>
            <w:tcBorders/>
            <w:shd w:fill="CCEEFF" w:val="clear"/>
            <w:vAlign w:val="center"/>
          </w:tcPr>
          <w:p>
            <w:pPr>
              <w:pStyle w:val="TableContents"/>
              <w:bidi w:val="0"/>
              <w:spacing w:before="0" w:after="283"/>
              <w:jc w:val="left"/>
            </w:pPr>
            <w:r>
              <w:t> </w:t>
            </w:r>
          </w:p>
        </w:tc>
        <w:tc>
          <w:tcPr>
            <w:tcW w:w="62" w:type="dxa"/>
            <w:tcBorders/>
            <w:shd w:fill="CCEEFF" w:val="clear"/>
            <w:vAlign w:val="center"/>
          </w:tcPr>
          <w:p>
            <w:pPr>
              <w:pStyle w:val="TableContents"/>
              <w:bidi w:val="0"/>
              <w:spacing w:before="0" w:after="283"/>
              <w:jc w:val="left"/>
            </w:pPr>
            <w:r>
              <w:t> </w:t>
            </w:r>
          </w:p>
        </w:tc>
        <w:tc>
          <w:tcPr>
            <w:tcW w:w="20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7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44.62</w:t>
            </w:r>
          </w:p>
        </w:tc>
        <w:tc>
          <w:tcPr>
            <w:tcW w:w="62" w:type="dxa"/>
            <w:tcBorders/>
            <w:shd w:fill="CCEEFF" w:val="clear"/>
            <w:vAlign w:val="center"/>
          </w:tcPr>
          <w:p>
            <w:pPr>
              <w:pStyle w:val="TableContents"/>
              <w:bidi w:val="0"/>
              <w:spacing w:before="0" w:after="283"/>
              <w:jc w:val="left"/>
            </w:pPr>
            <w:r>
              <w:t> </w:t>
            </w:r>
          </w:p>
        </w:tc>
        <w:tc>
          <w:tcPr>
            <w:tcW w:w="62" w:type="dxa"/>
            <w:tcBorders/>
            <w:shd w:fill="CCEEFF" w:val="clear"/>
            <w:vAlign w:val="center"/>
          </w:tcPr>
          <w:p>
            <w:pPr>
              <w:pStyle w:val="TableContents"/>
              <w:bidi w:val="0"/>
              <w:spacing w:before="0" w:after="283"/>
              <w:jc w:val="left"/>
            </w:pPr>
            <w:r>
              <w:t> </w:t>
            </w:r>
          </w:p>
        </w:tc>
        <w:tc>
          <w:tcPr>
            <w:tcW w:w="14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62,480</w:t>
            </w:r>
          </w:p>
        </w:tc>
        <w:tc>
          <w:tcPr>
            <w:tcW w:w="60" w:type="dxa"/>
            <w:tcBorders/>
            <w:shd w:fill="CCEEFF" w:val="clear"/>
            <w:vAlign w:val="center"/>
          </w:tcPr>
          <w:p>
            <w:pPr>
              <w:pStyle w:val="TableContents"/>
              <w:bidi w:val="0"/>
              <w:spacing w:before="0" w:after="283"/>
              <w:jc w:val="left"/>
            </w:pPr>
            <w:r>
              <w:t> </w:t>
            </w:r>
          </w:p>
        </w:tc>
      </w:tr>
      <w:tr>
        <w:tc>
          <w:tcPr>
            <w:tcW w:w="27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Vested and expected to vest</w:t>
            </w:r>
          </w:p>
        </w:tc>
        <w:tc>
          <w:tcPr>
            <w:tcW w:w="60" w:type="dxa"/>
            <w:tcBorders/>
            <w:shd w:fill="FFFFFF" w:val="clear"/>
            <w:vAlign w:val="center"/>
          </w:tcPr>
          <w:p>
            <w:pPr>
              <w:pStyle w:val="TableContents"/>
              <w:bidi w:val="0"/>
              <w:spacing w:before="0" w:after="283"/>
              <w:jc w:val="left"/>
            </w:pPr>
            <w:r>
              <w:t> </w:t>
            </w:r>
          </w:p>
        </w:tc>
        <w:tc>
          <w:tcPr>
            <w:tcW w:w="91" w:type="dxa"/>
            <w:tcBorders/>
            <w:shd w:fill="FFFFFF" w:val="clear"/>
            <w:vAlign w:val="center"/>
          </w:tcPr>
          <w:p>
            <w:pPr>
              <w:pStyle w:val="TableContents"/>
              <w:bidi w:val="0"/>
              <w:spacing w:before="0" w:after="283"/>
              <w:ind w:left="0" w:right="0" w:hanging="0"/>
              <w:jc w:val="left"/>
            </w:pPr>
            <w:r>
              <w:t> </w:t>
            </w:r>
          </w:p>
        </w:tc>
        <w:tc>
          <w:tcPr>
            <w:tcW w:w="8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629</w:t>
            </w:r>
          </w:p>
        </w:tc>
        <w:tc>
          <w:tcPr>
            <w:tcW w:w="83" w:type="dxa"/>
            <w:tcBorders/>
            <w:shd w:fill="FFFFFF" w:val="clear"/>
            <w:vAlign w:val="center"/>
          </w:tcPr>
          <w:p>
            <w:pPr>
              <w:pStyle w:val="TableContents"/>
              <w:bidi w:val="0"/>
              <w:spacing w:before="0" w:after="283"/>
              <w:jc w:val="right"/>
            </w:pPr>
            <w:r>
              <w:t> </w:t>
            </w:r>
          </w:p>
        </w:tc>
        <w:tc>
          <w:tcPr>
            <w:tcW w:w="62" w:type="dxa"/>
            <w:tcBorders/>
            <w:shd w:fill="FFFFFF" w:val="clear"/>
            <w:vAlign w:val="center"/>
          </w:tcPr>
          <w:p>
            <w:pPr>
              <w:pStyle w:val="TableContents"/>
              <w:bidi w:val="0"/>
              <w:spacing w:before="0" w:after="283"/>
              <w:jc w:val="right"/>
            </w:pPr>
            <w:r>
              <w:t> </w:t>
            </w:r>
          </w:p>
        </w:tc>
        <w:tc>
          <w:tcPr>
            <w:tcW w:w="225" w:type="dxa"/>
            <w:tcBorders/>
            <w:shd w:fill="FFFFFF" w:val="clear"/>
            <w:vAlign w:val="center"/>
          </w:tcPr>
          <w:p>
            <w:pPr>
              <w:pStyle w:val="TableContents"/>
              <w:bidi w:val="0"/>
              <w:spacing w:before="0" w:after="283"/>
              <w:ind w:left="0" w:right="0" w:hanging="0"/>
              <w:jc w:val="right"/>
            </w:pPr>
            <w:r>
              <w:t> </w:t>
            </w:r>
          </w:p>
        </w:tc>
        <w:tc>
          <w:tcPr>
            <w:tcW w:w="1067" w:type="dxa"/>
            <w:tcBorders/>
            <w:shd w:fill="FFFFFF" w:val="clear"/>
            <w:vAlign w:val="center"/>
          </w:tcPr>
          <w:p>
            <w:pPr>
              <w:pStyle w:val="TableContents"/>
              <w:bidi w:val="0"/>
              <w:spacing w:before="0" w:after="283"/>
              <w:ind w:left="0" w:right="0" w:hanging="0"/>
              <w:jc w:val="right"/>
            </w:pPr>
            <w:r>
              <w:rPr>
                <w:rStyle w:val="Emphasis"/>
              </w:rPr>
              <w:t>—</w:t>
            </w:r>
          </w:p>
        </w:tc>
        <w:tc>
          <w:tcPr>
            <w:tcW w:w="62" w:type="dxa"/>
            <w:tcBorders/>
            <w:shd w:fill="FFFFFF" w:val="clear"/>
            <w:vAlign w:val="center"/>
          </w:tcPr>
          <w:p>
            <w:pPr>
              <w:pStyle w:val="TableContents"/>
              <w:bidi w:val="0"/>
              <w:spacing w:before="0" w:after="283"/>
              <w:jc w:val="left"/>
            </w:pPr>
            <w:r>
              <w:t> </w:t>
            </w:r>
          </w:p>
        </w:tc>
        <w:tc>
          <w:tcPr>
            <w:tcW w:w="62" w:type="dxa"/>
            <w:tcBorders/>
            <w:shd w:fill="FFFFFF" w:val="clear"/>
            <w:vAlign w:val="center"/>
          </w:tcPr>
          <w:p>
            <w:pPr>
              <w:pStyle w:val="TableContents"/>
              <w:bidi w:val="0"/>
              <w:spacing w:before="0" w:after="283"/>
              <w:ind w:left="0" w:right="0" w:hanging="0"/>
              <w:jc w:val="left"/>
            </w:pPr>
            <w:r>
              <w:t> </w:t>
            </w:r>
          </w:p>
        </w:tc>
        <w:tc>
          <w:tcPr>
            <w:tcW w:w="20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44.62</w:t>
            </w:r>
          </w:p>
        </w:tc>
        <w:tc>
          <w:tcPr>
            <w:tcW w:w="62" w:type="dxa"/>
            <w:tcBorders/>
            <w:shd w:fill="FFFFFF" w:val="clear"/>
            <w:vAlign w:val="center"/>
          </w:tcPr>
          <w:p>
            <w:pPr>
              <w:pStyle w:val="TableContents"/>
              <w:bidi w:val="0"/>
              <w:spacing w:before="0" w:after="283"/>
              <w:jc w:val="left"/>
            </w:pPr>
            <w:r>
              <w:t> </w:t>
            </w:r>
          </w:p>
        </w:tc>
        <w:tc>
          <w:tcPr>
            <w:tcW w:w="62" w:type="dxa"/>
            <w:tcBorders/>
            <w:shd w:fill="FFFFFF" w:val="clear"/>
            <w:vAlign w:val="center"/>
          </w:tcPr>
          <w:p>
            <w:pPr>
              <w:pStyle w:val="TableContents"/>
              <w:bidi w:val="0"/>
              <w:spacing w:before="0" w:after="283"/>
              <w:ind w:left="0" w:right="0" w:hanging="0"/>
              <w:jc w:val="left"/>
            </w:pPr>
            <w:r>
              <w:t> </w:t>
            </w:r>
          </w:p>
        </w:tc>
        <w:tc>
          <w:tcPr>
            <w:tcW w:w="14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62,480</w:t>
            </w:r>
          </w:p>
        </w:tc>
        <w:tc>
          <w:tcPr>
            <w:tcW w:w="60" w:type="dxa"/>
            <w:tcBorders/>
            <w:shd w:fill="FFFFFF" w:val="clear"/>
            <w:vAlign w:val="center"/>
          </w:tcPr>
          <w:p>
            <w:pPr>
              <w:pStyle w:val="TableContents"/>
              <w:bidi w:val="0"/>
              <w:spacing w:before="0" w:after="283"/>
              <w:jc w:val="left"/>
            </w:pPr>
            <w:r>
              <w:t> </w:t>
            </w:r>
          </w:p>
        </w:tc>
      </w:tr>
    </w:tbl>
    <w:p>
      <w:pPr>
        <w:pStyle w:val="TextBody"/>
        <w:bidi w:val="0"/>
        <w:spacing w:before="0" w:after="0"/>
        <w:ind w:left="0" w:right="0" w:firstLine="720"/>
        <w:jc w:val="left"/>
      </w:pPr>
      <w:r>
        <w:t> </w:t>
      </w:r>
    </w:p>
    <w:p>
      <w:pPr>
        <w:pStyle w:val="TextBody"/>
        <w:bidi w:val="0"/>
        <w:spacing w:before="0" w:after="0"/>
        <w:ind w:left="0" w:right="0" w:firstLine="720"/>
        <w:jc w:val="left"/>
      </w:pPr>
      <w:r>
        <w:rPr>
          <w:rFonts w:ascii="Times New Roman" w:hAnsi="Times New Roman"/>
          <w:sz w:val="20"/>
        </w:rPr>
        <w:t xml:space="preserve">As of </w:t>
      </w:r>
      <w:r>
        <w:rPr>
          <w:rStyle w:val="Emphasis"/>
          <w:rFonts w:ascii="Times New Roman" w:hAnsi="Times New Roman"/>
          <w:sz w:val="20"/>
        </w:rPr>
        <w:t>September 30, 2026</w:t>
      </w:r>
      <w:r>
        <w:rPr>
          <w:rFonts w:ascii="Times New Roman" w:hAnsi="Times New Roman"/>
          <w:sz w:val="20"/>
        </w:rPr>
        <w:t>, there was $18.4 million of unrecognized stock-based compensation expense related to outstanding PSUs, which expense is expected to be recognized over 2.2 y</w:t>
      </w:r>
      <w:r>
        <w:rPr>
          <w:rFonts w:ascii="Times New Roman" w:hAnsi="Times New Roman"/>
          <w:sz w:val="20"/>
          <w:shd w:fill="FFFFFF" w:val="clear"/>
        </w:rPr>
        <w:t>ears</w:t>
      </w:r>
      <w:r>
        <w:rPr>
          <w:rFonts w:ascii="Times New Roman" w:hAnsi="Times New Roman"/>
          <w:sz w:val="20"/>
        </w:rPr>
        <w:t>.</w:t>
      </w:r>
    </w:p>
    <w:p>
      <w:pPr>
        <w:pStyle w:val="TextBody"/>
        <w:bidi w:val="0"/>
        <w:spacing w:before="0" w:after="0"/>
        <w:ind w:left="0" w:right="0" w:firstLine="720"/>
        <w:jc w:val="left"/>
      </w:pPr>
      <w: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Restricted Stock Units</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160" w:right="0" w:firstLine="540"/>
        <w:jc w:val="left"/>
        <w:rPr>
          <w:rFonts w:ascii="Times New Roman" w:hAnsi="Times New Roman"/>
          <w:caps w:val="false"/>
          <w:smallCaps w:val="false"/>
          <w:sz w:val="20"/>
        </w:rPr>
      </w:pPr>
      <w:r>
        <w:rPr>
          <w:rFonts w:ascii="Times New Roman" w:hAnsi="Times New Roman"/>
          <w:caps w:val="false"/>
          <w:smallCaps w:val="false"/>
          <w:sz w:val="20"/>
        </w:rPr>
        <w:t>Restricted stock units are issued to employees through a vesting plan and distribution schedule after employee remains with the Company for a particular length of time. The following is a summary of RSU activity:</w:t>
      </w:r>
    </w:p>
    <w:p>
      <w:pPr>
        <w:pStyle w:val="TextBody"/>
        <w:bidi w:val="0"/>
        <w:spacing w:before="0" w:after="0"/>
        <w:ind w:left="160" w:right="0" w:firstLine="540"/>
        <w:jc w:val="left"/>
        <w:rPr>
          <w:caps w:val="false"/>
          <w:smallCaps w:val="false"/>
        </w:rPr>
      </w:pPr>
      <w:r>
        <w:rPr>
          <w:caps w:val="false"/>
          <w:smallCaps w:val="false"/>
        </w:rPr>
        <w:t> </w:t>
      </w:r>
    </w:p>
    <w:tbl>
      <w:tblPr>
        <w:tblW w:w="7182" w:type="dxa"/>
        <w:jc w:val="left"/>
        <w:tblInd w:w="0" w:type="dxa"/>
        <w:tblLayout w:type="fixed"/>
        <w:tblCellMar>
          <w:top w:w="0" w:type="dxa"/>
          <w:left w:w="0" w:type="dxa"/>
          <w:bottom w:w="0" w:type="dxa"/>
          <w:right w:w="0" w:type="dxa"/>
        </w:tblCellMar>
      </w:tblPr>
      <w:tblGrid>
        <w:gridCol w:w="2735"/>
        <w:gridCol w:w="60"/>
        <w:gridCol w:w="96"/>
        <w:gridCol w:w="793"/>
        <w:gridCol w:w="80"/>
        <w:gridCol w:w="60"/>
        <w:gridCol w:w="215"/>
        <w:gridCol w:w="1019"/>
        <w:gridCol w:w="60"/>
        <w:gridCol w:w="60"/>
        <w:gridCol w:w="191"/>
        <w:gridCol w:w="743"/>
        <w:gridCol w:w="60"/>
        <w:gridCol w:w="60"/>
        <w:gridCol w:w="135"/>
        <w:gridCol w:w="755"/>
        <w:gridCol w:w="60"/>
      </w:tblGrid>
      <w:tr>
        <w:tc>
          <w:tcPr>
            <w:tcW w:w="273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889" w:type="dxa"/>
            <w:gridSpan w:val="2"/>
            <w:tcBorders/>
            <w:shd w:fill="FFFFFF" w:val="clear"/>
            <w:vAlign w:val="center"/>
          </w:tcPr>
          <w:p>
            <w:pPr>
              <w:pStyle w:val="TableContents"/>
              <w:bidi w:val="0"/>
              <w:spacing w:before="0" w:after="283"/>
              <w:jc w:val="left"/>
            </w:pPr>
            <w:r>
              <w:rPr>
                <w:rStyle w:val="Emphasis"/>
              </w:rP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34"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Weighted</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934" w:type="dxa"/>
            <w:gridSpan w:val="2"/>
            <w:tcBorders/>
            <w:shd w:fill="FFFFFF" w:val="clear"/>
            <w:vAlign w:val="center"/>
          </w:tcPr>
          <w:p>
            <w:pPr>
              <w:pStyle w:val="TableContents"/>
              <w:bidi w:val="0"/>
              <w:spacing w:before="0" w:after="283"/>
              <w:jc w:val="left"/>
            </w:pPr>
            <w:r>
              <w:rPr>
                <w:rStyle w:val="Emphasis"/>
              </w:rP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890" w:type="dxa"/>
            <w:gridSpan w:val="2"/>
            <w:tcBorders/>
            <w:shd w:fill="FFFFFF" w:val="clear"/>
            <w:vAlign w:val="center"/>
          </w:tcPr>
          <w:p>
            <w:pPr>
              <w:pStyle w:val="TableContents"/>
              <w:bidi w:val="0"/>
              <w:spacing w:before="0" w:after="283"/>
              <w:jc w:val="left"/>
            </w:pPr>
            <w:r>
              <w:rPr>
                <w:rStyle w:val="Emphasis"/>
              </w:rPr>
              <w:t> </w:t>
            </w:r>
          </w:p>
        </w:tc>
        <w:tc>
          <w:tcPr>
            <w:tcW w:w="60" w:type="dxa"/>
            <w:tcBorders/>
            <w:shd w:fill="FFFFFF" w:val="clear"/>
            <w:vAlign w:val="center"/>
          </w:tcPr>
          <w:p>
            <w:pPr>
              <w:pStyle w:val="TableContents"/>
              <w:bidi w:val="0"/>
              <w:spacing w:before="0" w:after="283"/>
              <w:jc w:val="left"/>
            </w:pPr>
            <w:r>
              <w:t> </w:t>
            </w:r>
          </w:p>
        </w:tc>
      </w:tr>
      <w:tr>
        <w:tc>
          <w:tcPr>
            <w:tcW w:w="273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889" w:type="dxa"/>
            <w:gridSpan w:val="2"/>
            <w:tcBorders/>
            <w:shd w:fill="FFFFFF" w:val="clear"/>
            <w:vAlign w:val="center"/>
          </w:tcPr>
          <w:p>
            <w:pPr>
              <w:pStyle w:val="TableContents"/>
              <w:bidi w:val="0"/>
              <w:spacing w:before="0" w:after="283"/>
              <w:jc w:val="left"/>
            </w:pPr>
            <w:r>
              <w:rPr>
                <w:rStyle w:val="Emphasis"/>
              </w:rP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34"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Average Share</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934"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Weighted</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890"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Aggregate</w:t>
            </w:r>
          </w:p>
        </w:tc>
        <w:tc>
          <w:tcPr>
            <w:tcW w:w="60" w:type="dxa"/>
            <w:tcBorders/>
            <w:shd w:fill="FFFFFF" w:val="clear"/>
            <w:vAlign w:val="center"/>
          </w:tcPr>
          <w:p>
            <w:pPr>
              <w:pStyle w:val="TableContents"/>
              <w:bidi w:val="0"/>
              <w:spacing w:before="0" w:after="283"/>
              <w:jc w:val="left"/>
            </w:pPr>
            <w:r>
              <w:t> </w:t>
            </w:r>
          </w:p>
        </w:tc>
      </w:tr>
      <w:tr>
        <w:tc>
          <w:tcPr>
            <w:tcW w:w="273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889"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Number of</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34"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Price on Date</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934"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Average</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890"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Intrinsic</w:t>
            </w:r>
          </w:p>
        </w:tc>
        <w:tc>
          <w:tcPr>
            <w:tcW w:w="60" w:type="dxa"/>
            <w:tcBorders/>
            <w:shd w:fill="FFFFFF" w:val="clear"/>
            <w:vAlign w:val="center"/>
          </w:tcPr>
          <w:p>
            <w:pPr>
              <w:pStyle w:val="TableContents"/>
              <w:bidi w:val="0"/>
              <w:spacing w:before="0" w:after="283"/>
              <w:jc w:val="left"/>
            </w:pPr>
            <w:r>
              <w:t> </w:t>
            </w:r>
          </w:p>
        </w:tc>
      </w:tr>
      <w:tr>
        <w:tc>
          <w:tcPr>
            <w:tcW w:w="273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8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shares</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of Release</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9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Fair Value</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89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Value</w:t>
            </w:r>
          </w:p>
        </w:tc>
        <w:tc>
          <w:tcPr>
            <w:tcW w:w="60" w:type="dxa"/>
            <w:tcBorders/>
            <w:shd w:fill="FFFFFF" w:val="clear"/>
            <w:vAlign w:val="center"/>
          </w:tcPr>
          <w:p>
            <w:pPr>
              <w:pStyle w:val="TableContents"/>
              <w:bidi w:val="0"/>
              <w:spacing w:before="0" w:after="283"/>
              <w:jc w:val="left"/>
            </w:pPr>
            <w:r>
              <w:t> </w:t>
            </w:r>
          </w:p>
        </w:tc>
      </w:tr>
      <w:tr>
        <w:tc>
          <w:tcPr>
            <w:tcW w:w="273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4327" w:type="dxa"/>
            <w:gridSpan w:val="14"/>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 except price data)</w:t>
            </w:r>
          </w:p>
        </w:tc>
        <w:tc>
          <w:tcPr>
            <w:tcW w:w="60" w:type="dxa"/>
            <w:tcBorders/>
            <w:shd w:fill="FFFFFF" w:val="clear"/>
            <w:vAlign w:val="center"/>
          </w:tcPr>
          <w:p>
            <w:pPr>
              <w:pStyle w:val="TableContents"/>
              <w:bidi w:val="0"/>
              <w:spacing w:before="0" w:after="283"/>
              <w:jc w:val="left"/>
            </w:pPr>
            <w:r>
              <w:t> </w:t>
            </w:r>
          </w:p>
        </w:tc>
      </w:tr>
      <w:tr>
        <w:tc>
          <w:tcPr>
            <w:tcW w:w="27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January 1, 2026</w:t>
            </w:r>
          </w:p>
        </w:tc>
        <w:tc>
          <w:tcPr>
            <w:tcW w:w="60" w:type="dxa"/>
            <w:tcBorders/>
            <w:shd w:fill="CCEEFF" w:val="clear"/>
            <w:vAlign w:val="center"/>
          </w:tcPr>
          <w:p>
            <w:pPr>
              <w:pStyle w:val="TableContents"/>
              <w:bidi w:val="0"/>
              <w:spacing w:before="0" w:after="283"/>
              <w:jc w:val="left"/>
            </w:pPr>
            <w:r>
              <w:t> </w:t>
            </w:r>
          </w:p>
        </w:tc>
        <w:tc>
          <w:tcPr>
            <w:tcW w:w="96" w:type="dxa"/>
            <w:tcBorders/>
            <w:shd w:fill="CCEEFF" w:val="clear"/>
            <w:vAlign w:val="center"/>
          </w:tcPr>
          <w:p>
            <w:pPr>
              <w:pStyle w:val="TableContents"/>
              <w:bidi w:val="0"/>
              <w:spacing w:before="0" w:after="283"/>
              <w:ind w:left="0" w:right="0" w:hanging="0"/>
              <w:jc w:val="left"/>
            </w:pPr>
            <w:r>
              <w:t> </w:t>
            </w:r>
          </w:p>
        </w:tc>
        <w:tc>
          <w:tcPr>
            <w:tcW w:w="7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1,462</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15" w:type="dxa"/>
            <w:tcBorders/>
            <w:shd w:fill="CCEEFF" w:val="clear"/>
            <w:vAlign w:val="center"/>
          </w:tcPr>
          <w:p>
            <w:pPr>
              <w:pStyle w:val="TableContents"/>
              <w:bidi w:val="0"/>
              <w:spacing w:before="0" w:after="283"/>
              <w:ind w:left="0" w:right="0" w:hanging="0"/>
              <w:jc w:val="left"/>
            </w:pPr>
            <w:r>
              <w:t> </w:t>
            </w:r>
          </w:p>
        </w:tc>
        <w:tc>
          <w:tcPr>
            <w:tcW w:w="1019" w:type="dxa"/>
            <w:tcBorders/>
            <w:shd w:fill="CCEEFF" w:val="clear"/>
            <w:vAlign w:val="center"/>
          </w:tcPr>
          <w:p>
            <w:pPr>
              <w:pStyle w:val="TableContents"/>
              <w:bidi w:val="0"/>
              <w:spacing w:before="0" w:after="283"/>
              <w:ind w:left="0" w:right="0" w:hanging="0"/>
              <w:jc w:val="right"/>
            </w:pPr>
            <w:r>
              <w:rPr>
                <w:rStyle w:val="Emphasis"/>
              </w:rP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9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8.13</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3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50,964</w:t>
            </w:r>
          </w:p>
        </w:tc>
        <w:tc>
          <w:tcPr>
            <w:tcW w:w="60" w:type="dxa"/>
            <w:tcBorders/>
            <w:shd w:fill="CCEEFF" w:val="clear"/>
            <w:vAlign w:val="center"/>
          </w:tcPr>
          <w:p>
            <w:pPr>
              <w:pStyle w:val="TableContents"/>
              <w:bidi w:val="0"/>
              <w:spacing w:before="0" w:after="283"/>
              <w:jc w:val="left"/>
            </w:pPr>
            <w:r>
              <w:t> </w:t>
            </w:r>
          </w:p>
        </w:tc>
      </w:tr>
      <w:tr>
        <w:tc>
          <w:tcPr>
            <w:tcW w:w="27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Granted</w:t>
            </w:r>
          </w:p>
        </w:tc>
        <w:tc>
          <w:tcPr>
            <w:tcW w:w="60" w:type="dxa"/>
            <w:tcBorders/>
            <w:shd w:fill="FFFFFF" w:val="clear"/>
            <w:vAlign w:val="center"/>
          </w:tcPr>
          <w:p>
            <w:pPr>
              <w:pStyle w:val="TableContents"/>
              <w:bidi w:val="0"/>
              <w:spacing w:before="0" w:after="283"/>
              <w:jc w:val="left"/>
            </w:pPr>
            <w:r>
              <w:t> </w:t>
            </w:r>
          </w:p>
        </w:tc>
        <w:tc>
          <w:tcPr>
            <w:tcW w:w="96" w:type="dxa"/>
            <w:tcBorders/>
            <w:shd w:fill="FFFFFF" w:val="clear"/>
            <w:vAlign w:val="center"/>
          </w:tcPr>
          <w:p>
            <w:pPr>
              <w:pStyle w:val="TableContents"/>
              <w:bidi w:val="0"/>
              <w:spacing w:before="0" w:after="283"/>
              <w:ind w:left="0" w:right="0" w:hanging="0"/>
              <w:jc w:val="left"/>
            </w:pPr>
            <w:r>
              <w:t> </w:t>
            </w:r>
          </w:p>
        </w:tc>
        <w:tc>
          <w:tcPr>
            <w:tcW w:w="7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422</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15" w:type="dxa"/>
            <w:tcBorders/>
            <w:shd w:fill="FFFFFF" w:val="clear"/>
            <w:vAlign w:val="center"/>
          </w:tcPr>
          <w:p>
            <w:pPr>
              <w:pStyle w:val="TableContents"/>
              <w:bidi w:val="0"/>
              <w:spacing w:before="0" w:after="283"/>
              <w:ind w:left="0" w:right="0" w:hanging="0"/>
              <w:jc w:val="left"/>
            </w:pPr>
            <w:r>
              <w:t> </w:t>
            </w:r>
          </w:p>
        </w:tc>
        <w:tc>
          <w:tcPr>
            <w:tcW w:w="1019" w:type="dxa"/>
            <w:tcBorders/>
            <w:shd w:fill="FFFFFF" w:val="clear"/>
            <w:vAlign w:val="center"/>
          </w:tcPr>
          <w:p>
            <w:pPr>
              <w:pStyle w:val="TableContents"/>
              <w:bidi w:val="0"/>
              <w:spacing w:before="0" w:after="283"/>
              <w:ind w:left="0" w:right="0" w:hanging="0"/>
              <w:jc w:val="right"/>
            </w:pPr>
            <w:r>
              <w:rPr>
                <w:rStyle w:val="Emphasis"/>
              </w:rP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91" w:type="dxa"/>
            <w:tcBorders/>
            <w:shd w:fill="FFFFFF" w:val="clear"/>
            <w:vAlign w:val="center"/>
          </w:tcPr>
          <w:p>
            <w:pPr>
              <w:pStyle w:val="TableContents"/>
              <w:bidi w:val="0"/>
              <w:spacing w:before="0" w:after="283"/>
              <w:ind w:left="0" w:right="0" w:hanging="0"/>
              <w:jc w:val="left"/>
            </w:pPr>
            <w:r>
              <w:t> </w:t>
            </w:r>
          </w:p>
        </w:tc>
        <w:tc>
          <w:tcPr>
            <w:tcW w:w="74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49.23</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35" w:type="dxa"/>
            <w:tcBorders/>
            <w:shd w:fill="FFFFFF" w:val="clear"/>
            <w:vAlign w:val="center"/>
          </w:tcPr>
          <w:p>
            <w:pPr>
              <w:pStyle w:val="TableContents"/>
              <w:bidi w:val="0"/>
              <w:spacing w:before="0" w:after="283"/>
              <w:ind w:left="0" w:right="0" w:hanging="0"/>
              <w:jc w:val="left"/>
            </w:pPr>
            <w: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20,784</w:t>
            </w:r>
          </w:p>
        </w:tc>
        <w:tc>
          <w:tcPr>
            <w:tcW w:w="60" w:type="dxa"/>
            <w:tcBorders/>
            <w:shd w:fill="FFFFFF" w:val="clear"/>
            <w:vAlign w:val="center"/>
          </w:tcPr>
          <w:p>
            <w:pPr>
              <w:pStyle w:val="TableContents"/>
              <w:bidi w:val="0"/>
              <w:spacing w:before="0" w:after="283"/>
              <w:jc w:val="left"/>
            </w:pPr>
            <w:r>
              <w:t> </w:t>
            </w:r>
          </w:p>
        </w:tc>
      </w:tr>
      <w:tr>
        <w:tc>
          <w:tcPr>
            <w:tcW w:w="27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Vested</w:t>
            </w:r>
          </w:p>
        </w:tc>
        <w:tc>
          <w:tcPr>
            <w:tcW w:w="60" w:type="dxa"/>
            <w:tcBorders/>
            <w:shd w:fill="CCEEFF" w:val="clear"/>
            <w:vAlign w:val="center"/>
          </w:tcPr>
          <w:p>
            <w:pPr>
              <w:pStyle w:val="TableContents"/>
              <w:bidi w:val="0"/>
              <w:spacing w:before="0" w:after="283"/>
              <w:jc w:val="left"/>
            </w:pPr>
            <w:r>
              <w:t> </w:t>
            </w:r>
          </w:p>
        </w:tc>
        <w:tc>
          <w:tcPr>
            <w:tcW w:w="96" w:type="dxa"/>
            <w:tcBorders/>
            <w:shd w:fill="CCEEFF" w:val="clear"/>
            <w:vAlign w:val="center"/>
          </w:tcPr>
          <w:p>
            <w:pPr>
              <w:pStyle w:val="TableContents"/>
              <w:bidi w:val="0"/>
              <w:spacing w:before="0" w:after="283"/>
              <w:ind w:left="0" w:right="0" w:hanging="0"/>
              <w:jc w:val="left"/>
            </w:pPr>
            <w:r>
              <w:t> </w:t>
            </w:r>
          </w:p>
        </w:tc>
        <w:tc>
          <w:tcPr>
            <w:tcW w:w="7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21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100.78</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91" w:type="dxa"/>
            <w:tcBorders/>
            <w:shd w:fill="CCEEFF" w:val="clear"/>
            <w:vAlign w:val="center"/>
          </w:tcPr>
          <w:p>
            <w:pPr>
              <w:pStyle w:val="TableContents"/>
              <w:bidi w:val="0"/>
              <w:spacing w:before="0" w:after="283"/>
              <w:ind w:left="0" w:right="0" w:hanging="0"/>
              <w:jc w:val="left"/>
            </w:pPr>
            <w:r>
              <w:t> </w:t>
            </w:r>
          </w:p>
        </w:tc>
        <w:tc>
          <w:tcPr>
            <w:tcW w:w="74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9.76</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35" w:type="dxa"/>
            <w:tcBorders/>
            <w:shd w:fill="CCEEFF" w:val="clear"/>
            <w:vAlign w:val="center"/>
          </w:tcPr>
          <w:p>
            <w:pPr>
              <w:pStyle w:val="TableContents"/>
              <w:bidi w:val="0"/>
              <w:spacing w:before="0" w:after="283"/>
              <w:ind w:left="0" w:right="0" w:hanging="0"/>
              <w:jc w:val="left"/>
            </w:pPr>
            <w: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74,591</w:t>
            </w:r>
          </w:p>
        </w:tc>
        <w:tc>
          <w:tcPr>
            <w:tcW w:w="60" w:type="dxa"/>
            <w:tcBorders/>
            <w:shd w:fill="CCEEFF" w:val="clear"/>
            <w:vAlign w:val="center"/>
          </w:tcPr>
          <w:p>
            <w:pPr>
              <w:pStyle w:val="TableContents"/>
              <w:bidi w:val="0"/>
              <w:spacing w:before="0" w:after="283"/>
              <w:jc w:val="left"/>
            </w:pPr>
            <w:r>
              <w:t> </w:t>
            </w:r>
          </w:p>
        </w:tc>
      </w:tr>
      <w:tr>
        <w:tc>
          <w:tcPr>
            <w:tcW w:w="27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Cancelled/Forfeited</w:t>
            </w:r>
          </w:p>
        </w:tc>
        <w:tc>
          <w:tcPr>
            <w:tcW w:w="60" w:type="dxa"/>
            <w:tcBorders/>
            <w:shd w:fill="FFFFFF" w:val="clear"/>
            <w:vAlign w:val="center"/>
          </w:tcPr>
          <w:p>
            <w:pPr>
              <w:pStyle w:val="TableContents"/>
              <w:bidi w:val="0"/>
              <w:spacing w:before="0" w:after="283"/>
              <w:jc w:val="left"/>
            </w:pPr>
            <w:r>
              <w:t> </w:t>
            </w:r>
          </w:p>
        </w:tc>
        <w:tc>
          <w:tcPr>
            <w:tcW w:w="9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79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21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01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pPr>
            <w:r>
              <w:rPr>
                <w:rStyle w:val="Emphasis"/>
              </w:rP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9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74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16.69</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5,704</w:t>
            </w:r>
          </w:p>
        </w:tc>
        <w:tc>
          <w:tcPr>
            <w:tcW w:w="60" w:type="dxa"/>
            <w:tcBorders/>
            <w:shd w:fill="FFFFFF" w:val="clear"/>
            <w:vAlign w:val="center"/>
          </w:tcPr>
          <w:p>
            <w:pPr>
              <w:pStyle w:val="TableContents"/>
              <w:bidi w:val="0"/>
              <w:spacing w:before="0" w:after="283"/>
              <w:jc w:val="left"/>
            </w:pPr>
            <w:r>
              <w:t> </w:t>
            </w:r>
          </w:p>
        </w:tc>
      </w:tr>
      <w:tr>
        <w:tc>
          <w:tcPr>
            <w:tcW w:w="27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September 30, 2026</w:t>
            </w:r>
          </w:p>
        </w:tc>
        <w:tc>
          <w:tcPr>
            <w:tcW w:w="60" w:type="dxa"/>
            <w:tcBorders/>
            <w:shd w:fill="CCEEFF" w:val="clear"/>
            <w:vAlign w:val="center"/>
          </w:tcPr>
          <w:p>
            <w:pPr>
              <w:pStyle w:val="TableContents"/>
              <w:bidi w:val="0"/>
              <w:spacing w:before="0" w:after="283"/>
              <w:jc w:val="left"/>
            </w:pPr>
            <w:r>
              <w:t> </w:t>
            </w:r>
          </w:p>
        </w:tc>
        <w:tc>
          <w:tcPr>
            <w:tcW w:w="9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pPr>
            <w:r>
              <w:t> </w:t>
            </w:r>
          </w:p>
        </w:tc>
        <w:tc>
          <w:tcPr>
            <w:tcW w:w="79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1,087</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1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01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pPr>
            <w:r>
              <w:rPr>
                <w:rStyle w:val="Emphasis"/>
              </w:rP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9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22.54</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107,854</w:t>
            </w:r>
          </w:p>
        </w:tc>
        <w:tc>
          <w:tcPr>
            <w:tcW w:w="60" w:type="dxa"/>
            <w:tcBorders/>
            <w:shd w:fill="CCEEFF" w:val="clear"/>
            <w:vAlign w:val="center"/>
          </w:tcPr>
          <w:p>
            <w:pPr>
              <w:pStyle w:val="TableContents"/>
              <w:bidi w:val="0"/>
              <w:spacing w:before="0" w:after="283"/>
              <w:jc w:val="left"/>
            </w:pPr>
            <w:r>
              <w:t> </w:t>
            </w:r>
          </w:p>
        </w:tc>
      </w:tr>
      <w:tr>
        <w:tc>
          <w:tcPr>
            <w:tcW w:w="27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Vested and expected to vest</w:t>
            </w:r>
          </w:p>
        </w:tc>
        <w:tc>
          <w:tcPr>
            <w:tcW w:w="60" w:type="dxa"/>
            <w:tcBorders/>
            <w:shd w:fill="FFFFFF" w:val="clear"/>
            <w:vAlign w:val="center"/>
          </w:tcPr>
          <w:p>
            <w:pPr>
              <w:pStyle w:val="TableContents"/>
              <w:bidi w:val="0"/>
              <w:spacing w:before="0" w:after="283"/>
              <w:jc w:val="left"/>
            </w:pPr>
            <w:r>
              <w:t> </w:t>
            </w:r>
          </w:p>
        </w:tc>
        <w:tc>
          <w:tcPr>
            <w:tcW w:w="96" w:type="dxa"/>
            <w:tcBorders/>
            <w:shd w:fill="FFFFFF" w:val="clear"/>
            <w:vAlign w:val="center"/>
          </w:tcPr>
          <w:p>
            <w:pPr>
              <w:pStyle w:val="TableContents"/>
              <w:bidi w:val="0"/>
              <w:spacing w:before="0" w:after="283"/>
              <w:ind w:left="0" w:right="0" w:hanging="0"/>
              <w:jc w:val="left"/>
            </w:pPr>
            <w:r>
              <w:t> </w:t>
            </w:r>
          </w:p>
        </w:tc>
        <w:tc>
          <w:tcPr>
            <w:tcW w:w="7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1,087</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15" w:type="dxa"/>
            <w:tcBorders/>
            <w:shd w:fill="FFFFFF" w:val="clear"/>
            <w:vAlign w:val="center"/>
          </w:tcPr>
          <w:p>
            <w:pPr>
              <w:pStyle w:val="TableContents"/>
              <w:bidi w:val="0"/>
              <w:spacing w:before="0" w:after="283"/>
              <w:ind w:left="0" w:right="0" w:hanging="0"/>
              <w:jc w:val="left"/>
            </w:pPr>
            <w:r>
              <w:t> </w:t>
            </w:r>
          </w:p>
        </w:tc>
        <w:tc>
          <w:tcPr>
            <w:tcW w:w="1019" w:type="dxa"/>
            <w:tcBorders/>
            <w:shd w:fill="FFFFFF" w:val="clear"/>
            <w:vAlign w:val="center"/>
          </w:tcPr>
          <w:p>
            <w:pPr>
              <w:pStyle w:val="TableContents"/>
              <w:bidi w:val="0"/>
              <w:spacing w:before="0" w:after="283"/>
              <w:ind w:left="0" w:right="0" w:hanging="0"/>
              <w:jc w:val="right"/>
            </w:pPr>
            <w:r>
              <w:rPr>
                <w:rStyle w:val="Emphasis"/>
              </w:rP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9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22.54</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3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107,854</w:t>
            </w:r>
          </w:p>
        </w:tc>
        <w:tc>
          <w:tcPr>
            <w:tcW w:w="60" w:type="dxa"/>
            <w:tcBorders/>
            <w:shd w:fill="FFFFFF" w:val="clear"/>
            <w:vAlign w:val="center"/>
          </w:tcPr>
          <w:p>
            <w:pPr>
              <w:pStyle w:val="TableContents"/>
              <w:bidi w:val="0"/>
              <w:spacing w:before="0" w:after="283"/>
              <w:jc w:val="left"/>
            </w:pPr>
            <w:r>
              <w:t> </w:t>
            </w:r>
          </w:p>
        </w:tc>
      </w:tr>
    </w:tbl>
    <w:p>
      <w:pPr>
        <w:pStyle w:val="TextBody"/>
        <w:bidi w:val="0"/>
        <w:spacing w:before="0" w:after="0"/>
        <w:ind w:left="0" w:right="0" w:hanging="0"/>
        <w:jc w:val="left"/>
      </w:pPr>
      <w:r>
        <w:t>​</w:t>
      </w:r>
    </w:p>
    <w:p>
      <w:pPr>
        <w:pStyle w:val="TextBody"/>
        <w:bidi w:val="0"/>
        <w:spacing w:before="0" w:after="0"/>
        <w:ind w:left="0" w:right="0" w:firstLine="720"/>
        <w:jc w:val="left"/>
      </w:pPr>
      <w:r>
        <w:rPr>
          <w:rFonts w:ascii="Times New Roman" w:hAnsi="Times New Roman"/>
          <w:sz w:val="20"/>
        </w:rPr>
        <w:t xml:space="preserve">As of </w:t>
      </w:r>
      <w:r>
        <w:rPr>
          <w:rStyle w:val="Emphasis"/>
          <w:rFonts w:ascii="Times New Roman" w:hAnsi="Times New Roman"/>
          <w:sz w:val="20"/>
        </w:rPr>
        <w:t>September 30, 2026</w:t>
      </w:r>
      <w:r>
        <w:rPr>
          <w:rFonts w:ascii="Times New Roman" w:hAnsi="Times New Roman"/>
          <w:sz w:val="20"/>
        </w:rPr>
        <w:t>, there was</w:t>
      </w:r>
      <w:r>
        <w:rPr>
          <w:rFonts w:ascii="Times New Roman" w:hAnsi="Times New Roman"/>
          <w:sz w:val="20"/>
          <w:shd w:fill="FFFFFF" w:val="clear"/>
        </w:rPr>
        <w:t xml:space="preserve"> $22.4 million</w:t>
      </w:r>
      <w:r>
        <w:rPr>
          <w:rFonts w:ascii="Times New Roman" w:hAnsi="Times New Roman"/>
          <w:sz w:val="20"/>
        </w:rPr>
        <w:t xml:space="preserve"> of unrecognized compensation expense related to these RSUs. This expense is expected to be recognized over 2.8</w:t>
      </w:r>
      <w:r>
        <w:rPr>
          <w:rFonts w:ascii="Times New Roman" w:hAnsi="Times New Roman"/>
          <w:sz w:val="20"/>
          <w:shd w:fill="FFFFFF" w:val="clear"/>
        </w:rPr>
        <w:t> years</w:t>
      </w:r>
      <w:r>
        <w:rPr>
          <w:rFonts w:ascii="Times New Roman" w:hAnsi="Times New Roman"/>
          <w:sz w:val="20"/>
        </w:rPr>
        <w:t>.</w:t>
      </w:r>
    </w:p>
    <w:p>
      <w:pPr>
        <w:pStyle w:val="TextBody"/>
        <w:bidi w:val="0"/>
        <w:spacing w:before="0" w:after="0"/>
        <w:ind w:left="0" w:right="0" w:hanging="0"/>
        <w:jc w:val="left"/>
      </w:pPr>
      <w:r>
        <w:t> </w:t>
      </w:r>
    </w:p>
    <w:p>
      <w:pPr>
        <w:pStyle w:val="TextBody"/>
        <w:bidi w:val="0"/>
        <w:spacing w:before="0" w:after="0"/>
        <w:jc w:val="center"/>
      </w:pPr>
      <w:r>
        <w:rPr>
          <w:rStyle w:val="Emphasis"/>
          <w:rFonts w:ascii="Times New Roman" w:hAnsi="Times New Roman"/>
          <w:sz w:val="20"/>
        </w:rPr>
        <w:t>20</w:t>
      </w:r>
      <w:r>
        <w:rPr>
          <w:rFonts w:ascii="Times New Roman" w:hAnsi="Times New Roman"/>
          <w:sz w:val="20"/>
        </w:rPr>
        <w:t xml:space="preserve"> </w:t>
      </w:r>
    </w:p>
    <w:p>
      <w:pPr>
        <w:pStyle w:val="HorizontalLine"/>
        <w:pBdr>
          <w:bottom w:val="double" w:sz="2" w:space="0" w:color="808080"/>
        </w:pBdr>
        <w:bidi w:val="0"/>
        <w:spacing w:before="0" w:after="283"/>
        <w:jc w:val="left"/>
      </w:pPr>
      <w:r/>
    </w:p>
    <w:p>
      <w:pPr>
        <w:pStyle w:val="TextBody"/>
        <w:bidi w:val="0"/>
        <w:spacing w:before="0" w:after="0"/>
        <w:jc w:val="left"/>
      </w:pPr>
      <w:hyperlink w:anchor="toc">
        <w:r>
          <w:rPr>
            <w:rStyle w:val="InternetLink"/>
            <w:rFonts w:ascii="Times New Roman;Times;serif" w:hAnsi="Times New Roman;Times;serif"/>
            <w:sz w:val="20"/>
          </w:rPr>
          <w:t>Table of Contents</w:t>
        </w:r>
      </w:hyperlink>
      <w:r>
        <w:t xml:space="preserve"> </w:t>
      </w:r>
    </w:p>
    <w:p>
      <w:pPr>
        <w:pStyle w:val="TextBody"/>
        <w:bidi w:val="0"/>
        <w:spacing w:before="0" w:after="283"/>
        <w:jc w:val="left"/>
      </w:pPr>
      <w:r>
        <w:t xml:space="preserve">  </w:t>
      </w:r>
    </w:p>
    <w:p>
      <w:pPr>
        <w:pStyle w:val="TextBody"/>
        <w:bidi w:val="0"/>
        <w:spacing w:before="0" w:after="0"/>
        <w:ind w:left="0" w:right="0" w:hanging="0"/>
        <w:jc w:val="left"/>
        <w:rPr>
          <w:rFonts w:ascii="Times New Roman" w:hAnsi="Times New Roman"/>
          <w:i/>
          <w:sz w:val="20"/>
        </w:rPr>
      </w:pPr>
      <w:r>
        <w:rPr>
          <w:rFonts w:ascii="Times New Roman" w:hAnsi="Times New Roman"/>
          <w:i/>
          <w:sz w:val="20"/>
        </w:rPr>
        <w:t>Share-Based Compensation</w:t>
      </w:r>
    </w:p>
    <w:p>
      <w:pPr>
        <w:pStyle w:val="TextBody"/>
        <w:bidi w:val="0"/>
        <w:spacing w:before="0" w:after="0"/>
        <w:ind w:left="0" w:right="0" w:hanging="0"/>
        <w:jc w:val="left"/>
      </w:pPr>
      <w:r>
        <w:t>​</w:t>
      </w:r>
    </w:p>
    <w:p>
      <w:pPr>
        <w:pStyle w:val="TextBody"/>
        <w:bidi w:val="0"/>
        <w:spacing w:before="0" w:after="0"/>
        <w:ind w:left="0" w:right="0" w:firstLine="720"/>
        <w:jc w:val="left"/>
        <w:rPr>
          <w:rFonts w:ascii="Times New Roman" w:hAnsi="Times New Roman"/>
          <w:sz w:val="20"/>
        </w:rPr>
      </w:pPr>
      <w:r>
        <w:rPr>
          <w:rFonts w:ascii="Times New Roman" w:hAnsi="Times New Roman"/>
          <w:sz w:val="20"/>
        </w:rPr>
        <w:t>Employee share-based compensation expenses recognized for the periods indicated (in thousands):</w:t>
      </w:r>
    </w:p>
    <w:p>
      <w:pPr>
        <w:pStyle w:val="TextBody"/>
        <w:bidi w:val="0"/>
        <w:spacing w:before="0" w:after="0"/>
        <w:ind w:left="0" w:right="0" w:firstLine="720"/>
        <w:jc w:val="left"/>
      </w:pPr>
      <w:r>
        <w:t> </w:t>
      </w:r>
    </w:p>
    <w:tbl>
      <w:tblPr>
        <w:tblW w:w="7239" w:type="dxa"/>
        <w:jc w:val="left"/>
        <w:tblInd w:w="0" w:type="dxa"/>
        <w:tblLayout w:type="fixed"/>
        <w:tblCellMar>
          <w:top w:w="0" w:type="dxa"/>
          <w:left w:w="0" w:type="dxa"/>
          <w:bottom w:w="0" w:type="dxa"/>
          <w:right w:w="0" w:type="dxa"/>
        </w:tblCellMar>
      </w:tblPr>
      <w:tblGrid>
        <w:gridCol w:w="3725"/>
        <w:gridCol w:w="60"/>
        <w:gridCol w:w="157"/>
        <w:gridCol w:w="609"/>
        <w:gridCol w:w="75"/>
        <w:gridCol w:w="75"/>
        <w:gridCol w:w="157"/>
        <w:gridCol w:w="609"/>
        <w:gridCol w:w="60"/>
        <w:gridCol w:w="60"/>
        <w:gridCol w:w="137"/>
        <w:gridCol w:w="651"/>
        <w:gridCol w:w="66"/>
        <w:gridCol w:w="66"/>
        <w:gridCol w:w="137"/>
        <w:gridCol w:w="535"/>
        <w:gridCol w:w="60"/>
      </w:tblGrid>
      <w:tr>
        <w:tc>
          <w:tcPr>
            <w:tcW w:w="372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682" w:type="dxa"/>
            <w:gridSpan w:val="6"/>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Three months ended</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592" w:type="dxa"/>
            <w:gridSpan w:val="6"/>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Nine months ended</w:t>
            </w:r>
          </w:p>
        </w:tc>
        <w:tc>
          <w:tcPr>
            <w:tcW w:w="60" w:type="dxa"/>
            <w:tcBorders/>
            <w:shd w:fill="FFFFFF" w:val="clear"/>
            <w:vAlign w:val="center"/>
          </w:tcPr>
          <w:p>
            <w:pPr>
              <w:pStyle w:val="TableContents"/>
              <w:bidi w:val="0"/>
              <w:spacing w:before="0" w:after="283"/>
              <w:jc w:val="left"/>
            </w:pPr>
            <w:r>
              <w:t> </w:t>
            </w:r>
          </w:p>
        </w:tc>
      </w:tr>
      <w:tr>
        <w:tc>
          <w:tcPr>
            <w:tcW w:w="372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68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September 30,</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59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September 30,</w:t>
            </w:r>
          </w:p>
        </w:tc>
        <w:tc>
          <w:tcPr>
            <w:tcW w:w="60" w:type="dxa"/>
            <w:tcBorders/>
            <w:shd w:fill="FFFFFF" w:val="clear"/>
            <w:vAlign w:val="center"/>
          </w:tcPr>
          <w:p>
            <w:pPr>
              <w:pStyle w:val="TableContents"/>
              <w:bidi w:val="0"/>
              <w:spacing w:before="0" w:after="283"/>
              <w:jc w:val="left"/>
            </w:pPr>
            <w:r>
              <w:t> </w:t>
            </w:r>
          </w:p>
        </w:tc>
      </w:tr>
      <w:tr>
        <w:tc>
          <w:tcPr>
            <w:tcW w:w="372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6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2026</w:t>
            </w:r>
          </w:p>
        </w:tc>
        <w:tc>
          <w:tcPr>
            <w:tcW w:w="75" w:type="dxa"/>
            <w:tcBorders/>
            <w:shd w:fill="FFFFFF" w:val="clear"/>
            <w:vAlign w:val="center"/>
          </w:tcPr>
          <w:p>
            <w:pPr>
              <w:pStyle w:val="TableContents"/>
              <w:bidi w:val="0"/>
              <w:spacing w:before="0" w:after="283"/>
              <w:jc w:val="left"/>
            </w:pPr>
            <w:r>
              <w:t> </w:t>
            </w:r>
          </w:p>
        </w:tc>
        <w:tc>
          <w:tcPr>
            <w:tcW w:w="75" w:type="dxa"/>
            <w:tcBorders/>
            <w:shd w:fill="FFFFFF" w:val="clear"/>
            <w:vAlign w:val="center"/>
          </w:tcPr>
          <w:p>
            <w:pPr>
              <w:pStyle w:val="TableContents"/>
              <w:bidi w:val="0"/>
              <w:spacing w:before="0" w:after="283"/>
              <w:ind w:left="0" w:right="0" w:hanging="0"/>
              <w:jc w:val="left"/>
            </w:pPr>
            <w:r>
              <w:t> </w:t>
            </w:r>
          </w:p>
        </w:tc>
        <w:tc>
          <w:tcPr>
            <w:tcW w:w="76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8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2026</w:t>
            </w:r>
          </w:p>
        </w:tc>
        <w:tc>
          <w:tcPr>
            <w:tcW w:w="66" w:type="dxa"/>
            <w:tcBorders/>
            <w:shd w:fill="FFFFFF" w:val="clear"/>
            <w:vAlign w:val="center"/>
          </w:tcPr>
          <w:p>
            <w:pPr>
              <w:pStyle w:val="TableContents"/>
              <w:bidi w:val="0"/>
              <w:spacing w:before="0" w:after="283"/>
              <w:jc w:val="left"/>
            </w:pPr>
            <w:r>
              <w:t> </w:t>
            </w:r>
          </w:p>
        </w:tc>
        <w:tc>
          <w:tcPr>
            <w:tcW w:w="66" w:type="dxa"/>
            <w:tcBorders/>
            <w:shd w:fill="FFFFFF" w:val="clear"/>
            <w:vAlign w:val="center"/>
          </w:tcPr>
          <w:p>
            <w:pPr>
              <w:pStyle w:val="TableContents"/>
              <w:bidi w:val="0"/>
              <w:spacing w:before="0" w:after="283"/>
              <w:ind w:left="0" w:right="0" w:hanging="0"/>
              <w:jc w:val="left"/>
            </w:pPr>
            <w:r>
              <w:t> </w:t>
            </w:r>
          </w:p>
        </w:tc>
        <w:tc>
          <w:tcPr>
            <w:tcW w:w="67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pPr>
            <w:r>
              <w:t> </w:t>
            </w:r>
          </w:p>
        </w:tc>
      </w:tr>
      <w:tr>
        <w:tc>
          <w:tcPr>
            <w:tcW w:w="37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Share-based compensation - by expense types</w:t>
            </w:r>
          </w:p>
        </w:tc>
        <w:tc>
          <w:tcPr>
            <w:tcW w:w="60" w:type="dxa"/>
            <w:tcBorders/>
            <w:shd w:fill="CCEEFF" w:val="clear"/>
            <w:vAlign w:val="center"/>
          </w:tcPr>
          <w:p>
            <w:pPr>
              <w:pStyle w:val="TableContents"/>
              <w:bidi w:val="0"/>
              <w:spacing w:before="0" w:after="283"/>
              <w:ind w:left="0" w:right="0" w:hanging="0"/>
              <w:jc w:val="left"/>
            </w:pPr>
            <w:r>
              <w:t> </w:t>
            </w:r>
          </w:p>
        </w:tc>
        <w:tc>
          <w:tcPr>
            <w:tcW w:w="766" w:type="dxa"/>
            <w:gridSpan w:val="2"/>
            <w:tcBorders/>
            <w:shd w:fill="CCEEFF" w:val="clear"/>
            <w:vAlign w:val="center"/>
          </w:tcPr>
          <w:p>
            <w:pPr>
              <w:pStyle w:val="TableContents"/>
              <w:bidi w:val="0"/>
              <w:spacing w:before="0" w:after="283"/>
              <w:jc w:val="left"/>
            </w:pPr>
            <w:r>
              <w:t> </w:t>
            </w:r>
          </w:p>
        </w:tc>
        <w:tc>
          <w:tcPr>
            <w:tcW w:w="75" w:type="dxa"/>
            <w:tcBorders/>
            <w:shd w:fill="CCEEFF" w:val="clear"/>
            <w:vAlign w:val="center"/>
          </w:tcPr>
          <w:p>
            <w:pPr>
              <w:pStyle w:val="TableContents"/>
              <w:bidi w:val="0"/>
              <w:spacing w:before="0" w:after="283"/>
              <w:jc w:val="left"/>
            </w:pPr>
            <w:r>
              <w:t> </w:t>
            </w:r>
          </w:p>
        </w:tc>
        <w:tc>
          <w:tcPr>
            <w:tcW w:w="75" w:type="dxa"/>
            <w:tcBorders/>
            <w:shd w:fill="CCEEFF" w:val="clear"/>
            <w:vAlign w:val="center"/>
          </w:tcPr>
          <w:p>
            <w:pPr>
              <w:pStyle w:val="TableContents"/>
              <w:bidi w:val="0"/>
              <w:spacing w:before="0" w:after="283"/>
              <w:ind w:left="0" w:right="0" w:hanging="0"/>
              <w:jc w:val="left"/>
            </w:pPr>
            <w:r>
              <w:t> </w:t>
            </w:r>
          </w:p>
        </w:tc>
        <w:tc>
          <w:tcPr>
            <w:tcW w:w="766" w:type="dxa"/>
            <w:gridSpan w:val="2"/>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37" w:type="dxa"/>
            <w:tcBorders/>
            <w:shd w:fill="CCEEFF" w:val="clear"/>
            <w:vAlign w:val="center"/>
          </w:tcPr>
          <w:p>
            <w:pPr>
              <w:pStyle w:val="TableContents"/>
              <w:bidi w:val="0"/>
              <w:spacing w:before="0" w:after="283"/>
              <w:jc w:val="left"/>
            </w:pPr>
            <w:r>
              <w:t> </w:t>
            </w:r>
          </w:p>
        </w:tc>
        <w:tc>
          <w:tcPr>
            <w:tcW w:w="651" w:type="dxa"/>
            <w:tcBorders/>
            <w:shd w:fill="CCEEFF" w:val="clear"/>
            <w:vAlign w:val="center"/>
          </w:tcPr>
          <w:p>
            <w:pPr>
              <w:pStyle w:val="TableContents"/>
              <w:bidi w:val="0"/>
              <w:spacing w:before="0" w:after="283"/>
              <w:jc w:val="left"/>
            </w:pPr>
            <w:r>
              <w:t> </w:t>
            </w:r>
          </w:p>
        </w:tc>
        <w:tc>
          <w:tcPr>
            <w:tcW w:w="66" w:type="dxa"/>
            <w:tcBorders/>
            <w:shd w:fill="CCEEFF" w:val="clear"/>
            <w:vAlign w:val="center"/>
          </w:tcPr>
          <w:p>
            <w:pPr>
              <w:pStyle w:val="TableContents"/>
              <w:bidi w:val="0"/>
              <w:spacing w:before="0" w:after="283"/>
              <w:jc w:val="left"/>
            </w:pPr>
            <w:r>
              <w:t> </w:t>
            </w:r>
          </w:p>
        </w:tc>
        <w:tc>
          <w:tcPr>
            <w:tcW w:w="66" w:type="dxa"/>
            <w:tcBorders/>
            <w:shd w:fill="CCEEFF" w:val="clear"/>
            <w:vAlign w:val="center"/>
          </w:tcPr>
          <w:p>
            <w:pPr>
              <w:pStyle w:val="TableContents"/>
              <w:bidi w:val="0"/>
              <w:spacing w:before="0" w:after="283"/>
              <w:jc w:val="left"/>
            </w:pPr>
            <w:r>
              <w:t> </w:t>
            </w:r>
          </w:p>
        </w:tc>
        <w:tc>
          <w:tcPr>
            <w:tcW w:w="137" w:type="dxa"/>
            <w:tcBorders/>
            <w:shd w:fill="CCEEFF" w:val="clear"/>
            <w:vAlign w:val="center"/>
          </w:tcPr>
          <w:p>
            <w:pPr>
              <w:pStyle w:val="TableContents"/>
              <w:bidi w:val="0"/>
              <w:spacing w:before="0" w:after="283"/>
              <w:jc w:val="left"/>
            </w:pPr>
            <w:r>
              <w:t> </w:t>
            </w:r>
          </w:p>
        </w:tc>
        <w:tc>
          <w:tcPr>
            <w:tcW w:w="53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r>
      <w:tr>
        <w:tc>
          <w:tcPr>
            <w:tcW w:w="37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goods sold</w:t>
            </w:r>
          </w:p>
        </w:tc>
        <w:tc>
          <w:tcPr>
            <w:tcW w:w="60" w:type="dxa"/>
            <w:tcBorders/>
            <w:shd w:fill="FFFFFF" w:val="clear"/>
            <w:vAlign w:val="center"/>
          </w:tcPr>
          <w:p>
            <w:pPr>
              <w:pStyle w:val="TableContents"/>
              <w:bidi w:val="0"/>
              <w:spacing w:before="0" w:after="283"/>
              <w:jc w:val="left"/>
            </w:pPr>
            <w:r>
              <w:t> </w:t>
            </w:r>
          </w:p>
        </w:tc>
        <w:tc>
          <w:tcPr>
            <w:tcW w:w="15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161</w:t>
            </w:r>
          </w:p>
        </w:tc>
        <w:tc>
          <w:tcPr>
            <w:tcW w:w="75" w:type="dxa"/>
            <w:tcBorders/>
            <w:shd w:fill="FFFFFF" w:val="clear"/>
            <w:vAlign w:val="center"/>
          </w:tcPr>
          <w:p>
            <w:pPr>
              <w:pStyle w:val="TableContents"/>
              <w:bidi w:val="0"/>
              <w:spacing w:before="0" w:after="283"/>
              <w:jc w:val="left"/>
            </w:pPr>
            <w:r>
              <w:t> </w:t>
            </w:r>
          </w:p>
        </w:tc>
        <w:tc>
          <w:tcPr>
            <w:tcW w:w="75" w:type="dxa"/>
            <w:tcBorders/>
            <w:shd w:fill="FFFFFF" w:val="clear"/>
            <w:vAlign w:val="center"/>
          </w:tcPr>
          <w:p>
            <w:pPr>
              <w:pStyle w:val="TableContents"/>
              <w:bidi w:val="0"/>
              <w:spacing w:before="0" w:after="283"/>
              <w:jc w:val="left"/>
            </w:pPr>
            <w:r>
              <w:t> </w:t>
            </w:r>
          </w:p>
        </w:tc>
        <w:tc>
          <w:tcPr>
            <w:tcW w:w="15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87</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3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487</w:t>
            </w:r>
          </w:p>
        </w:tc>
        <w:tc>
          <w:tcPr>
            <w:tcW w:w="66" w:type="dxa"/>
            <w:tcBorders/>
            <w:shd w:fill="FFFFFF" w:val="clear"/>
            <w:vAlign w:val="center"/>
          </w:tcPr>
          <w:p>
            <w:pPr>
              <w:pStyle w:val="TableContents"/>
              <w:bidi w:val="0"/>
              <w:spacing w:before="0" w:after="283"/>
              <w:jc w:val="left"/>
            </w:pPr>
            <w:r>
              <w:t> </w:t>
            </w:r>
          </w:p>
        </w:tc>
        <w:tc>
          <w:tcPr>
            <w:tcW w:w="66" w:type="dxa"/>
            <w:tcBorders/>
            <w:shd w:fill="FFFFFF" w:val="clear"/>
            <w:vAlign w:val="center"/>
          </w:tcPr>
          <w:p>
            <w:pPr>
              <w:pStyle w:val="TableContents"/>
              <w:bidi w:val="0"/>
              <w:spacing w:before="0" w:after="283"/>
              <w:jc w:val="left"/>
            </w:pPr>
            <w:r>
              <w:t> </w:t>
            </w:r>
          </w:p>
        </w:tc>
        <w:tc>
          <w:tcPr>
            <w:tcW w:w="13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264</w:t>
            </w:r>
          </w:p>
        </w:tc>
        <w:tc>
          <w:tcPr>
            <w:tcW w:w="60" w:type="dxa"/>
            <w:tcBorders/>
            <w:shd w:fill="FFFFFF" w:val="clear"/>
            <w:vAlign w:val="center"/>
          </w:tcPr>
          <w:p>
            <w:pPr>
              <w:pStyle w:val="TableContents"/>
              <w:bidi w:val="0"/>
              <w:spacing w:before="0" w:after="283"/>
              <w:jc w:val="left"/>
            </w:pPr>
            <w:r>
              <w:t> </w:t>
            </w:r>
          </w:p>
        </w:tc>
      </w:tr>
      <w:tr>
        <w:tc>
          <w:tcPr>
            <w:tcW w:w="37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CCEEFF" w:val="clear"/>
            <w:vAlign w:val="center"/>
          </w:tcPr>
          <w:p>
            <w:pPr>
              <w:pStyle w:val="TableContents"/>
              <w:bidi w:val="0"/>
              <w:spacing w:before="0" w:after="283"/>
              <w:jc w:val="left"/>
            </w:pPr>
            <w:r>
              <w:t> </w:t>
            </w:r>
          </w:p>
        </w:tc>
        <w:tc>
          <w:tcPr>
            <w:tcW w:w="157" w:type="dxa"/>
            <w:tcBorders/>
            <w:shd w:fill="CCEEFF" w:val="clear"/>
            <w:vAlign w:val="center"/>
          </w:tcPr>
          <w:p>
            <w:pPr>
              <w:pStyle w:val="TableContents"/>
              <w:bidi w:val="0"/>
              <w:spacing w:before="0" w:after="283"/>
              <w:jc w:val="left"/>
            </w:pPr>
            <w:r>
              <w:t> </w:t>
            </w:r>
          </w:p>
        </w:tc>
        <w:tc>
          <w:tcPr>
            <w:tcW w:w="60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491</w:t>
            </w:r>
          </w:p>
        </w:tc>
        <w:tc>
          <w:tcPr>
            <w:tcW w:w="75" w:type="dxa"/>
            <w:tcBorders/>
            <w:shd w:fill="CCEEFF" w:val="clear"/>
            <w:vAlign w:val="center"/>
          </w:tcPr>
          <w:p>
            <w:pPr>
              <w:pStyle w:val="TableContents"/>
              <w:bidi w:val="0"/>
              <w:spacing w:before="0" w:after="283"/>
              <w:jc w:val="left"/>
            </w:pPr>
            <w:r>
              <w:t> </w:t>
            </w:r>
          </w:p>
        </w:tc>
        <w:tc>
          <w:tcPr>
            <w:tcW w:w="75" w:type="dxa"/>
            <w:tcBorders/>
            <w:shd w:fill="CCEEFF" w:val="clear"/>
            <w:vAlign w:val="center"/>
          </w:tcPr>
          <w:p>
            <w:pPr>
              <w:pStyle w:val="TableContents"/>
              <w:bidi w:val="0"/>
              <w:spacing w:before="0" w:after="283"/>
              <w:jc w:val="left"/>
            </w:pPr>
            <w:r>
              <w:t> </w:t>
            </w:r>
          </w:p>
        </w:tc>
        <w:tc>
          <w:tcPr>
            <w:tcW w:w="157" w:type="dxa"/>
            <w:tcBorders/>
            <w:shd w:fill="CCEEFF" w:val="clear"/>
            <w:vAlign w:val="center"/>
          </w:tcPr>
          <w:p>
            <w:pPr>
              <w:pStyle w:val="TableContents"/>
              <w:bidi w:val="0"/>
              <w:spacing w:before="0" w:after="283"/>
              <w:jc w:val="left"/>
            </w:pPr>
            <w:r>
              <w:t> </w:t>
            </w:r>
          </w:p>
        </w:tc>
        <w:tc>
          <w:tcPr>
            <w:tcW w:w="60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294</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37" w:type="dxa"/>
            <w:tcBorders/>
            <w:shd w:fill="CCEEFF" w:val="clear"/>
            <w:vAlign w:val="center"/>
          </w:tcPr>
          <w:p>
            <w:pPr>
              <w:pStyle w:val="TableContents"/>
              <w:bidi w:val="0"/>
              <w:spacing w:before="0" w:after="283"/>
              <w:jc w:val="left"/>
            </w:pPr>
            <w:r>
              <w:t> </w:t>
            </w:r>
          </w:p>
        </w:tc>
        <w:tc>
          <w:tcPr>
            <w:tcW w:w="65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1,438</w:t>
            </w:r>
          </w:p>
        </w:tc>
        <w:tc>
          <w:tcPr>
            <w:tcW w:w="66" w:type="dxa"/>
            <w:tcBorders/>
            <w:shd w:fill="CCEEFF" w:val="clear"/>
            <w:vAlign w:val="center"/>
          </w:tcPr>
          <w:p>
            <w:pPr>
              <w:pStyle w:val="TableContents"/>
              <w:bidi w:val="0"/>
              <w:spacing w:before="0" w:after="283"/>
              <w:jc w:val="left"/>
            </w:pPr>
            <w:r>
              <w:t> </w:t>
            </w:r>
          </w:p>
        </w:tc>
        <w:tc>
          <w:tcPr>
            <w:tcW w:w="66" w:type="dxa"/>
            <w:tcBorders/>
            <w:shd w:fill="CCEEFF" w:val="clear"/>
            <w:vAlign w:val="center"/>
          </w:tcPr>
          <w:p>
            <w:pPr>
              <w:pStyle w:val="TableContents"/>
              <w:bidi w:val="0"/>
              <w:spacing w:before="0" w:after="283"/>
              <w:jc w:val="left"/>
            </w:pPr>
            <w:r>
              <w:t> </w:t>
            </w:r>
          </w:p>
        </w:tc>
        <w:tc>
          <w:tcPr>
            <w:tcW w:w="137" w:type="dxa"/>
            <w:tcBorders/>
            <w:shd w:fill="CCEEFF" w:val="clear"/>
            <w:vAlign w:val="center"/>
          </w:tcPr>
          <w:p>
            <w:pPr>
              <w:pStyle w:val="TableContents"/>
              <w:bidi w:val="0"/>
              <w:spacing w:before="0" w:after="283"/>
              <w:jc w:val="left"/>
            </w:pPr>
            <w:r>
              <w:t> </w:t>
            </w:r>
          </w:p>
        </w:tc>
        <w:tc>
          <w:tcPr>
            <w:tcW w:w="5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900</w:t>
            </w:r>
          </w:p>
        </w:tc>
        <w:tc>
          <w:tcPr>
            <w:tcW w:w="60" w:type="dxa"/>
            <w:tcBorders/>
            <w:shd w:fill="CCEEFF" w:val="clear"/>
            <w:vAlign w:val="center"/>
          </w:tcPr>
          <w:p>
            <w:pPr>
              <w:pStyle w:val="TableContents"/>
              <w:bidi w:val="0"/>
              <w:spacing w:before="0" w:after="283"/>
              <w:jc w:val="left"/>
            </w:pPr>
            <w:r>
              <w:t> </w:t>
            </w:r>
          </w:p>
        </w:tc>
      </w:tr>
      <w:tr>
        <w:tc>
          <w:tcPr>
            <w:tcW w:w="37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and marketing</w:t>
            </w:r>
          </w:p>
        </w:tc>
        <w:tc>
          <w:tcPr>
            <w:tcW w:w="60" w:type="dxa"/>
            <w:tcBorders/>
            <w:shd w:fill="FFFFFF" w:val="clear"/>
            <w:vAlign w:val="center"/>
          </w:tcPr>
          <w:p>
            <w:pPr>
              <w:pStyle w:val="TableContents"/>
              <w:bidi w:val="0"/>
              <w:spacing w:before="0" w:after="283"/>
              <w:jc w:val="left"/>
            </w:pPr>
            <w:r>
              <w:t> </w:t>
            </w:r>
          </w:p>
        </w:tc>
        <w:tc>
          <w:tcPr>
            <w:tcW w:w="157" w:type="dxa"/>
            <w:tcBorders/>
            <w:shd w:fill="FFFFFF" w:val="clear"/>
            <w:vAlign w:val="center"/>
          </w:tcPr>
          <w:p>
            <w:pPr>
              <w:pStyle w:val="TableContents"/>
              <w:bidi w:val="0"/>
              <w:spacing w:before="0" w:after="283"/>
              <w:jc w:val="left"/>
            </w:pPr>
            <w:r>
              <w:t> </w:t>
            </w:r>
          </w:p>
        </w:tc>
        <w:tc>
          <w:tcPr>
            <w:tcW w:w="60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456</w:t>
            </w:r>
          </w:p>
        </w:tc>
        <w:tc>
          <w:tcPr>
            <w:tcW w:w="75" w:type="dxa"/>
            <w:tcBorders/>
            <w:shd w:fill="FFFFFF" w:val="clear"/>
            <w:vAlign w:val="center"/>
          </w:tcPr>
          <w:p>
            <w:pPr>
              <w:pStyle w:val="TableContents"/>
              <w:bidi w:val="0"/>
              <w:spacing w:before="0" w:after="283"/>
              <w:jc w:val="left"/>
            </w:pPr>
            <w:r>
              <w:t> </w:t>
            </w:r>
          </w:p>
        </w:tc>
        <w:tc>
          <w:tcPr>
            <w:tcW w:w="75" w:type="dxa"/>
            <w:tcBorders/>
            <w:shd w:fill="FFFFFF" w:val="clear"/>
            <w:vAlign w:val="center"/>
          </w:tcPr>
          <w:p>
            <w:pPr>
              <w:pStyle w:val="TableContents"/>
              <w:bidi w:val="0"/>
              <w:spacing w:before="0" w:after="283"/>
              <w:jc w:val="left"/>
            </w:pPr>
            <w:r>
              <w:t> </w:t>
            </w:r>
          </w:p>
        </w:tc>
        <w:tc>
          <w:tcPr>
            <w:tcW w:w="157" w:type="dxa"/>
            <w:tcBorders/>
            <w:shd w:fill="FFFFFF" w:val="clear"/>
            <w:vAlign w:val="center"/>
          </w:tcPr>
          <w:p>
            <w:pPr>
              <w:pStyle w:val="TableContents"/>
              <w:bidi w:val="0"/>
              <w:spacing w:before="0" w:after="283"/>
              <w:jc w:val="left"/>
            </w:pPr>
            <w:r>
              <w:t> </w:t>
            </w:r>
          </w:p>
        </w:tc>
        <w:tc>
          <w:tcPr>
            <w:tcW w:w="60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275</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37" w:type="dxa"/>
            <w:tcBorders/>
            <w:shd w:fill="FFFFFF" w:val="clear"/>
            <w:vAlign w:val="center"/>
          </w:tcPr>
          <w:p>
            <w:pPr>
              <w:pStyle w:val="TableContents"/>
              <w:bidi w:val="0"/>
              <w:spacing w:before="0" w:after="283"/>
              <w:jc w:val="left"/>
            </w:pPr>
            <w:r>
              <w:t> </w:t>
            </w:r>
          </w:p>
        </w:tc>
        <w:tc>
          <w:tcPr>
            <w:tcW w:w="65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1,346</w:t>
            </w:r>
          </w:p>
        </w:tc>
        <w:tc>
          <w:tcPr>
            <w:tcW w:w="66" w:type="dxa"/>
            <w:tcBorders/>
            <w:shd w:fill="FFFFFF" w:val="clear"/>
            <w:vAlign w:val="center"/>
          </w:tcPr>
          <w:p>
            <w:pPr>
              <w:pStyle w:val="TableContents"/>
              <w:bidi w:val="0"/>
              <w:spacing w:before="0" w:after="283"/>
              <w:jc w:val="left"/>
            </w:pPr>
            <w:r>
              <w:t> </w:t>
            </w:r>
          </w:p>
        </w:tc>
        <w:tc>
          <w:tcPr>
            <w:tcW w:w="66" w:type="dxa"/>
            <w:tcBorders/>
            <w:shd w:fill="FFFFFF" w:val="clear"/>
            <w:vAlign w:val="center"/>
          </w:tcPr>
          <w:p>
            <w:pPr>
              <w:pStyle w:val="TableContents"/>
              <w:bidi w:val="0"/>
              <w:spacing w:before="0" w:after="283"/>
              <w:jc w:val="left"/>
            </w:pPr>
            <w:r>
              <w:t> </w:t>
            </w:r>
          </w:p>
        </w:tc>
        <w:tc>
          <w:tcPr>
            <w:tcW w:w="137" w:type="dxa"/>
            <w:tcBorders/>
            <w:shd w:fill="FFFFFF" w:val="clear"/>
            <w:vAlign w:val="center"/>
          </w:tcPr>
          <w:p>
            <w:pPr>
              <w:pStyle w:val="TableContents"/>
              <w:bidi w:val="0"/>
              <w:spacing w:before="0" w:after="283"/>
              <w:jc w:val="left"/>
            </w:pPr>
            <w:r>
              <w:t> </w:t>
            </w:r>
          </w:p>
        </w:tc>
        <w:tc>
          <w:tcPr>
            <w:tcW w:w="5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1,097</w:t>
            </w:r>
          </w:p>
        </w:tc>
        <w:tc>
          <w:tcPr>
            <w:tcW w:w="60" w:type="dxa"/>
            <w:tcBorders/>
            <w:shd w:fill="FFFFFF" w:val="clear"/>
            <w:vAlign w:val="center"/>
          </w:tcPr>
          <w:p>
            <w:pPr>
              <w:pStyle w:val="TableContents"/>
              <w:bidi w:val="0"/>
              <w:spacing w:before="0" w:after="283"/>
              <w:jc w:val="left"/>
            </w:pPr>
            <w:r>
              <w:t> </w:t>
            </w:r>
          </w:p>
        </w:tc>
      </w:tr>
      <w:tr>
        <w:tc>
          <w:tcPr>
            <w:tcW w:w="37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p>
        </w:tc>
        <w:tc>
          <w:tcPr>
            <w:tcW w:w="60" w:type="dxa"/>
            <w:tcBorders/>
            <w:shd w:fill="CCEEFF" w:val="clear"/>
            <w:vAlign w:val="center"/>
          </w:tcPr>
          <w:p>
            <w:pPr>
              <w:pStyle w:val="TableContents"/>
              <w:bidi w:val="0"/>
              <w:spacing w:before="0" w:after="283"/>
              <w:ind w:left="0" w:right="0" w:hanging="0"/>
              <w:jc w:val="left"/>
            </w:pPr>
            <w:r>
              <w:t> </w:t>
            </w:r>
          </w:p>
        </w:tc>
        <w:tc>
          <w:tcPr>
            <w:tcW w:w="15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609"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4,576</w:t>
            </w:r>
          </w:p>
        </w:tc>
        <w:tc>
          <w:tcPr>
            <w:tcW w:w="75" w:type="dxa"/>
            <w:tcBorders/>
            <w:shd w:fill="CCEEFF" w:val="clear"/>
            <w:vAlign w:val="center"/>
          </w:tcPr>
          <w:p>
            <w:pPr>
              <w:pStyle w:val="TableContents"/>
              <w:bidi w:val="0"/>
              <w:spacing w:before="0" w:after="283"/>
              <w:jc w:val="left"/>
            </w:pPr>
            <w:r>
              <w:t> </w:t>
            </w:r>
          </w:p>
        </w:tc>
        <w:tc>
          <w:tcPr>
            <w:tcW w:w="75" w:type="dxa"/>
            <w:tcBorders/>
            <w:shd w:fill="CCEEFF" w:val="clear"/>
            <w:vAlign w:val="center"/>
          </w:tcPr>
          <w:p>
            <w:pPr>
              <w:pStyle w:val="TableContents"/>
              <w:bidi w:val="0"/>
              <w:spacing w:before="0" w:after="283"/>
              <w:ind w:left="0" w:right="0" w:hanging="0"/>
              <w:jc w:val="left"/>
            </w:pPr>
            <w:r>
              <w:t> </w:t>
            </w:r>
          </w:p>
        </w:tc>
        <w:tc>
          <w:tcPr>
            <w:tcW w:w="15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609"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2,460</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651"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11,668</w:t>
            </w:r>
          </w:p>
        </w:tc>
        <w:tc>
          <w:tcPr>
            <w:tcW w:w="66" w:type="dxa"/>
            <w:tcBorders/>
            <w:shd w:fill="CCEEFF" w:val="clear"/>
            <w:vAlign w:val="center"/>
          </w:tcPr>
          <w:p>
            <w:pPr>
              <w:pStyle w:val="TableContents"/>
              <w:bidi w:val="0"/>
              <w:spacing w:before="0" w:after="283"/>
              <w:jc w:val="left"/>
            </w:pPr>
            <w:r>
              <w:t> </w:t>
            </w:r>
          </w:p>
        </w:tc>
        <w:tc>
          <w:tcPr>
            <w:tcW w:w="66" w:type="dxa"/>
            <w:tcBorders/>
            <w:shd w:fill="CCEEFF" w:val="clear"/>
            <w:vAlign w:val="center"/>
          </w:tcPr>
          <w:p>
            <w:pPr>
              <w:pStyle w:val="TableContents"/>
              <w:bidi w:val="0"/>
              <w:spacing w:before="0" w:after="283"/>
              <w:ind w:left="0" w:right="0" w:hanging="0"/>
              <w:jc w:val="left"/>
            </w:pPr>
            <w:r>
              <w:t> </w:t>
            </w:r>
          </w:p>
        </w:tc>
        <w:tc>
          <w:tcPr>
            <w:tcW w:w="1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535"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6,581</w:t>
            </w:r>
          </w:p>
        </w:tc>
        <w:tc>
          <w:tcPr>
            <w:tcW w:w="60" w:type="dxa"/>
            <w:tcBorders/>
            <w:shd w:fill="CCEEFF" w:val="clear"/>
            <w:vAlign w:val="center"/>
          </w:tcPr>
          <w:p>
            <w:pPr>
              <w:pStyle w:val="TableContents"/>
              <w:bidi w:val="0"/>
              <w:spacing w:before="0" w:after="283"/>
              <w:jc w:val="left"/>
            </w:pPr>
            <w:r>
              <w:t> </w:t>
            </w:r>
          </w:p>
        </w:tc>
      </w:tr>
      <w:tr>
        <w:tc>
          <w:tcPr>
            <w:tcW w:w="37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share-based compensation expense</w:t>
            </w:r>
          </w:p>
        </w:tc>
        <w:tc>
          <w:tcPr>
            <w:tcW w:w="60" w:type="dxa"/>
            <w:tcBorders/>
            <w:shd w:fill="FFFFFF" w:val="clear"/>
            <w:vAlign w:val="center"/>
          </w:tcPr>
          <w:p>
            <w:pPr>
              <w:pStyle w:val="TableContents"/>
              <w:bidi w:val="0"/>
              <w:spacing w:before="0" w:after="283"/>
              <w:ind w:left="0" w:right="0" w:hanging="0"/>
              <w:jc w:val="left"/>
            </w:pPr>
            <w:r>
              <w:t> </w:t>
            </w:r>
          </w:p>
        </w:tc>
        <w:tc>
          <w:tcPr>
            <w:tcW w:w="15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5,684</w:t>
            </w:r>
          </w:p>
        </w:tc>
        <w:tc>
          <w:tcPr>
            <w:tcW w:w="75" w:type="dxa"/>
            <w:tcBorders/>
            <w:shd w:fill="FFFFFF" w:val="clear"/>
            <w:vAlign w:val="center"/>
          </w:tcPr>
          <w:p>
            <w:pPr>
              <w:pStyle w:val="TableContents"/>
              <w:bidi w:val="0"/>
              <w:spacing w:before="0" w:after="283"/>
              <w:jc w:val="left"/>
            </w:pPr>
            <w:r>
              <w:t> </w:t>
            </w:r>
          </w:p>
        </w:tc>
        <w:tc>
          <w:tcPr>
            <w:tcW w:w="75" w:type="dxa"/>
            <w:tcBorders/>
            <w:shd w:fill="FFFFFF" w:val="clear"/>
            <w:vAlign w:val="center"/>
          </w:tcPr>
          <w:p>
            <w:pPr>
              <w:pStyle w:val="TableContents"/>
              <w:bidi w:val="0"/>
              <w:spacing w:before="0" w:after="283"/>
              <w:ind w:left="0" w:right="0" w:hanging="0"/>
              <w:jc w:val="left"/>
            </w:pPr>
            <w:r>
              <w:t> </w:t>
            </w:r>
          </w:p>
        </w:tc>
        <w:tc>
          <w:tcPr>
            <w:tcW w:w="15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3,116</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3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14,939</w:t>
            </w:r>
          </w:p>
        </w:tc>
        <w:tc>
          <w:tcPr>
            <w:tcW w:w="66" w:type="dxa"/>
            <w:tcBorders/>
            <w:shd w:fill="FFFFFF" w:val="clear"/>
            <w:vAlign w:val="center"/>
          </w:tcPr>
          <w:p>
            <w:pPr>
              <w:pStyle w:val="TableContents"/>
              <w:bidi w:val="0"/>
              <w:spacing w:before="0" w:after="283"/>
              <w:jc w:val="left"/>
            </w:pPr>
            <w:r>
              <w:t> </w:t>
            </w:r>
          </w:p>
        </w:tc>
        <w:tc>
          <w:tcPr>
            <w:tcW w:w="66" w:type="dxa"/>
            <w:tcBorders/>
            <w:shd w:fill="FFFFFF" w:val="clear"/>
            <w:vAlign w:val="center"/>
          </w:tcPr>
          <w:p>
            <w:pPr>
              <w:pStyle w:val="TableContents"/>
              <w:bidi w:val="0"/>
              <w:spacing w:before="0" w:after="283"/>
              <w:ind w:left="0" w:right="0" w:hanging="0"/>
              <w:jc w:val="left"/>
            </w:pPr>
            <w:r>
              <w:t> </w:t>
            </w:r>
          </w:p>
        </w:tc>
        <w:tc>
          <w:tcPr>
            <w:tcW w:w="13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3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8,842</w:t>
            </w:r>
          </w:p>
        </w:tc>
        <w:tc>
          <w:tcPr>
            <w:tcW w:w="60" w:type="dxa"/>
            <w:tcBorders/>
            <w:shd w:fill="FFFFFF" w:val="clear"/>
            <w:vAlign w:val="center"/>
          </w:tcPr>
          <w:p>
            <w:pPr>
              <w:pStyle w:val="TableContents"/>
              <w:bidi w:val="0"/>
              <w:spacing w:before="0" w:after="283"/>
              <w:jc w:val="left"/>
            </w:pPr>
            <w:r>
              <w:t> </w:t>
            </w:r>
          </w:p>
        </w:tc>
      </w:tr>
    </w:tbl>
    <w:p>
      <w:pPr>
        <w:pStyle w:val="TextBody"/>
        <w:bidi w:val="0"/>
        <w:spacing w:before="0" w:after="0"/>
        <w:ind w:left="0" w:right="0" w:firstLine="720"/>
        <w:jc w:val="left"/>
      </w:pPr>
      <w:r>
        <w:t> </w:t>
      </w:r>
    </w:p>
    <w:p>
      <w:pPr>
        <w:pStyle w:val="TextBody"/>
        <w:bidi w:val="0"/>
        <w:spacing w:before="0" w:after="283"/>
        <w:jc w:val="left"/>
      </w:pPr>
      <w:r>
        <w:t xml:space="preserve">  </w:t>
      </w:r>
    </w:p>
    <w:p>
      <w:pPr>
        <w:pStyle w:val="TextBody"/>
        <w:bidi w:val="0"/>
        <w:spacing w:before="0" w:after="0"/>
        <w:ind w:left="0" w:right="0" w:hanging="0"/>
        <w:jc w:val="left"/>
      </w:pPr>
      <w:r>
        <w:rPr>
          <w:rFonts w:ascii="Times New Roman;Times;serif" w:hAnsi="Times New Roman;Times;serif"/>
          <w:b/>
          <w:sz w:val="20"/>
          <w:shd w:fill="FFFFFF" w:val="clear"/>
        </w:rPr>
        <w:t xml:space="preserve">Note </w:t>
      </w:r>
      <w:r>
        <w:rPr>
          <w:rStyle w:val="Emphasis"/>
          <w:rFonts w:ascii="Times New Roman;Times;serif" w:hAnsi="Times New Roman;Times;serif"/>
          <w:b/>
          <w:sz w:val="20"/>
          <w:shd w:fill="FFFFFF" w:val="clear"/>
        </w:rPr>
        <w:t>16.</w:t>
      </w:r>
      <w:r>
        <w:rPr>
          <w:rFonts w:ascii="Times New Roman;Times;serif" w:hAnsi="Times New Roman;Times;serif"/>
          <w:b/>
          <w:sz w:val="20"/>
          <w:shd w:fill="FFFFFF" w:val="clear"/>
        </w:rPr>
        <w:t>  Income Taxes</w:t>
      </w:r>
    </w:p>
    <w:p>
      <w:pPr>
        <w:pStyle w:val="TextBody"/>
        <w:bidi w:val="0"/>
        <w:spacing w:before="0" w:after="0"/>
        <w:ind w:left="0" w:right="0" w:firstLine="720"/>
        <w:jc w:val="left"/>
        <w:rPr>
          <w:shd w:fill="FFFF00" w:val="clear"/>
        </w:rPr>
      </w:pPr>
      <w:r>
        <w:rPr>
          <w:shd w:fill="FFFF00" w:val="clear"/>
        </w:rPr>
        <w:t>​​</w:t>
      </w:r>
    </w:p>
    <w:p>
      <w:pPr>
        <w:pStyle w:val="TextBody"/>
        <w:bidi w:val="0"/>
        <w:spacing w:before="0" w:after="0"/>
        <w:ind w:left="0" w:right="0" w:firstLine="720"/>
        <w:jc w:val="left"/>
      </w:pPr>
      <w:r>
        <w:rPr>
          <w:rFonts w:ascii="Times New Roman;Times;serif" w:hAnsi="Times New Roman;Times;serif"/>
          <w:sz w:val="20"/>
        </w:rPr>
        <w:t xml:space="preserve">For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September 30, 2026</w:t>
      </w:r>
      <w:r>
        <w:rPr>
          <w:rFonts w:ascii="Times New Roman;Times;serif" w:hAnsi="Times New Roman;Times;serif"/>
          <w:sz w:val="20"/>
        </w:rPr>
        <w:t xml:space="preserve">, the Company recorded an income tax expense of $2.4 million, compared with no income tax expense or benefit for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September 30, 2025</w:t>
      </w:r>
      <w:r>
        <w:rPr>
          <w:rFonts w:ascii="Times New Roman;Times;serif" w:hAnsi="Times New Roman;Times;serif"/>
          <w:sz w:val="20"/>
        </w:rPr>
        <w:t xml:space="preserve">. For the </w:t>
      </w:r>
      <w:r>
        <w:rPr>
          <w:rStyle w:val="Emphasis"/>
          <w:rFonts w:ascii="Times New Roman;Times;serif" w:hAnsi="Times New Roman;Times;serif"/>
          <w:sz w:val="20"/>
        </w:rPr>
        <w:t>nine</w:t>
      </w:r>
      <w:r>
        <w:rPr>
          <w:rFonts w:ascii="Times New Roman;Times;serif" w:hAnsi="Times New Roman;Times;serif"/>
          <w:sz w:val="20"/>
        </w:rPr>
        <w:t xml:space="preserve"> months ended </w:t>
      </w:r>
      <w:r>
        <w:rPr>
          <w:rStyle w:val="Emphasis"/>
          <w:rFonts w:ascii="Times New Roman;Times;serif" w:hAnsi="Times New Roman;Times;serif"/>
          <w:sz w:val="20"/>
        </w:rPr>
        <w:t>September 30, 2026</w:t>
      </w:r>
      <w:r>
        <w:rPr>
          <w:rFonts w:ascii="Times New Roman;Times;serif" w:hAnsi="Times New Roman;Times;serif"/>
          <w:sz w:val="20"/>
        </w:rPr>
        <w:t xml:space="preserve">, the Company recorded an income tax expense of $4.7 million, compared with no income tax expense or benefit for the </w:t>
      </w:r>
      <w:r>
        <w:rPr>
          <w:rStyle w:val="Emphasis"/>
          <w:rFonts w:ascii="Times New Roman;Times;serif" w:hAnsi="Times New Roman;Times;serif"/>
          <w:sz w:val="20"/>
        </w:rPr>
        <w:t>nine</w:t>
      </w:r>
      <w:r>
        <w:rPr>
          <w:rFonts w:ascii="Times New Roman;Times;serif" w:hAnsi="Times New Roman;Times;serif"/>
          <w:sz w:val="20"/>
        </w:rPr>
        <w:t xml:space="preserve"> months ended </w:t>
      </w:r>
      <w:r>
        <w:rPr>
          <w:rStyle w:val="Emphasis"/>
          <w:rFonts w:ascii="Times New Roman;Times;serif" w:hAnsi="Times New Roman;Times;serif"/>
          <w:sz w:val="20"/>
        </w:rPr>
        <w:t>September 30, 2025</w:t>
      </w:r>
      <w:r>
        <w:rPr>
          <w:rFonts w:ascii="Times New Roman;Times;serif" w:hAnsi="Times New Roman;Times;serif"/>
          <w:sz w:val="20"/>
        </w:rPr>
        <w:t>. The income tax expense for the current period was primarily attributable to income in China, as well as the impact of valuation allowances and discrete items.</w:t>
      </w:r>
    </w:p>
    <w:p>
      <w:pPr>
        <w:pStyle w:val="TextBody"/>
        <w:bidi w:val="0"/>
        <w:spacing w:before="0" w:after="0"/>
        <w:ind w:left="0" w:right="0" w:firstLine="720"/>
        <w:jc w:val="left"/>
      </w:pPr>
      <w:r>
        <w:t> </w:t>
      </w:r>
    </w:p>
    <w:p>
      <w:pPr>
        <w:pStyle w:val="TextBody"/>
        <w:bidi w:val="0"/>
        <w:spacing w:before="0" w:after="0"/>
        <w:ind w:left="0" w:right="0" w:firstLine="720"/>
        <w:jc w:val="left"/>
      </w:pPr>
      <w:r>
        <w:rPr>
          <w:rFonts w:ascii="Times New Roman;Times;serif" w:hAnsi="Times New Roman;Times;serif"/>
          <w:sz w:val="20"/>
        </w:rPr>
        <w:t xml:space="preserve">For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 xml:space="preserve"> September 30, 2026 </w:t>
      </w:r>
      <w:r>
        <w:rPr>
          <w:rFonts w:ascii="Times New Roman;Times;serif" w:hAnsi="Times New Roman;Times;serif"/>
          <w:sz w:val="20"/>
        </w:rPr>
        <w:t xml:space="preserve">and </w:t>
      </w:r>
      <w:r>
        <w:rPr>
          <w:rStyle w:val="Emphasis"/>
          <w:rFonts w:ascii="Times New Roman;Times;serif" w:hAnsi="Times New Roman;Times;serif"/>
          <w:sz w:val="20"/>
        </w:rPr>
        <w:t>2025</w:t>
      </w:r>
      <w:r>
        <w:rPr>
          <w:rFonts w:ascii="Times New Roman;Times;serif" w:hAnsi="Times New Roman;Times;serif"/>
          <w:sz w:val="20"/>
        </w:rPr>
        <w:t xml:space="preserve">, the effective tax rates were 27.3% and 0.0%, respectively. For the </w:t>
      </w:r>
      <w:r>
        <w:rPr>
          <w:rStyle w:val="Emphasis"/>
          <w:rFonts w:ascii="Times New Roman;Times;serif" w:hAnsi="Times New Roman;Times;serif"/>
          <w:sz w:val="20"/>
        </w:rPr>
        <w:t>nine</w:t>
      </w:r>
      <w:r>
        <w:rPr>
          <w:rFonts w:ascii="Times New Roman;Times;serif" w:hAnsi="Times New Roman;Times;serif"/>
          <w:sz w:val="20"/>
        </w:rPr>
        <w:t xml:space="preserve"> months ended </w:t>
      </w:r>
      <w:r>
        <w:rPr>
          <w:rStyle w:val="Emphasis"/>
          <w:rFonts w:ascii="Times New Roman;Times;serif" w:hAnsi="Times New Roman;Times;serif"/>
          <w:sz w:val="20"/>
        </w:rPr>
        <w:t xml:space="preserve"> September 30, 2026 </w:t>
      </w:r>
      <w:r>
        <w:rPr>
          <w:rFonts w:ascii="Times New Roman;Times;serif" w:hAnsi="Times New Roman;Times;serif"/>
          <w:sz w:val="20"/>
        </w:rPr>
        <w:t xml:space="preserve">and </w:t>
      </w:r>
      <w:r>
        <w:rPr>
          <w:rStyle w:val="Emphasis"/>
          <w:rFonts w:ascii="Times New Roman;Times;serif" w:hAnsi="Times New Roman;Times;serif"/>
          <w:sz w:val="20"/>
        </w:rPr>
        <w:t>2025</w:t>
      </w:r>
      <w:r>
        <w:rPr>
          <w:rFonts w:ascii="Times New Roman;Times;serif" w:hAnsi="Times New Roman;Times;serif"/>
          <w:sz w:val="20"/>
        </w:rPr>
        <w:t>, the effective tax rates were (18.0)% and 0.0%, respectively. The effective tax rate differed from the U.S. federal statutory rate of 21% primarily due to the impact of valuation allowances recorded against deferred tax assets ("DTA") in the United States and Taiwan, and the China R&amp;D Super Deduction.</w:t>
      </w:r>
    </w:p>
    <w:p>
      <w:pPr>
        <w:pStyle w:val="TextBody"/>
        <w:bidi w:val="0"/>
        <w:spacing w:before="0" w:after="0"/>
        <w:ind w:left="0" w:right="0" w:firstLine="720"/>
        <w:jc w:val="left"/>
      </w:pPr>
      <w:r>
        <w:t> </w:t>
      </w:r>
    </w:p>
    <w:p>
      <w:pPr>
        <w:pStyle w:val="TextBody"/>
        <w:bidi w:val="0"/>
        <w:spacing w:before="0" w:after="0"/>
        <w:ind w:left="0" w:right="0" w:firstLine="720"/>
        <w:jc w:val="left"/>
      </w:pPr>
      <w:r>
        <w:rPr>
          <w:rFonts w:ascii="Times New Roman;Times;serif" w:hAnsi="Times New Roman;Times;serif"/>
          <w:sz w:val="20"/>
        </w:rPr>
        <w:t xml:space="preserve">The Company assesses the realizability of its DTAs, including an analysis of factors such as future taxable income, reversal of existing taxable temporary differences, and tax planning strategies. In assessing the need for a valuation allowance, the Company considered both positive and negative evidence related to the likelihood of realization of deferred tax assets using a “more likely than </w:t>
      </w:r>
      <w:r>
        <w:rPr>
          <w:rStyle w:val="Emphasis"/>
          <w:rFonts w:ascii="Times New Roman;Times;serif" w:hAnsi="Times New Roman;Times;serif"/>
          <w:sz w:val="20"/>
        </w:rPr>
        <w:t>not”</w:t>
      </w:r>
      <w:r>
        <w:rPr>
          <w:rFonts w:ascii="Times New Roman;Times;serif" w:hAnsi="Times New Roman;Times;serif"/>
          <w:sz w:val="20"/>
        </w:rPr>
        <w:t xml:space="preserve"> standard. In making such assessment, more weight was given to evidence that could be objectively verified, including recent cumulative losses. Based on the Company’s review of this evidence, management determined that a full valuation allowance against all of the Company’s US and Taiwan net deferred tax assets remains appropriate as of </w:t>
      </w:r>
      <w:r>
        <w:rPr>
          <w:rStyle w:val="Emphasis"/>
          <w:rFonts w:ascii="Times New Roman;Times;serif" w:hAnsi="Times New Roman;Times;serif"/>
          <w:sz w:val="20"/>
        </w:rPr>
        <w:t xml:space="preserve"> September 30, 2026</w:t>
      </w:r>
      <w:r>
        <w:rPr>
          <w:rFonts w:ascii="Times New Roman;Times;serif" w:hAnsi="Times New Roman;Times;serif"/>
          <w:sz w:val="20"/>
        </w:rPr>
        <w:t xml:space="preserve">. However, the Company believes that there is a reasonable possibility that within the next </w:t>
      </w:r>
      <w:r>
        <w:rPr>
          <w:rStyle w:val="Emphasis"/>
          <w:rFonts w:ascii="Times New Roman;Times;serif" w:hAnsi="Times New Roman;Times;serif"/>
          <w:sz w:val="20"/>
        </w:rPr>
        <w:t>12</w:t>
      </w:r>
      <w:r>
        <w:rPr>
          <w:rFonts w:ascii="Times New Roman;Times;serif" w:hAnsi="Times New Roman;Times;serif"/>
          <w:sz w:val="20"/>
        </w:rPr>
        <w:t xml:space="preserve"> months, sufficient positive evidence </w:t>
      </w:r>
      <w:r>
        <w:rPr>
          <w:rStyle w:val="Emphasis"/>
          <w:rFonts w:ascii="Times New Roman;Times;serif" w:hAnsi="Times New Roman;Times;serif"/>
          <w:sz w:val="20"/>
        </w:rPr>
        <w:t xml:space="preserve">may </w:t>
      </w:r>
      <w:r>
        <w:rPr>
          <w:rFonts w:ascii="Times New Roman;Times;serif" w:hAnsi="Times New Roman;Times;serif"/>
          <w:sz w:val="20"/>
        </w:rPr>
        <w:t xml:space="preserve">become available to allow it to reach a conclusion that a portion of the valuation allowance will </w:t>
      </w:r>
      <w:r>
        <w:rPr>
          <w:rStyle w:val="Emphasis"/>
          <w:rFonts w:ascii="Times New Roman;Times;serif" w:hAnsi="Times New Roman;Times;serif"/>
          <w:sz w:val="20"/>
        </w:rPr>
        <w:t>no</w:t>
      </w:r>
      <w:r>
        <w:rPr>
          <w:rFonts w:ascii="Times New Roman;Times;serif" w:hAnsi="Times New Roman;Times;serif"/>
          <w:sz w:val="20"/>
        </w:rPr>
        <w:t xml:space="preserve"> longer be needed. Release of the valuation allowance would result in the recognition of certain DTAs and a decrease to income tax expense for the period the release is recorded. However, the exact timing and amount of the valuation allowance release are subject to change on the basis of the level of profitability that it is able to actually achieve.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pPr>
      <w:r>
        <w:rPr>
          <w:rFonts w:ascii="Times New Roman;Times;serif" w:hAnsi="Times New Roman;Times;serif"/>
          <w:caps w:val="false"/>
          <w:smallCaps w:val="false"/>
          <w:sz w:val="20"/>
        </w:rPr>
        <w:t>The Company expects any earnings of foreign subsidiaries to be indefinitely invested outside the United States. As of </w:t>
      </w:r>
      <w:r>
        <w:rPr>
          <w:rStyle w:val="Emphasis"/>
          <w:rFonts w:ascii="Times New Roman;Times;serif" w:hAnsi="Times New Roman;Times;serif"/>
          <w:caps w:val="false"/>
          <w:smallCaps w:val="false"/>
          <w:sz w:val="20"/>
        </w:rPr>
        <w:t xml:space="preserve"> December 31, 2025, </w:t>
      </w:r>
      <w:r>
        <w:rPr>
          <w:rFonts w:ascii="Times New Roman;Times;serif" w:hAnsi="Times New Roman;Times;serif"/>
          <w:caps w:val="false"/>
          <w:smallCaps w:val="false"/>
          <w:sz w:val="20"/>
        </w:rPr>
        <w:t>however, the Company does not have any accumulated undistributed earnings generated by foreign subsidiaries and has estimated that its tax basis in foreign subsidiaries exceeds its book basis. The Company has concluded that </w:t>
      </w:r>
      <w:r>
        <w:rPr>
          <w:rStyle w:val="Emphasis"/>
          <w:rFonts w:ascii="Times New Roman;Times;serif" w:hAnsi="Times New Roman;Times;serif"/>
          <w:caps w:val="false"/>
          <w:smallCaps w:val="false"/>
          <w:sz w:val="20"/>
        </w:rPr>
        <w:t>no</w:t>
      </w:r>
      <w:r>
        <w:rPr>
          <w:rFonts w:ascii="Times New Roman;Times;serif" w:hAnsi="Times New Roman;Times;serif"/>
          <w:caps w:val="false"/>
          <w:smallCaps w:val="false"/>
          <w:sz w:val="20"/>
        </w:rPr>
        <w:t> deferred tax asset (DTA) should be recorded because at the present time it does </w:t>
      </w:r>
      <w:r>
        <w:rPr>
          <w:rStyle w:val="Emphasis"/>
          <w:rFonts w:ascii="Times New Roman;Times;serif" w:hAnsi="Times New Roman;Times;serif"/>
          <w:caps w:val="false"/>
          <w:smallCaps w:val="false"/>
          <w:sz w:val="20"/>
        </w:rPr>
        <w:t>not</w:t>
      </w:r>
      <w:r>
        <w:rPr>
          <w:rFonts w:ascii="Times New Roman;Times;serif" w:hAnsi="Times New Roman;Times;serif"/>
          <w:caps w:val="false"/>
          <w:smallCaps w:val="false"/>
          <w:sz w:val="20"/>
        </w:rPr>
        <w:t> expect that the temporary book-tax basis difference that would create this DTA will reverse in the foreseeable future.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Recent Tax Legislation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pPr>
      <w:r>
        <w:rPr>
          <w:rFonts w:ascii="Times New Roman" w:hAnsi="Times New Roman"/>
          <w:caps w:val="false"/>
          <w:smallCaps w:val="false"/>
          <w:sz w:val="20"/>
        </w:rPr>
        <w:t xml:space="preserve">The Company evaluated the provisions of the One Big Beautiful Bill Act ("OBBBA"), which was enacted on </w:t>
      </w:r>
      <w:r>
        <w:rPr>
          <w:rStyle w:val="Emphasis"/>
          <w:rFonts w:ascii="Times New Roman" w:hAnsi="Times New Roman"/>
          <w:i/>
          <w:caps w:val="false"/>
          <w:smallCaps w:val="false"/>
          <w:sz w:val="20"/>
        </w:rPr>
        <w:t xml:space="preserve">July 4, 2025. </w:t>
      </w:r>
      <w:r>
        <w:rPr>
          <w:rFonts w:ascii="Times New Roman" w:hAnsi="Times New Roman"/>
          <w:caps w:val="false"/>
          <w:smallCaps w:val="false"/>
          <w:sz w:val="20"/>
        </w:rPr>
        <w:t xml:space="preserve">Consistent with its prior assessment, the provisions related to domestic research and development expenditures, bonus depreciation, business interest expense limitations, or clean energy tax credits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a material impact on the Company's income tax provision or effective tax rate.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80"/>
        <w:jc w:val="left"/>
      </w:pPr>
      <w:r>
        <w:t> </w:t>
      </w:r>
    </w:p>
    <w:p>
      <w:pPr>
        <w:pStyle w:val="TextBody"/>
        <w:bidi w:val="0"/>
        <w:spacing w:before="0" w:after="283"/>
        <w:jc w:val="left"/>
      </w:pPr>
      <w:r>
        <w:t xml:space="preserve">  </w:t>
      </w:r>
    </w:p>
    <w:p>
      <w:pPr>
        <w:pStyle w:val="TextBody"/>
        <w:bidi w:val="0"/>
        <w:spacing w:before="0" w:after="0"/>
        <w:ind w:left="0" w:right="0" w:hanging="0"/>
        <w:jc w:val="left"/>
      </w:pPr>
      <w:r>
        <w:rPr>
          <w:rFonts w:ascii="Times New Roman" w:hAnsi="Times New Roman"/>
          <w:b/>
          <w:sz w:val="20"/>
        </w:rPr>
        <w:t xml:space="preserve">Note </w:t>
      </w:r>
      <w:r>
        <w:rPr>
          <w:rStyle w:val="Emphasis"/>
          <w:rFonts w:ascii="Times New Roman" w:hAnsi="Times New Roman"/>
          <w:b/>
          <w:sz w:val="20"/>
        </w:rPr>
        <w:t>17.</w:t>
      </w:r>
      <w:r>
        <w:rPr>
          <w:rFonts w:ascii="Times New Roman" w:hAnsi="Times New Roman"/>
          <w:b/>
          <w:sz w:val="20"/>
        </w:rPr>
        <w:t xml:space="preserve"> Segment and Geographic Information</w:t>
      </w:r>
    </w:p>
    <w:p>
      <w:pPr>
        <w:pStyle w:val="TextBody"/>
        <w:bidi w:val="0"/>
        <w:spacing w:before="0" w:after="0"/>
        <w:ind w:left="0" w:right="0" w:hanging="0"/>
        <w:jc w:val="left"/>
      </w:pPr>
      <w:r>
        <w:t>​</w:t>
      </w:r>
    </w:p>
    <w:p>
      <w:pPr>
        <w:pStyle w:val="TextBody"/>
        <w:bidi w:val="0"/>
        <w:spacing w:before="0" w:after="0"/>
        <w:ind w:left="0" w:right="0" w:firstLine="720"/>
        <w:jc w:val="left"/>
      </w:pPr>
      <w:r>
        <w:rPr>
          <w:rFonts w:ascii="Times New Roman" w:hAnsi="Times New Roman"/>
          <w:caps w:val="false"/>
          <w:smallCaps w:val="false"/>
          <w:sz w:val="20"/>
        </w:rPr>
        <w:t>The Company operates in one reportable segment. The Company’s Chief Executive Officer, who is considered to be the chief operating decision maker ("CODM"), manages the Company’s operations as a whole and reviews financial information presented on a consolidated basis, accompanied by information about product revenue, for purposes of evaluating financial performance and allocating resources. Our CEO is the functional head of all operations and manufacturing. Our Board, in conjunction with our CODM, considers our consolidated performance and does </w:t>
      </w:r>
      <w:r>
        <w:rPr>
          <w:rStyle w:val="Emphasis"/>
          <w:rFonts w:ascii="Times New Roman" w:hAnsi="Times New Roman"/>
          <w:caps w:val="false"/>
          <w:smallCaps w:val="false"/>
          <w:sz w:val="20"/>
        </w:rPr>
        <w:t>not</w:t>
      </w:r>
      <w:r>
        <w:rPr>
          <w:rFonts w:ascii="Times New Roman" w:hAnsi="Times New Roman"/>
          <w:caps w:val="false"/>
          <w:smallCaps w:val="false"/>
          <w:sz w:val="20"/>
        </w:rPr>
        <w:t> have individual financial or operating goals for each location, nor for any other subset of the Company's operations. As such, the Company has determined it operates as </w:t>
      </w:r>
      <w:r>
        <w:rPr>
          <w:rStyle w:val="Emphasis"/>
          <w:rFonts w:ascii="Times New Roman" w:hAnsi="Times New Roman"/>
          <w:caps w:val="false"/>
          <w:smallCaps w:val="false"/>
          <w:sz w:val="20"/>
        </w:rPr>
        <w:t>one</w:t>
      </w:r>
      <w:r>
        <w:rPr>
          <w:rFonts w:ascii="Times New Roman" w:hAnsi="Times New Roman"/>
          <w:caps w:val="false"/>
          <w:smallCaps w:val="false"/>
          <w:sz w:val="20"/>
        </w:rPr>
        <w:t> reportable segment.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CODM uses net income or loss to allocate resources and assess performance. The CODM regularly reviews the consolidated net income or loss to make strategic decisions, such as capital expenditure plan, production plan and manpower allocation. The following table is in thousands.</w:t>
      </w:r>
    </w:p>
    <w:p>
      <w:pPr>
        <w:pStyle w:val="TextBody"/>
        <w:bidi w:val="0"/>
        <w:spacing w:before="0" w:after="0"/>
        <w:ind w:left="0" w:right="0" w:firstLine="720"/>
        <w:jc w:val="left"/>
        <w:rPr>
          <w:caps w:val="false"/>
          <w:smallCaps w:val="false"/>
        </w:rPr>
      </w:pPr>
      <w:r>
        <w:rPr>
          <w:caps w:val="false"/>
          <w:smallCaps w:val="false"/>
        </w:rPr>
        <w:t> </w:t>
      </w:r>
    </w:p>
    <w:tbl>
      <w:tblPr>
        <w:tblW w:w="8944" w:type="dxa"/>
        <w:jc w:val="left"/>
        <w:tblInd w:w="0" w:type="dxa"/>
        <w:tblLayout w:type="fixed"/>
        <w:tblCellMar>
          <w:top w:w="0" w:type="dxa"/>
          <w:left w:w="0" w:type="dxa"/>
          <w:bottom w:w="0" w:type="dxa"/>
          <w:right w:w="0" w:type="dxa"/>
        </w:tblCellMar>
      </w:tblPr>
      <w:tblGrid>
        <w:gridCol w:w="2960"/>
        <w:gridCol w:w="60"/>
        <w:gridCol w:w="197"/>
        <w:gridCol w:w="1189"/>
        <w:gridCol w:w="126"/>
        <w:gridCol w:w="94"/>
        <w:gridCol w:w="197"/>
        <w:gridCol w:w="1095"/>
        <w:gridCol w:w="80"/>
        <w:gridCol w:w="60"/>
        <w:gridCol w:w="184"/>
        <w:gridCol w:w="1116"/>
        <w:gridCol w:w="118"/>
        <w:gridCol w:w="88"/>
        <w:gridCol w:w="184"/>
        <w:gridCol w:w="1116"/>
        <w:gridCol w:w="80"/>
      </w:tblGrid>
      <w:tr>
        <w:tc>
          <w:tcPr>
            <w:tcW w:w="29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89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Three months ended September 30,</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80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Nine months ended September 30,</w:t>
            </w:r>
          </w:p>
        </w:tc>
        <w:tc>
          <w:tcPr>
            <w:tcW w:w="80" w:type="dxa"/>
            <w:tcBorders/>
            <w:shd w:fill="FFFFFF" w:val="clear"/>
            <w:vAlign w:val="center"/>
          </w:tcPr>
          <w:p>
            <w:pPr>
              <w:pStyle w:val="TableContents"/>
              <w:bidi w:val="0"/>
              <w:spacing w:before="0" w:after="283"/>
              <w:jc w:val="left"/>
            </w:pPr>
            <w:r>
              <w:t> </w:t>
            </w:r>
          </w:p>
        </w:tc>
      </w:tr>
      <w:tr>
        <w:tc>
          <w:tcPr>
            <w:tcW w:w="29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38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2026</w:t>
            </w:r>
          </w:p>
        </w:tc>
        <w:tc>
          <w:tcPr>
            <w:tcW w:w="126" w:type="dxa"/>
            <w:tcBorders/>
            <w:shd w:fill="FFFFFF" w:val="clear"/>
            <w:vAlign w:val="center"/>
          </w:tcPr>
          <w:p>
            <w:pPr>
              <w:pStyle w:val="TableContents"/>
              <w:bidi w:val="0"/>
              <w:spacing w:before="0" w:after="283"/>
              <w:jc w:val="left"/>
            </w:pPr>
            <w:r>
              <w:t> </w:t>
            </w:r>
          </w:p>
        </w:tc>
        <w:tc>
          <w:tcPr>
            <w:tcW w:w="94" w:type="dxa"/>
            <w:tcBorders/>
            <w:shd w:fill="FFFFFF" w:val="clear"/>
            <w:vAlign w:val="center"/>
          </w:tcPr>
          <w:p>
            <w:pPr>
              <w:pStyle w:val="TableContents"/>
              <w:bidi w:val="0"/>
              <w:spacing w:before="0" w:after="283"/>
              <w:ind w:left="0" w:right="0" w:hanging="0"/>
              <w:jc w:val="left"/>
            </w:pPr>
            <w:r>
              <w:t> </w:t>
            </w:r>
          </w:p>
        </w:tc>
        <w:tc>
          <w:tcPr>
            <w:tcW w:w="129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3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2026</w:t>
            </w:r>
          </w:p>
        </w:tc>
        <w:tc>
          <w:tcPr>
            <w:tcW w:w="118" w:type="dxa"/>
            <w:tcBorders/>
            <w:shd w:fill="FFFFFF" w:val="clear"/>
            <w:vAlign w:val="center"/>
          </w:tcPr>
          <w:p>
            <w:pPr>
              <w:pStyle w:val="TableContents"/>
              <w:bidi w:val="0"/>
              <w:spacing w:before="0" w:after="283"/>
              <w:jc w:val="left"/>
            </w:pPr>
            <w:r>
              <w:t> </w:t>
            </w:r>
          </w:p>
        </w:tc>
        <w:tc>
          <w:tcPr>
            <w:tcW w:w="88" w:type="dxa"/>
            <w:tcBorders/>
            <w:shd w:fill="FFFFFF" w:val="clear"/>
            <w:vAlign w:val="center"/>
          </w:tcPr>
          <w:p>
            <w:pPr>
              <w:pStyle w:val="TableContents"/>
              <w:bidi w:val="0"/>
              <w:spacing w:before="0" w:after="283"/>
              <w:ind w:left="0" w:right="0" w:hanging="0"/>
              <w:jc w:val="left"/>
            </w:pPr>
            <w:r>
              <w:t> </w:t>
            </w:r>
          </w:p>
        </w:tc>
        <w:tc>
          <w:tcPr>
            <w:tcW w:w="13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pPr>
            <w:r>
              <w:t> </w:t>
            </w:r>
          </w:p>
        </w:tc>
      </w:tr>
      <w:tr>
        <w:tc>
          <w:tcPr>
            <w:tcW w:w="29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Revenues</w:t>
            </w:r>
          </w:p>
        </w:tc>
        <w:tc>
          <w:tcPr>
            <w:tcW w:w="60" w:type="dxa"/>
            <w:tcBorders/>
            <w:shd w:fill="CCEEFF" w:val="clear"/>
            <w:vAlign w:val="center"/>
          </w:tcPr>
          <w:p>
            <w:pPr>
              <w:pStyle w:val="TableContents"/>
              <w:bidi w:val="0"/>
              <w:spacing w:before="0" w:after="283"/>
              <w:ind w:left="0" w:right="0" w:hanging="0"/>
              <w:jc w:val="left"/>
            </w:pPr>
            <w:r>
              <w:t> </w:t>
            </w:r>
          </w:p>
        </w:tc>
        <w:tc>
          <w:tcPr>
            <w:tcW w:w="197" w:type="dxa"/>
            <w:tcBorders/>
            <w:shd w:fill="CCEEFF" w:val="clear"/>
            <w:vAlign w:val="center"/>
          </w:tcPr>
          <w:p>
            <w:pPr>
              <w:pStyle w:val="TableContents"/>
              <w:bidi w:val="0"/>
              <w:spacing w:before="0" w:after="283"/>
              <w:ind w:left="0" w:right="0" w:hanging="0"/>
              <w:jc w:val="left"/>
              <w:rPr>
                <w:sz w:val="20"/>
              </w:rPr>
            </w:pPr>
            <w:r>
              <w:rPr>
                <w:sz w:val="20"/>
              </w:rPr>
              <w:t>$</w:t>
            </w:r>
          </w:p>
        </w:tc>
        <w:tc>
          <w:tcPr>
            <w:tcW w:w="1189" w:type="dxa"/>
            <w:tcBorders/>
            <w:shd w:fill="CCEEFF" w:val="clear"/>
            <w:vAlign w:val="center"/>
          </w:tcPr>
          <w:p>
            <w:pPr>
              <w:pStyle w:val="TableContents"/>
              <w:bidi w:val="0"/>
              <w:spacing w:before="0" w:after="283"/>
              <w:ind w:left="0" w:right="0" w:hanging="0"/>
              <w:jc w:val="right"/>
              <w:rPr>
                <w:sz w:val="20"/>
              </w:rPr>
            </w:pPr>
            <w:r>
              <w:rPr>
                <w:sz w:val="20"/>
              </w:rPr>
              <w:t>269,875</w:t>
            </w:r>
          </w:p>
        </w:tc>
        <w:tc>
          <w:tcPr>
            <w:tcW w:w="126" w:type="dxa"/>
            <w:tcBorders/>
            <w:shd w:fill="CCEEFF" w:val="clear"/>
            <w:vAlign w:val="center"/>
          </w:tcPr>
          <w:p>
            <w:pPr>
              <w:pStyle w:val="TableContents"/>
              <w:bidi w:val="0"/>
              <w:spacing w:before="0" w:after="283"/>
              <w:jc w:val="left"/>
            </w:pPr>
            <w:r>
              <w:t> </w:t>
            </w:r>
          </w:p>
        </w:tc>
        <w:tc>
          <w:tcPr>
            <w:tcW w:w="94" w:type="dxa"/>
            <w:tcBorders/>
            <w:shd w:fill="CCEEFF" w:val="clear"/>
            <w:vAlign w:val="center"/>
          </w:tcPr>
          <w:p>
            <w:pPr>
              <w:pStyle w:val="TableContents"/>
              <w:bidi w:val="0"/>
              <w:spacing w:before="0" w:after="283"/>
              <w:ind w:left="0" w:right="0" w:hanging="0"/>
              <w:jc w:val="left"/>
            </w:pPr>
            <w:r>
              <w:t> </w:t>
            </w:r>
          </w:p>
        </w:tc>
        <w:tc>
          <w:tcPr>
            <w:tcW w:w="197" w:type="dxa"/>
            <w:tcBorders/>
            <w:shd w:fill="CCEEFF" w:val="clear"/>
            <w:vAlign w:val="center"/>
          </w:tcPr>
          <w:p>
            <w:pPr>
              <w:pStyle w:val="TableContents"/>
              <w:bidi w:val="0"/>
              <w:spacing w:before="0" w:after="283"/>
              <w:ind w:left="0" w:right="0" w:hanging="0"/>
              <w:jc w:val="left"/>
              <w:rPr>
                <w:sz w:val="20"/>
              </w:rPr>
            </w:pPr>
            <w:r>
              <w:rPr>
                <w:sz w:val="20"/>
              </w:rPr>
              <w:t>$</w:t>
            </w:r>
          </w:p>
        </w:tc>
        <w:tc>
          <w:tcPr>
            <w:tcW w:w="1095" w:type="dxa"/>
            <w:tcBorders/>
            <w:shd w:fill="CCEEFF" w:val="clear"/>
            <w:vAlign w:val="center"/>
          </w:tcPr>
          <w:p>
            <w:pPr>
              <w:pStyle w:val="TableContents"/>
              <w:bidi w:val="0"/>
              <w:spacing w:before="0" w:after="283"/>
              <w:ind w:left="0" w:right="0" w:hanging="0"/>
              <w:jc w:val="right"/>
              <w:rPr>
                <w:sz w:val="20"/>
              </w:rPr>
            </w:pPr>
            <w:r>
              <w:rPr>
                <w:sz w:val="20"/>
              </w:rPr>
              <w:t>118,630</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84" w:type="dxa"/>
            <w:tcBorders/>
            <w:shd w:fill="CCEEFF" w:val="clear"/>
            <w:vAlign w:val="center"/>
          </w:tcPr>
          <w:p>
            <w:pPr>
              <w:pStyle w:val="TableContents"/>
              <w:bidi w:val="0"/>
              <w:spacing w:before="0" w:after="283"/>
              <w:ind w:left="0" w:right="0" w:hanging="0"/>
              <w:jc w:val="left"/>
              <w:rPr>
                <w:sz w:val="20"/>
              </w:rPr>
            </w:pPr>
            <w:r>
              <w:rPr>
                <w:sz w:val="20"/>
              </w:rPr>
              <w:t>$</w:t>
            </w:r>
          </w:p>
        </w:tc>
        <w:tc>
          <w:tcPr>
            <w:tcW w:w="1116" w:type="dxa"/>
            <w:tcBorders/>
            <w:shd w:fill="CCEEFF" w:val="clear"/>
            <w:vAlign w:val="center"/>
          </w:tcPr>
          <w:p>
            <w:pPr>
              <w:pStyle w:val="TableContents"/>
              <w:bidi w:val="0"/>
              <w:spacing w:before="0" w:after="283"/>
              <w:ind w:left="0" w:right="0" w:hanging="0"/>
              <w:jc w:val="right"/>
              <w:rPr>
                <w:sz w:val="20"/>
              </w:rPr>
            </w:pPr>
            <w:r>
              <w:rPr>
                <w:sz w:val="20"/>
              </w:rPr>
              <w:t>612,942</w:t>
            </w:r>
          </w:p>
        </w:tc>
        <w:tc>
          <w:tcPr>
            <w:tcW w:w="118" w:type="dxa"/>
            <w:tcBorders/>
            <w:shd w:fill="CCEEFF" w:val="clear"/>
            <w:vAlign w:val="center"/>
          </w:tcPr>
          <w:p>
            <w:pPr>
              <w:pStyle w:val="TableContents"/>
              <w:bidi w:val="0"/>
              <w:spacing w:before="0" w:after="283"/>
              <w:jc w:val="left"/>
            </w:pPr>
            <w:r>
              <w:t> </w:t>
            </w:r>
          </w:p>
        </w:tc>
        <w:tc>
          <w:tcPr>
            <w:tcW w:w="88" w:type="dxa"/>
            <w:tcBorders/>
            <w:shd w:fill="CCEEFF" w:val="clear"/>
            <w:vAlign w:val="center"/>
          </w:tcPr>
          <w:p>
            <w:pPr>
              <w:pStyle w:val="TableContents"/>
              <w:bidi w:val="0"/>
              <w:spacing w:before="0" w:after="283"/>
              <w:ind w:left="0" w:right="0" w:hanging="0"/>
              <w:jc w:val="left"/>
            </w:pPr>
            <w:r>
              <w:t> </w:t>
            </w:r>
          </w:p>
        </w:tc>
        <w:tc>
          <w:tcPr>
            <w:tcW w:w="184" w:type="dxa"/>
            <w:tcBorders/>
            <w:shd w:fill="CCEEFF" w:val="clear"/>
            <w:vAlign w:val="center"/>
          </w:tcPr>
          <w:p>
            <w:pPr>
              <w:pStyle w:val="TableContents"/>
              <w:bidi w:val="0"/>
              <w:spacing w:before="0" w:after="283"/>
              <w:ind w:left="0" w:right="0" w:hanging="0"/>
              <w:jc w:val="left"/>
              <w:rPr>
                <w:sz w:val="20"/>
              </w:rPr>
            </w:pPr>
            <w:r>
              <w:rPr>
                <w:sz w:val="20"/>
              </w:rPr>
              <w:t>$</w:t>
            </w:r>
          </w:p>
        </w:tc>
        <w:tc>
          <w:tcPr>
            <w:tcW w:w="1116" w:type="dxa"/>
            <w:tcBorders/>
            <w:shd w:fill="CCEEFF" w:val="clear"/>
            <w:vAlign w:val="center"/>
          </w:tcPr>
          <w:p>
            <w:pPr>
              <w:pStyle w:val="TableContents"/>
              <w:bidi w:val="0"/>
              <w:spacing w:before="0" w:after="283"/>
              <w:ind w:left="0" w:right="0" w:hanging="0"/>
              <w:jc w:val="right"/>
              <w:rPr>
                <w:sz w:val="20"/>
              </w:rPr>
            </w:pPr>
            <w:r>
              <w:rPr>
                <w:sz w:val="20"/>
              </w:rPr>
              <w:t>321,441</w:t>
            </w:r>
          </w:p>
        </w:tc>
        <w:tc>
          <w:tcPr>
            <w:tcW w:w="80" w:type="dxa"/>
            <w:tcBorders/>
            <w:shd w:fill="CCEEFF" w:val="clear"/>
            <w:vAlign w:val="center"/>
          </w:tcPr>
          <w:p>
            <w:pPr>
              <w:pStyle w:val="TableContents"/>
              <w:bidi w:val="0"/>
              <w:spacing w:before="0" w:after="283"/>
              <w:jc w:val="left"/>
            </w:pPr>
            <w:r>
              <w:t> </w:t>
            </w:r>
          </w:p>
        </w:tc>
      </w:tr>
      <w:tr>
        <w:tc>
          <w:tcPr>
            <w:tcW w:w="29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goods sold</w:t>
            </w:r>
          </w:p>
        </w:tc>
        <w:tc>
          <w:tcPr>
            <w:tcW w:w="60" w:type="dxa"/>
            <w:tcBorders/>
            <w:shd w:fill="FFFFFF" w:val="clear"/>
            <w:vAlign w:val="center"/>
          </w:tcPr>
          <w:p>
            <w:pPr>
              <w:pStyle w:val="TableContents"/>
              <w:bidi w:val="0"/>
              <w:spacing w:before="0" w:after="283"/>
              <w:jc w:val="left"/>
            </w:pPr>
            <w:r>
              <w:t> </w:t>
            </w:r>
          </w:p>
        </w:tc>
        <w:tc>
          <w:tcPr>
            <w:tcW w:w="197" w:type="dxa"/>
            <w:tcBorders/>
            <w:shd w:fill="FFFFFF" w:val="clear"/>
            <w:vAlign w:val="center"/>
          </w:tcPr>
          <w:p>
            <w:pPr>
              <w:pStyle w:val="TableContents"/>
              <w:bidi w:val="0"/>
              <w:spacing w:before="0" w:after="283"/>
              <w:ind w:left="0" w:right="0" w:hanging="0"/>
              <w:jc w:val="left"/>
            </w:pPr>
            <w:r>
              <w:t> </w:t>
            </w:r>
          </w:p>
        </w:tc>
        <w:tc>
          <w:tcPr>
            <w:tcW w:w="1189" w:type="dxa"/>
            <w:tcBorders/>
            <w:shd w:fill="FFFFFF" w:val="clear"/>
            <w:vAlign w:val="center"/>
          </w:tcPr>
          <w:p>
            <w:pPr>
              <w:pStyle w:val="TableContents"/>
              <w:bidi w:val="0"/>
              <w:spacing w:before="0" w:after="283"/>
              <w:ind w:left="0" w:right="0" w:hanging="0"/>
              <w:jc w:val="right"/>
              <w:rPr>
                <w:sz w:val="20"/>
              </w:rPr>
            </w:pPr>
            <w:r>
              <w:rPr>
                <w:sz w:val="20"/>
              </w:rPr>
              <w:t>(193,720</w:t>
            </w:r>
          </w:p>
        </w:tc>
        <w:tc>
          <w:tcPr>
            <w:tcW w:w="126" w:type="dxa"/>
            <w:tcBorders/>
            <w:shd w:fill="FFFFFF" w:val="clear"/>
            <w:vAlign w:val="center"/>
          </w:tcPr>
          <w:p>
            <w:pPr>
              <w:pStyle w:val="TableContents"/>
              <w:bidi w:val="0"/>
              <w:spacing w:before="0" w:after="283"/>
              <w:jc w:val="left"/>
              <w:rPr>
                <w:sz w:val="20"/>
              </w:rPr>
            </w:pPr>
            <w:r>
              <w:rPr>
                <w:sz w:val="20"/>
              </w:rPr>
              <w:t>)</w:t>
            </w:r>
          </w:p>
        </w:tc>
        <w:tc>
          <w:tcPr>
            <w:tcW w:w="94" w:type="dxa"/>
            <w:tcBorders/>
            <w:shd w:fill="FFFFFF" w:val="clear"/>
            <w:vAlign w:val="center"/>
          </w:tcPr>
          <w:p>
            <w:pPr>
              <w:pStyle w:val="TableContents"/>
              <w:bidi w:val="0"/>
              <w:spacing w:before="0" w:after="283"/>
              <w:jc w:val="left"/>
            </w:pPr>
            <w:r>
              <w:t> </w:t>
            </w:r>
          </w:p>
        </w:tc>
        <w:tc>
          <w:tcPr>
            <w:tcW w:w="197" w:type="dxa"/>
            <w:tcBorders/>
            <w:shd w:fill="FFFFFF" w:val="clear"/>
            <w:vAlign w:val="center"/>
          </w:tcPr>
          <w:p>
            <w:pPr>
              <w:pStyle w:val="TableContents"/>
              <w:bidi w:val="0"/>
              <w:spacing w:before="0" w:after="283"/>
              <w:ind w:left="0" w:right="0" w:hanging="0"/>
              <w:jc w:val="left"/>
            </w:pPr>
            <w:r>
              <w:t> </w:t>
            </w:r>
          </w:p>
        </w:tc>
        <w:tc>
          <w:tcPr>
            <w:tcW w:w="1095" w:type="dxa"/>
            <w:tcBorders/>
            <w:shd w:fill="FFFFFF" w:val="clear"/>
            <w:vAlign w:val="center"/>
          </w:tcPr>
          <w:p>
            <w:pPr>
              <w:pStyle w:val="TableContents"/>
              <w:bidi w:val="0"/>
              <w:spacing w:before="0" w:after="283"/>
              <w:ind w:left="0" w:right="0" w:hanging="0"/>
              <w:jc w:val="right"/>
              <w:rPr>
                <w:sz w:val="20"/>
              </w:rPr>
            </w:pPr>
            <w:r>
              <w:rPr>
                <w:sz w:val="20"/>
              </w:rPr>
              <w:t>(85,367</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pPr>
            <w:r>
              <w:t> </w:t>
            </w:r>
          </w:p>
        </w:tc>
        <w:tc>
          <w:tcPr>
            <w:tcW w:w="184" w:type="dxa"/>
            <w:tcBorders/>
            <w:shd w:fill="FFFFFF" w:val="clear"/>
            <w:vAlign w:val="center"/>
          </w:tcPr>
          <w:p>
            <w:pPr>
              <w:pStyle w:val="TableContents"/>
              <w:bidi w:val="0"/>
              <w:spacing w:before="0" w:after="283"/>
              <w:ind w:left="0" w:right="0" w:hanging="0"/>
              <w:jc w:val="left"/>
            </w:pPr>
            <w:r>
              <w:t> </w:t>
            </w:r>
          </w:p>
        </w:tc>
        <w:tc>
          <w:tcPr>
            <w:tcW w:w="1116" w:type="dxa"/>
            <w:tcBorders/>
            <w:shd w:fill="FFFFFF" w:val="clear"/>
            <w:vAlign w:val="center"/>
          </w:tcPr>
          <w:p>
            <w:pPr>
              <w:pStyle w:val="TableContents"/>
              <w:bidi w:val="0"/>
              <w:spacing w:before="0" w:after="283"/>
              <w:ind w:left="0" w:right="0" w:hanging="0"/>
              <w:jc w:val="right"/>
              <w:rPr>
                <w:sz w:val="20"/>
              </w:rPr>
            </w:pPr>
            <w:r>
              <w:rPr>
                <w:sz w:val="20"/>
              </w:rPr>
              <w:t>(439,664</w:t>
            </w:r>
          </w:p>
        </w:tc>
        <w:tc>
          <w:tcPr>
            <w:tcW w:w="118" w:type="dxa"/>
            <w:tcBorders/>
            <w:shd w:fill="FFFFFF" w:val="clear"/>
            <w:vAlign w:val="center"/>
          </w:tcPr>
          <w:p>
            <w:pPr>
              <w:pStyle w:val="TableContents"/>
              <w:bidi w:val="0"/>
              <w:spacing w:before="0" w:after="283"/>
              <w:jc w:val="left"/>
              <w:rPr>
                <w:sz w:val="20"/>
              </w:rPr>
            </w:pPr>
            <w:r>
              <w:rPr>
                <w:sz w:val="20"/>
              </w:rPr>
              <w:t>)</w:t>
            </w:r>
          </w:p>
        </w:tc>
        <w:tc>
          <w:tcPr>
            <w:tcW w:w="88" w:type="dxa"/>
            <w:tcBorders/>
            <w:shd w:fill="FFFFFF" w:val="clear"/>
            <w:vAlign w:val="center"/>
          </w:tcPr>
          <w:p>
            <w:pPr>
              <w:pStyle w:val="TableContents"/>
              <w:bidi w:val="0"/>
              <w:spacing w:before="0" w:after="283"/>
              <w:jc w:val="left"/>
            </w:pPr>
            <w:r>
              <w:t> </w:t>
            </w:r>
          </w:p>
        </w:tc>
        <w:tc>
          <w:tcPr>
            <w:tcW w:w="184" w:type="dxa"/>
            <w:tcBorders/>
            <w:shd w:fill="FFFFFF" w:val="clear"/>
            <w:vAlign w:val="center"/>
          </w:tcPr>
          <w:p>
            <w:pPr>
              <w:pStyle w:val="TableContents"/>
              <w:bidi w:val="0"/>
              <w:spacing w:before="0" w:after="283"/>
              <w:ind w:left="0" w:right="0" w:hanging="0"/>
              <w:jc w:val="left"/>
            </w:pPr>
            <w:r>
              <w:t> </w:t>
            </w:r>
          </w:p>
        </w:tc>
        <w:tc>
          <w:tcPr>
            <w:tcW w:w="1116" w:type="dxa"/>
            <w:tcBorders/>
            <w:shd w:fill="FFFFFF" w:val="clear"/>
            <w:vAlign w:val="center"/>
          </w:tcPr>
          <w:p>
            <w:pPr>
              <w:pStyle w:val="TableContents"/>
              <w:bidi w:val="0"/>
              <w:spacing w:before="0" w:after="283"/>
              <w:ind w:left="0" w:right="0" w:hanging="0"/>
              <w:jc w:val="right"/>
              <w:rPr>
                <w:sz w:val="20"/>
              </w:rPr>
            </w:pPr>
            <w:r>
              <w:rPr>
                <w:sz w:val="20"/>
              </w:rPr>
              <w:t>(226,472</w:t>
            </w:r>
          </w:p>
        </w:tc>
        <w:tc>
          <w:tcPr>
            <w:tcW w:w="80" w:type="dxa"/>
            <w:tcBorders/>
            <w:shd w:fill="FFFFFF" w:val="clear"/>
            <w:vAlign w:val="center"/>
          </w:tcPr>
          <w:p>
            <w:pPr>
              <w:pStyle w:val="TableContents"/>
              <w:bidi w:val="0"/>
              <w:spacing w:before="0" w:after="283"/>
              <w:jc w:val="left"/>
              <w:rPr>
                <w:sz w:val="20"/>
              </w:rPr>
            </w:pPr>
            <w:r>
              <w:rPr>
                <w:sz w:val="20"/>
              </w:rPr>
              <w:t>)</w:t>
            </w:r>
          </w:p>
        </w:tc>
      </w:tr>
      <w:tr>
        <w:tc>
          <w:tcPr>
            <w:tcW w:w="29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research and development</w:t>
            </w:r>
          </w:p>
        </w:tc>
        <w:tc>
          <w:tcPr>
            <w:tcW w:w="60" w:type="dxa"/>
            <w:tcBorders/>
            <w:shd w:fill="CCEEFF" w:val="clear"/>
            <w:vAlign w:val="center"/>
          </w:tcPr>
          <w:p>
            <w:pPr>
              <w:pStyle w:val="TableContents"/>
              <w:bidi w:val="0"/>
              <w:spacing w:before="0" w:after="283"/>
              <w:jc w:val="left"/>
            </w:pPr>
            <w:r>
              <w:t> </w:t>
            </w:r>
          </w:p>
        </w:tc>
        <w:tc>
          <w:tcPr>
            <w:tcW w:w="197" w:type="dxa"/>
            <w:tcBorders/>
            <w:shd w:fill="CCEEFF" w:val="clear"/>
            <w:vAlign w:val="center"/>
          </w:tcPr>
          <w:p>
            <w:pPr>
              <w:pStyle w:val="TableContents"/>
              <w:bidi w:val="0"/>
              <w:spacing w:before="0" w:after="283"/>
              <w:ind w:left="0" w:right="0" w:hanging="0"/>
              <w:jc w:val="left"/>
            </w:pPr>
            <w:r>
              <w:t> </w:t>
            </w:r>
          </w:p>
        </w:tc>
        <w:tc>
          <w:tcPr>
            <w:tcW w:w="1189" w:type="dxa"/>
            <w:tcBorders/>
            <w:shd w:fill="CCEEFF" w:val="clear"/>
            <w:vAlign w:val="center"/>
          </w:tcPr>
          <w:p>
            <w:pPr>
              <w:pStyle w:val="TableContents"/>
              <w:bidi w:val="0"/>
              <w:spacing w:before="0" w:after="283"/>
              <w:ind w:left="0" w:right="0" w:hanging="0"/>
              <w:jc w:val="right"/>
              <w:rPr>
                <w:sz w:val="20"/>
              </w:rPr>
            </w:pPr>
            <w:r>
              <w:rPr>
                <w:sz w:val="20"/>
              </w:rPr>
              <w:t>(37,537</w:t>
            </w:r>
          </w:p>
        </w:tc>
        <w:tc>
          <w:tcPr>
            <w:tcW w:w="126" w:type="dxa"/>
            <w:tcBorders/>
            <w:shd w:fill="CCEEFF" w:val="clear"/>
            <w:vAlign w:val="center"/>
          </w:tcPr>
          <w:p>
            <w:pPr>
              <w:pStyle w:val="TableContents"/>
              <w:bidi w:val="0"/>
              <w:spacing w:before="0" w:after="283"/>
              <w:jc w:val="left"/>
              <w:rPr>
                <w:sz w:val="20"/>
              </w:rPr>
            </w:pPr>
            <w:r>
              <w:rPr>
                <w:sz w:val="20"/>
              </w:rPr>
              <w:t>)</w:t>
            </w:r>
          </w:p>
        </w:tc>
        <w:tc>
          <w:tcPr>
            <w:tcW w:w="94" w:type="dxa"/>
            <w:tcBorders/>
            <w:shd w:fill="CCEEFF" w:val="clear"/>
            <w:vAlign w:val="center"/>
          </w:tcPr>
          <w:p>
            <w:pPr>
              <w:pStyle w:val="TableContents"/>
              <w:bidi w:val="0"/>
              <w:spacing w:before="0" w:after="283"/>
              <w:jc w:val="left"/>
            </w:pPr>
            <w:r>
              <w:t> </w:t>
            </w:r>
          </w:p>
        </w:tc>
        <w:tc>
          <w:tcPr>
            <w:tcW w:w="197" w:type="dxa"/>
            <w:tcBorders/>
            <w:shd w:fill="CCEEFF" w:val="clear"/>
            <w:vAlign w:val="center"/>
          </w:tcPr>
          <w:p>
            <w:pPr>
              <w:pStyle w:val="TableContents"/>
              <w:bidi w:val="0"/>
              <w:spacing w:before="0" w:after="283"/>
              <w:ind w:left="0" w:right="0" w:hanging="0"/>
              <w:jc w:val="left"/>
            </w:pPr>
            <w:r>
              <w:t> </w:t>
            </w:r>
          </w:p>
        </w:tc>
        <w:tc>
          <w:tcPr>
            <w:tcW w:w="1095" w:type="dxa"/>
            <w:tcBorders/>
            <w:shd w:fill="CCEEFF" w:val="clear"/>
            <w:vAlign w:val="center"/>
          </w:tcPr>
          <w:p>
            <w:pPr>
              <w:pStyle w:val="TableContents"/>
              <w:bidi w:val="0"/>
              <w:spacing w:before="0" w:after="283"/>
              <w:ind w:left="0" w:right="0" w:hanging="0"/>
              <w:jc w:val="right"/>
              <w:rPr>
                <w:sz w:val="20"/>
              </w:rPr>
            </w:pPr>
            <w:r>
              <w:rPr>
                <w:sz w:val="20"/>
              </w:rPr>
              <w:t>(20,951</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pPr>
            <w:r>
              <w:t> </w:t>
            </w:r>
          </w:p>
        </w:tc>
        <w:tc>
          <w:tcPr>
            <w:tcW w:w="184" w:type="dxa"/>
            <w:tcBorders/>
            <w:shd w:fill="CCEEFF" w:val="clear"/>
            <w:vAlign w:val="center"/>
          </w:tcPr>
          <w:p>
            <w:pPr>
              <w:pStyle w:val="TableContents"/>
              <w:bidi w:val="0"/>
              <w:spacing w:before="0" w:after="283"/>
              <w:ind w:left="0" w:right="0" w:hanging="0"/>
              <w:jc w:val="left"/>
            </w:pPr>
            <w:r>
              <w:t> </w:t>
            </w:r>
          </w:p>
        </w:tc>
        <w:tc>
          <w:tcPr>
            <w:tcW w:w="1116" w:type="dxa"/>
            <w:tcBorders/>
            <w:shd w:fill="CCEEFF" w:val="clear"/>
            <w:vAlign w:val="center"/>
          </w:tcPr>
          <w:p>
            <w:pPr>
              <w:pStyle w:val="TableContents"/>
              <w:bidi w:val="0"/>
              <w:spacing w:before="0" w:after="283"/>
              <w:ind w:left="0" w:right="0" w:hanging="0"/>
              <w:jc w:val="right"/>
              <w:rPr>
                <w:sz w:val="20"/>
              </w:rPr>
            </w:pPr>
            <w:r>
              <w:rPr>
                <w:sz w:val="20"/>
              </w:rPr>
              <w:t>(96,781</w:t>
            </w:r>
          </w:p>
        </w:tc>
        <w:tc>
          <w:tcPr>
            <w:tcW w:w="118" w:type="dxa"/>
            <w:tcBorders/>
            <w:shd w:fill="CCEEFF" w:val="clear"/>
            <w:vAlign w:val="center"/>
          </w:tcPr>
          <w:p>
            <w:pPr>
              <w:pStyle w:val="TableContents"/>
              <w:bidi w:val="0"/>
              <w:spacing w:before="0" w:after="283"/>
              <w:jc w:val="left"/>
              <w:rPr>
                <w:sz w:val="20"/>
              </w:rPr>
            </w:pPr>
            <w:r>
              <w:rPr>
                <w:sz w:val="20"/>
              </w:rPr>
              <w:t>)</w:t>
            </w:r>
          </w:p>
        </w:tc>
        <w:tc>
          <w:tcPr>
            <w:tcW w:w="88" w:type="dxa"/>
            <w:tcBorders/>
            <w:shd w:fill="CCEEFF" w:val="clear"/>
            <w:vAlign w:val="center"/>
          </w:tcPr>
          <w:p>
            <w:pPr>
              <w:pStyle w:val="TableContents"/>
              <w:bidi w:val="0"/>
              <w:spacing w:before="0" w:after="283"/>
              <w:jc w:val="left"/>
            </w:pPr>
            <w:r>
              <w:t> </w:t>
            </w:r>
          </w:p>
        </w:tc>
        <w:tc>
          <w:tcPr>
            <w:tcW w:w="184" w:type="dxa"/>
            <w:tcBorders/>
            <w:shd w:fill="CCEEFF" w:val="clear"/>
            <w:vAlign w:val="center"/>
          </w:tcPr>
          <w:p>
            <w:pPr>
              <w:pStyle w:val="TableContents"/>
              <w:bidi w:val="0"/>
              <w:spacing w:before="0" w:after="283"/>
              <w:ind w:left="0" w:right="0" w:hanging="0"/>
              <w:jc w:val="left"/>
            </w:pPr>
            <w:r>
              <w:t> </w:t>
            </w:r>
          </w:p>
        </w:tc>
        <w:tc>
          <w:tcPr>
            <w:tcW w:w="1116" w:type="dxa"/>
            <w:tcBorders/>
            <w:shd w:fill="CCEEFF" w:val="clear"/>
            <w:vAlign w:val="center"/>
          </w:tcPr>
          <w:p>
            <w:pPr>
              <w:pStyle w:val="TableContents"/>
              <w:bidi w:val="0"/>
              <w:spacing w:before="0" w:after="283"/>
              <w:ind w:left="0" w:right="0" w:hanging="0"/>
              <w:jc w:val="right"/>
              <w:rPr>
                <w:sz w:val="20"/>
              </w:rPr>
            </w:pPr>
            <w:r>
              <w:rPr>
                <w:sz w:val="20"/>
              </w:rPr>
              <w:t>(58,653</w:t>
            </w:r>
          </w:p>
        </w:tc>
        <w:tc>
          <w:tcPr>
            <w:tcW w:w="80" w:type="dxa"/>
            <w:tcBorders/>
            <w:shd w:fill="CCEEFF" w:val="clear"/>
            <w:vAlign w:val="center"/>
          </w:tcPr>
          <w:p>
            <w:pPr>
              <w:pStyle w:val="TableContents"/>
              <w:bidi w:val="0"/>
              <w:spacing w:before="0" w:after="283"/>
              <w:jc w:val="left"/>
              <w:rPr>
                <w:sz w:val="20"/>
              </w:rPr>
            </w:pPr>
            <w:r>
              <w:rPr>
                <w:sz w:val="20"/>
              </w:rPr>
              <w:t>)</w:t>
            </w:r>
          </w:p>
        </w:tc>
      </w:tr>
      <w:tr>
        <w:tc>
          <w:tcPr>
            <w:tcW w:w="29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sales and marketing</w:t>
            </w:r>
          </w:p>
        </w:tc>
        <w:tc>
          <w:tcPr>
            <w:tcW w:w="60" w:type="dxa"/>
            <w:tcBorders/>
            <w:shd w:fill="FFFFFF" w:val="clear"/>
            <w:vAlign w:val="center"/>
          </w:tcPr>
          <w:p>
            <w:pPr>
              <w:pStyle w:val="TableContents"/>
              <w:bidi w:val="0"/>
              <w:spacing w:before="0" w:after="283"/>
              <w:jc w:val="left"/>
            </w:pPr>
            <w:r>
              <w:t> </w:t>
            </w:r>
          </w:p>
        </w:tc>
        <w:tc>
          <w:tcPr>
            <w:tcW w:w="197" w:type="dxa"/>
            <w:tcBorders/>
            <w:shd w:fill="FFFFFF" w:val="clear"/>
            <w:vAlign w:val="center"/>
          </w:tcPr>
          <w:p>
            <w:pPr>
              <w:pStyle w:val="TableContents"/>
              <w:bidi w:val="0"/>
              <w:spacing w:before="0" w:after="283"/>
              <w:ind w:left="0" w:right="0" w:hanging="0"/>
              <w:jc w:val="left"/>
            </w:pPr>
            <w:r>
              <w:t> </w:t>
            </w:r>
          </w:p>
        </w:tc>
        <w:tc>
          <w:tcPr>
            <w:tcW w:w="1189" w:type="dxa"/>
            <w:tcBorders/>
            <w:shd w:fill="FFFFFF" w:val="clear"/>
            <w:vAlign w:val="center"/>
          </w:tcPr>
          <w:p>
            <w:pPr>
              <w:pStyle w:val="TableContents"/>
              <w:bidi w:val="0"/>
              <w:spacing w:before="0" w:after="283"/>
              <w:ind w:left="0" w:right="0" w:hanging="0"/>
              <w:jc w:val="right"/>
              <w:rPr>
                <w:sz w:val="20"/>
              </w:rPr>
            </w:pPr>
            <w:r>
              <w:rPr>
                <w:sz w:val="20"/>
              </w:rPr>
              <w:t>(7,376</w:t>
            </w:r>
          </w:p>
        </w:tc>
        <w:tc>
          <w:tcPr>
            <w:tcW w:w="126" w:type="dxa"/>
            <w:tcBorders/>
            <w:shd w:fill="FFFFFF" w:val="clear"/>
            <w:vAlign w:val="center"/>
          </w:tcPr>
          <w:p>
            <w:pPr>
              <w:pStyle w:val="TableContents"/>
              <w:bidi w:val="0"/>
              <w:spacing w:before="0" w:after="283"/>
              <w:jc w:val="left"/>
              <w:rPr>
                <w:sz w:val="20"/>
              </w:rPr>
            </w:pPr>
            <w:r>
              <w:rPr>
                <w:sz w:val="20"/>
              </w:rPr>
              <w:t>)</w:t>
            </w:r>
          </w:p>
        </w:tc>
        <w:tc>
          <w:tcPr>
            <w:tcW w:w="94" w:type="dxa"/>
            <w:tcBorders/>
            <w:shd w:fill="FFFFFF" w:val="clear"/>
            <w:vAlign w:val="center"/>
          </w:tcPr>
          <w:p>
            <w:pPr>
              <w:pStyle w:val="TableContents"/>
              <w:bidi w:val="0"/>
              <w:spacing w:before="0" w:after="283"/>
              <w:jc w:val="left"/>
            </w:pPr>
            <w:r>
              <w:t> </w:t>
            </w:r>
          </w:p>
        </w:tc>
        <w:tc>
          <w:tcPr>
            <w:tcW w:w="197" w:type="dxa"/>
            <w:tcBorders/>
            <w:shd w:fill="FFFFFF" w:val="clear"/>
            <w:vAlign w:val="center"/>
          </w:tcPr>
          <w:p>
            <w:pPr>
              <w:pStyle w:val="TableContents"/>
              <w:bidi w:val="0"/>
              <w:spacing w:before="0" w:after="283"/>
              <w:ind w:left="0" w:right="0" w:hanging="0"/>
              <w:jc w:val="left"/>
            </w:pPr>
            <w:r>
              <w:t> </w:t>
            </w:r>
          </w:p>
        </w:tc>
        <w:tc>
          <w:tcPr>
            <w:tcW w:w="1095" w:type="dxa"/>
            <w:tcBorders/>
            <w:shd w:fill="FFFFFF" w:val="clear"/>
            <w:vAlign w:val="center"/>
          </w:tcPr>
          <w:p>
            <w:pPr>
              <w:pStyle w:val="TableContents"/>
              <w:bidi w:val="0"/>
              <w:spacing w:before="0" w:after="283"/>
              <w:ind w:left="0" w:right="0" w:hanging="0"/>
              <w:jc w:val="right"/>
              <w:rPr>
                <w:sz w:val="20"/>
              </w:rPr>
            </w:pPr>
            <w:r>
              <w:rPr>
                <w:sz w:val="20"/>
              </w:rPr>
              <w:t>(9,586</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pPr>
            <w:r>
              <w:t> </w:t>
            </w:r>
          </w:p>
        </w:tc>
        <w:tc>
          <w:tcPr>
            <w:tcW w:w="184" w:type="dxa"/>
            <w:tcBorders/>
            <w:shd w:fill="FFFFFF" w:val="clear"/>
            <w:vAlign w:val="center"/>
          </w:tcPr>
          <w:p>
            <w:pPr>
              <w:pStyle w:val="TableContents"/>
              <w:bidi w:val="0"/>
              <w:spacing w:before="0" w:after="283"/>
              <w:ind w:left="0" w:right="0" w:hanging="0"/>
              <w:jc w:val="left"/>
            </w:pPr>
            <w:r>
              <w:t> </w:t>
            </w:r>
          </w:p>
        </w:tc>
        <w:tc>
          <w:tcPr>
            <w:tcW w:w="1116" w:type="dxa"/>
            <w:tcBorders/>
            <w:shd w:fill="FFFFFF" w:val="clear"/>
            <w:vAlign w:val="center"/>
          </w:tcPr>
          <w:p>
            <w:pPr>
              <w:pStyle w:val="TableContents"/>
              <w:bidi w:val="0"/>
              <w:spacing w:before="0" w:after="283"/>
              <w:ind w:left="0" w:right="0" w:hanging="0"/>
              <w:jc w:val="right"/>
              <w:rPr>
                <w:sz w:val="20"/>
              </w:rPr>
            </w:pPr>
            <w:r>
              <w:rPr>
                <w:sz w:val="20"/>
              </w:rPr>
              <w:t>(23,874</w:t>
            </w:r>
          </w:p>
        </w:tc>
        <w:tc>
          <w:tcPr>
            <w:tcW w:w="118" w:type="dxa"/>
            <w:tcBorders/>
            <w:shd w:fill="FFFFFF" w:val="clear"/>
            <w:vAlign w:val="center"/>
          </w:tcPr>
          <w:p>
            <w:pPr>
              <w:pStyle w:val="TableContents"/>
              <w:bidi w:val="0"/>
              <w:spacing w:before="0" w:after="283"/>
              <w:jc w:val="left"/>
              <w:rPr>
                <w:sz w:val="20"/>
              </w:rPr>
            </w:pPr>
            <w:r>
              <w:rPr>
                <w:sz w:val="20"/>
              </w:rPr>
              <w:t>)</w:t>
            </w:r>
          </w:p>
        </w:tc>
        <w:tc>
          <w:tcPr>
            <w:tcW w:w="88" w:type="dxa"/>
            <w:tcBorders/>
            <w:shd w:fill="FFFFFF" w:val="clear"/>
            <w:vAlign w:val="center"/>
          </w:tcPr>
          <w:p>
            <w:pPr>
              <w:pStyle w:val="TableContents"/>
              <w:bidi w:val="0"/>
              <w:spacing w:before="0" w:after="283"/>
              <w:jc w:val="left"/>
            </w:pPr>
            <w:r>
              <w:t> </w:t>
            </w:r>
          </w:p>
        </w:tc>
        <w:tc>
          <w:tcPr>
            <w:tcW w:w="184" w:type="dxa"/>
            <w:tcBorders/>
            <w:shd w:fill="FFFFFF" w:val="clear"/>
            <w:vAlign w:val="center"/>
          </w:tcPr>
          <w:p>
            <w:pPr>
              <w:pStyle w:val="TableContents"/>
              <w:bidi w:val="0"/>
              <w:spacing w:before="0" w:after="283"/>
              <w:ind w:left="0" w:right="0" w:hanging="0"/>
              <w:jc w:val="left"/>
            </w:pPr>
            <w:r>
              <w:t> </w:t>
            </w:r>
          </w:p>
        </w:tc>
        <w:tc>
          <w:tcPr>
            <w:tcW w:w="1116" w:type="dxa"/>
            <w:tcBorders/>
            <w:shd w:fill="FFFFFF" w:val="clear"/>
            <w:vAlign w:val="center"/>
          </w:tcPr>
          <w:p>
            <w:pPr>
              <w:pStyle w:val="TableContents"/>
              <w:bidi w:val="0"/>
              <w:spacing w:before="0" w:after="283"/>
              <w:ind w:left="0" w:right="0" w:hanging="0"/>
              <w:jc w:val="right"/>
              <w:rPr>
                <w:sz w:val="20"/>
              </w:rPr>
            </w:pPr>
            <w:r>
              <w:rPr>
                <w:sz w:val="20"/>
              </w:rPr>
              <w:t>(22,181</w:t>
            </w:r>
          </w:p>
        </w:tc>
        <w:tc>
          <w:tcPr>
            <w:tcW w:w="80" w:type="dxa"/>
            <w:tcBorders/>
            <w:shd w:fill="FFFFFF" w:val="clear"/>
            <w:vAlign w:val="center"/>
          </w:tcPr>
          <w:p>
            <w:pPr>
              <w:pStyle w:val="TableContents"/>
              <w:bidi w:val="0"/>
              <w:spacing w:before="0" w:after="283"/>
              <w:jc w:val="left"/>
              <w:rPr>
                <w:sz w:val="20"/>
              </w:rPr>
            </w:pPr>
            <w:r>
              <w:rPr>
                <w:sz w:val="20"/>
              </w:rPr>
              <w:t>)</w:t>
            </w:r>
          </w:p>
        </w:tc>
      </w:tr>
      <w:tr>
        <w:tc>
          <w:tcPr>
            <w:tcW w:w="29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general and administrative</w:t>
            </w:r>
          </w:p>
        </w:tc>
        <w:tc>
          <w:tcPr>
            <w:tcW w:w="60" w:type="dxa"/>
            <w:tcBorders/>
            <w:shd w:fill="CCEEFF" w:val="clear"/>
            <w:vAlign w:val="center"/>
          </w:tcPr>
          <w:p>
            <w:pPr>
              <w:pStyle w:val="TableContents"/>
              <w:bidi w:val="0"/>
              <w:spacing w:before="0" w:after="283"/>
              <w:jc w:val="left"/>
            </w:pPr>
            <w:r>
              <w:t> </w:t>
            </w:r>
          </w:p>
        </w:tc>
        <w:tc>
          <w:tcPr>
            <w:tcW w:w="197" w:type="dxa"/>
            <w:tcBorders/>
            <w:shd w:fill="CCEEFF" w:val="clear"/>
            <w:vAlign w:val="center"/>
          </w:tcPr>
          <w:p>
            <w:pPr>
              <w:pStyle w:val="TableContents"/>
              <w:bidi w:val="0"/>
              <w:spacing w:before="0" w:after="283"/>
              <w:ind w:left="0" w:right="0" w:hanging="0"/>
              <w:jc w:val="left"/>
            </w:pPr>
            <w:r>
              <w:t> </w:t>
            </w:r>
          </w:p>
        </w:tc>
        <w:tc>
          <w:tcPr>
            <w:tcW w:w="1189" w:type="dxa"/>
            <w:tcBorders/>
            <w:shd w:fill="CCEEFF" w:val="clear"/>
            <w:vAlign w:val="center"/>
          </w:tcPr>
          <w:p>
            <w:pPr>
              <w:pStyle w:val="TableContents"/>
              <w:bidi w:val="0"/>
              <w:spacing w:before="0" w:after="283"/>
              <w:ind w:left="0" w:right="0" w:hanging="0"/>
              <w:jc w:val="right"/>
              <w:rPr>
                <w:sz w:val="20"/>
              </w:rPr>
            </w:pPr>
            <w:r>
              <w:rPr>
                <w:sz w:val="20"/>
              </w:rPr>
              <w:t>(25,344</w:t>
            </w:r>
          </w:p>
        </w:tc>
        <w:tc>
          <w:tcPr>
            <w:tcW w:w="126" w:type="dxa"/>
            <w:tcBorders/>
            <w:shd w:fill="CCEEFF" w:val="clear"/>
            <w:vAlign w:val="center"/>
          </w:tcPr>
          <w:p>
            <w:pPr>
              <w:pStyle w:val="TableContents"/>
              <w:bidi w:val="0"/>
              <w:spacing w:before="0" w:after="283"/>
              <w:jc w:val="left"/>
              <w:rPr>
                <w:sz w:val="20"/>
              </w:rPr>
            </w:pPr>
            <w:r>
              <w:rPr>
                <w:sz w:val="20"/>
              </w:rPr>
              <w:t>)</w:t>
            </w:r>
          </w:p>
        </w:tc>
        <w:tc>
          <w:tcPr>
            <w:tcW w:w="94" w:type="dxa"/>
            <w:tcBorders/>
            <w:shd w:fill="CCEEFF" w:val="clear"/>
            <w:vAlign w:val="center"/>
          </w:tcPr>
          <w:p>
            <w:pPr>
              <w:pStyle w:val="TableContents"/>
              <w:bidi w:val="0"/>
              <w:spacing w:before="0" w:after="283"/>
              <w:jc w:val="left"/>
            </w:pPr>
            <w:r>
              <w:t> </w:t>
            </w:r>
          </w:p>
        </w:tc>
        <w:tc>
          <w:tcPr>
            <w:tcW w:w="197" w:type="dxa"/>
            <w:tcBorders/>
            <w:shd w:fill="CCEEFF" w:val="clear"/>
            <w:vAlign w:val="center"/>
          </w:tcPr>
          <w:p>
            <w:pPr>
              <w:pStyle w:val="TableContents"/>
              <w:bidi w:val="0"/>
              <w:spacing w:before="0" w:after="283"/>
              <w:ind w:left="0" w:right="0" w:hanging="0"/>
              <w:jc w:val="left"/>
            </w:pPr>
            <w:r>
              <w:t> </w:t>
            </w:r>
          </w:p>
        </w:tc>
        <w:tc>
          <w:tcPr>
            <w:tcW w:w="1095" w:type="dxa"/>
            <w:tcBorders/>
            <w:shd w:fill="CCEEFF" w:val="clear"/>
            <w:vAlign w:val="center"/>
          </w:tcPr>
          <w:p>
            <w:pPr>
              <w:pStyle w:val="TableContents"/>
              <w:bidi w:val="0"/>
              <w:spacing w:before="0" w:after="283"/>
              <w:ind w:left="0" w:right="0" w:hanging="0"/>
              <w:jc w:val="right"/>
              <w:rPr>
                <w:sz w:val="20"/>
              </w:rPr>
            </w:pPr>
            <w:r>
              <w:rPr>
                <w:sz w:val="20"/>
              </w:rPr>
              <w:t>(16,518</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pPr>
            <w:r>
              <w:t> </w:t>
            </w:r>
          </w:p>
        </w:tc>
        <w:tc>
          <w:tcPr>
            <w:tcW w:w="184" w:type="dxa"/>
            <w:tcBorders/>
            <w:shd w:fill="CCEEFF" w:val="clear"/>
            <w:vAlign w:val="center"/>
          </w:tcPr>
          <w:p>
            <w:pPr>
              <w:pStyle w:val="TableContents"/>
              <w:bidi w:val="0"/>
              <w:spacing w:before="0" w:after="283"/>
              <w:ind w:left="0" w:right="0" w:hanging="0"/>
              <w:jc w:val="left"/>
            </w:pPr>
            <w:r>
              <w:t> </w:t>
            </w:r>
          </w:p>
        </w:tc>
        <w:tc>
          <w:tcPr>
            <w:tcW w:w="1116" w:type="dxa"/>
            <w:tcBorders/>
            <w:shd w:fill="CCEEFF" w:val="clear"/>
            <w:vAlign w:val="center"/>
          </w:tcPr>
          <w:p>
            <w:pPr>
              <w:pStyle w:val="TableContents"/>
              <w:bidi w:val="0"/>
              <w:spacing w:before="0" w:after="283"/>
              <w:ind w:left="0" w:right="0" w:hanging="0"/>
              <w:jc w:val="right"/>
              <w:rPr>
                <w:sz w:val="20"/>
              </w:rPr>
            </w:pPr>
            <w:r>
              <w:rPr>
                <w:sz w:val="20"/>
              </w:rPr>
              <w:t>(68,532</w:t>
            </w:r>
          </w:p>
        </w:tc>
        <w:tc>
          <w:tcPr>
            <w:tcW w:w="118" w:type="dxa"/>
            <w:tcBorders/>
            <w:shd w:fill="CCEEFF" w:val="clear"/>
            <w:vAlign w:val="center"/>
          </w:tcPr>
          <w:p>
            <w:pPr>
              <w:pStyle w:val="TableContents"/>
              <w:bidi w:val="0"/>
              <w:spacing w:before="0" w:after="283"/>
              <w:jc w:val="left"/>
              <w:rPr>
                <w:sz w:val="20"/>
              </w:rPr>
            </w:pPr>
            <w:r>
              <w:rPr>
                <w:sz w:val="20"/>
              </w:rPr>
              <w:t>)</w:t>
            </w:r>
          </w:p>
        </w:tc>
        <w:tc>
          <w:tcPr>
            <w:tcW w:w="88" w:type="dxa"/>
            <w:tcBorders/>
            <w:shd w:fill="CCEEFF" w:val="clear"/>
            <w:vAlign w:val="center"/>
          </w:tcPr>
          <w:p>
            <w:pPr>
              <w:pStyle w:val="TableContents"/>
              <w:bidi w:val="0"/>
              <w:spacing w:before="0" w:after="283"/>
              <w:jc w:val="left"/>
            </w:pPr>
            <w:r>
              <w:t> </w:t>
            </w:r>
          </w:p>
        </w:tc>
        <w:tc>
          <w:tcPr>
            <w:tcW w:w="184" w:type="dxa"/>
            <w:tcBorders/>
            <w:shd w:fill="CCEEFF" w:val="clear"/>
            <w:vAlign w:val="center"/>
          </w:tcPr>
          <w:p>
            <w:pPr>
              <w:pStyle w:val="TableContents"/>
              <w:bidi w:val="0"/>
              <w:spacing w:before="0" w:after="283"/>
              <w:ind w:left="0" w:right="0" w:hanging="0"/>
              <w:jc w:val="left"/>
            </w:pPr>
            <w:r>
              <w:t> </w:t>
            </w:r>
          </w:p>
        </w:tc>
        <w:tc>
          <w:tcPr>
            <w:tcW w:w="1116" w:type="dxa"/>
            <w:tcBorders/>
            <w:shd w:fill="CCEEFF" w:val="clear"/>
            <w:vAlign w:val="center"/>
          </w:tcPr>
          <w:p>
            <w:pPr>
              <w:pStyle w:val="TableContents"/>
              <w:bidi w:val="0"/>
              <w:spacing w:before="0" w:after="283"/>
              <w:ind w:left="0" w:right="0" w:hanging="0"/>
              <w:jc w:val="right"/>
              <w:rPr>
                <w:sz w:val="20"/>
              </w:rPr>
            </w:pPr>
            <w:r>
              <w:rPr>
                <w:sz w:val="20"/>
              </w:rPr>
              <w:t>(43,742</w:t>
            </w:r>
          </w:p>
        </w:tc>
        <w:tc>
          <w:tcPr>
            <w:tcW w:w="80" w:type="dxa"/>
            <w:tcBorders/>
            <w:shd w:fill="CCEEFF" w:val="clear"/>
            <w:vAlign w:val="center"/>
          </w:tcPr>
          <w:p>
            <w:pPr>
              <w:pStyle w:val="TableContents"/>
              <w:bidi w:val="0"/>
              <w:spacing w:before="0" w:after="283"/>
              <w:jc w:val="left"/>
              <w:rPr>
                <w:sz w:val="20"/>
              </w:rPr>
            </w:pPr>
            <w:r>
              <w:rPr>
                <w:sz w:val="20"/>
              </w:rPr>
              <w:t>)</w:t>
            </w:r>
          </w:p>
        </w:tc>
      </w:tr>
      <w:tr>
        <w:tc>
          <w:tcPr>
            <w:tcW w:w="29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segment items</w:t>
            </w:r>
          </w:p>
        </w:tc>
        <w:tc>
          <w:tcPr>
            <w:tcW w:w="60" w:type="dxa"/>
            <w:tcBorders/>
            <w:shd w:fill="FFFFFF" w:val="clear"/>
            <w:vAlign w:val="center"/>
          </w:tcPr>
          <w:p>
            <w:pPr>
              <w:pStyle w:val="TableContents"/>
              <w:bidi w:val="0"/>
              <w:spacing w:before="0" w:after="283"/>
              <w:jc w:val="left"/>
            </w:pPr>
            <w:r>
              <w:t> </w:t>
            </w:r>
          </w:p>
        </w:tc>
        <w:tc>
          <w:tcPr>
            <w:tcW w:w="19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18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402</w:t>
            </w:r>
          </w:p>
        </w:tc>
        <w:tc>
          <w:tcPr>
            <w:tcW w:w="126" w:type="dxa"/>
            <w:tcBorders/>
            <w:shd w:fill="FFFFFF" w:val="clear"/>
            <w:vAlign w:val="center"/>
          </w:tcPr>
          <w:p>
            <w:pPr>
              <w:pStyle w:val="TableContents"/>
              <w:bidi w:val="0"/>
              <w:spacing w:before="0" w:after="283"/>
              <w:jc w:val="left"/>
            </w:pPr>
            <w:r>
              <w:t> </w:t>
            </w:r>
          </w:p>
        </w:tc>
        <w:tc>
          <w:tcPr>
            <w:tcW w:w="94" w:type="dxa"/>
            <w:tcBorders/>
            <w:shd w:fill="FFFFFF" w:val="clear"/>
            <w:vAlign w:val="center"/>
          </w:tcPr>
          <w:p>
            <w:pPr>
              <w:pStyle w:val="TableContents"/>
              <w:bidi w:val="0"/>
              <w:spacing w:before="0" w:after="283"/>
              <w:jc w:val="left"/>
            </w:pPr>
            <w:r>
              <w:t> </w:t>
            </w:r>
          </w:p>
        </w:tc>
        <w:tc>
          <w:tcPr>
            <w:tcW w:w="19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0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(4,144</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pPr>
            <w:r>
              <w:t> </w:t>
            </w:r>
          </w:p>
        </w:tc>
        <w:tc>
          <w:tcPr>
            <w:tcW w:w="1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1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(14,853</w:t>
            </w:r>
          </w:p>
        </w:tc>
        <w:tc>
          <w:tcPr>
            <w:tcW w:w="118" w:type="dxa"/>
            <w:tcBorders/>
            <w:shd w:fill="FFFFFF" w:val="clear"/>
            <w:vAlign w:val="center"/>
          </w:tcPr>
          <w:p>
            <w:pPr>
              <w:pStyle w:val="TableContents"/>
              <w:bidi w:val="0"/>
              <w:spacing w:before="0" w:after="283"/>
              <w:jc w:val="left"/>
              <w:rPr>
                <w:sz w:val="20"/>
              </w:rPr>
            </w:pPr>
            <w:r>
              <w:rPr>
                <w:sz w:val="20"/>
              </w:rPr>
              <w:t>)</w:t>
            </w:r>
          </w:p>
        </w:tc>
        <w:tc>
          <w:tcPr>
            <w:tcW w:w="88" w:type="dxa"/>
            <w:tcBorders/>
            <w:shd w:fill="FFFFFF" w:val="clear"/>
            <w:vAlign w:val="center"/>
          </w:tcPr>
          <w:p>
            <w:pPr>
              <w:pStyle w:val="TableContents"/>
              <w:bidi w:val="0"/>
              <w:spacing w:before="0" w:after="283"/>
              <w:jc w:val="left"/>
            </w:pPr>
            <w:r>
              <w:t> </w:t>
            </w:r>
          </w:p>
        </w:tc>
        <w:tc>
          <w:tcPr>
            <w:tcW w:w="1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1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(6,599</w:t>
            </w:r>
          </w:p>
        </w:tc>
        <w:tc>
          <w:tcPr>
            <w:tcW w:w="80" w:type="dxa"/>
            <w:tcBorders/>
            <w:shd w:fill="FFFFFF" w:val="clear"/>
            <w:vAlign w:val="center"/>
          </w:tcPr>
          <w:p>
            <w:pPr>
              <w:pStyle w:val="TableContents"/>
              <w:bidi w:val="0"/>
              <w:spacing w:before="0" w:after="283"/>
              <w:jc w:val="left"/>
              <w:rPr>
                <w:sz w:val="20"/>
              </w:rPr>
            </w:pPr>
            <w:r>
              <w:rPr>
                <w:sz w:val="20"/>
              </w:rPr>
              <w:t>)</w:t>
            </w:r>
          </w:p>
        </w:tc>
      </w:tr>
      <w:tr>
        <w:tc>
          <w:tcPr>
            <w:tcW w:w="29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w:t>
            </w:r>
          </w:p>
        </w:tc>
        <w:tc>
          <w:tcPr>
            <w:tcW w:w="60" w:type="dxa"/>
            <w:tcBorders/>
            <w:shd w:fill="CCEEFF" w:val="clear"/>
            <w:vAlign w:val="center"/>
          </w:tcPr>
          <w:p>
            <w:pPr>
              <w:pStyle w:val="TableContents"/>
              <w:bidi w:val="0"/>
              <w:spacing w:before="0" w:after="283"/>
              <w:ind w:left="0" w:right="0" w:hanging="0"/>
              <w:jc w:val="left"/>
            </w:pPr>
            <w:r>
              <w:t> </w:t>
            </w:r>
          </w:p>
        </w:tc>
        <w:tc>
          <w:tcPr>
            <w:tcW w:w="19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118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6,300</w:t>
            </w:r>
          </w:p>
        </w:tc>
        <w:tc>
          <w:tcPr>
            <w:tcW w:w="126" w:type="dxa"/>
            <w:tcBorders/>
            <w:shd w:fill="CCEEFF" w:val="clear"/>
            <w:vAlign w:val="center"/>
          </w:tcPr>
          <w:p>
            <w:pPr>
              <w:pStyle w:val="TableContents"/>
              <w:bidi w:val="0"/>
              <w:spacing w:before="0" w:after="283"/>
              <w:jc w:val="left"/>
            </w:pPr>
            <w:r>
              <w:t> </w:t>
            </w:r>
          </w:p>
        </w:tc>
        <w:tc>
          <w:tcPr>
            <w:tcW w:w="94" w:type="dxa"/>
            <w:tcBorders/>
            <w:shd w:fill="CCEEFF" w:val="clear"/>
            <w:vAlign w:val="center"/>
          </w:tcPr>
          <w:p>
            <w:pPr>
              <w:pStyle w:val="TableContents"/>
              <w:bidi w:val="0"/>
              <w:spacing w:before="0" w:after="283"/>
              <w:ind w:left="0" w:right="0" w:hanging="0"/>
              <w:jc w:val="left"/>
            </w:pPr>
            <w:r>
              <w:t> </w:t>
            </w:r>
          </w:p>
        </w:tc>
        <w:tc>
          <w:tcPr>
            <w:tcW w:w="19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10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(17,936</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ind w:left="0" w:right="0" w:hanging="0"/>
              <w:jc w:val="left"/>
            </w:pPr>
            <w:r>
              <w:t> </w:t>
            </w:r>
          </w:p>
        </w:tc>
        <w:tc>
          <w:tcPr>
            <w:tcW w:w="18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111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(30,762</w:t>
            </w:r>
          </w:p>
        </w:tc>
        <w:tc>
          <w:tcPr>
            <w:tcW w:w="118" w:type="dxa"/>
            <w:tcBorders/>
            <w:shd w:fill="CCEEFF" w:val="clear"/>
            <w:vAlign w:val="center"/>
          </w:tcPr>
          <w:p>
            <w:pPr>
              <w:pStyle w:val="TableContents"/>
              <w:bidi w:val="0"/>
              <w:spacing w:before="0" w:after="283"/>
              <w:jc w:val="left"/>
              <w:rPr>
                <w:sz w:val="20"/>
              </w:rPr>
            </w:pPr>
            <w:r>
              <w:rPr>
                <w:sz w:val="20"/>
              </w:rPr>
              <w:t>)</w:t>
            </w:r>
          </w:p>
        </w:tc>
        <w:tc>
          <w:tcPr>
            <w:tcW w:w="88" w:type="dxa"/>
            <w:tcBorders/>
            <w:shd w:fill="CCEEFF" w:val="clear"/>
            <w:vAlign w:val="center"/>
          </w:tcPr>
          <w:p>
            <w:pPr>
              <w:pStyle w:val="TableContents"/>
              <w:bidi w:val="0"/>
              <w:spacing w:before="0" w:after="283"/>
              <w:ind w:left="0" w:right="0" w:hanging="0"/>
              <w:jc w:val="left"/>
            </w:pPr>
            <w:r>
              <w:t> </w:t>
            </w:r>
          </w:p>
        </w:tc>
        <w:tc>
          <w:tcPr>
            <w:tcW w:w="18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111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(36,206</w:t>
            </w:r>
          </w:p>
        </w:tc>
        <w:tc>
          <w:tcPr>
            <w:tcW w:w="80" w:type="dxa"/>
            <w:tcBorders/>
            <w:shd w:fill="CCEEFF" w:val="clear"/>
            <w:vAlign w:val="center"/>
          </w:tcPr>
          <w:p>
            <w:pPr>
              <w:pStyle w:val="TableContents"/>
              <w:bidi w:val="0"/>
              <w:spacing w:before="0" w:after="283"/>
              <w:jc w:val="left"/>
              <w:rPr>
                <w:sz w:val="20"/>
              </w:rPr>
            </w:pPr>
            <w:r>
              <w:rPr>
                <w:sz w:val="20"/>
              </w:rPr>
              <w:t>)</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pPr>
      <w:r>
        <w:rPr>
          <w:rFonts w:ascii="Times New Roman" w:hAnsi="Times New Roman"/>
          <w:sz w:val="20"/>
        </w:rPr>
        <w:t xml:space="preserve">We exclude share-based compensation and related expense, certain legal expenses associated with litigation and other </w:t>
      </w:r>
      <w:r>
        <w:rPr>
          <w:rStyle w:val="Emphasis"/>
          <w:rFonts w:ascii="Times New Roman" w:hAnsi="Times New Roman"/>
          <w:sz w:val="20"/>
        </w:rPr>
        <w:t>one</w:t>
      </w:r>
      <w:r>
        <w:rPr>
          <w:rFonts w:ascii="Times New Roman" w:hAnsi="Times New Roman"/>
          <w:sz w:val="20"/>
        </w:rPr>
        <w:t>-time expenses from adjusted research and development, adjusted sales and marketing and adjusted general and administrative expenses.</w:t>
      </w:r>
    </w:p>
    <w:p>
      <w:pPr>
        <w:pStyle w:val="TextBody"/>
        <w:bidi w:val="0"/>
        <w:spacing w:before="0" w:after="0"/>
        <w:ind w:left="0" w:right="0" w:firstLine="720"/>
        <w:jc w:val="left"/>
      </w:pPr>
      <w:r>
        <w:t> </w:t>
      </w:r>
    </w:p>
    <w:p>
      <w:pPr>
        <w:pStyle w:val="TextBody"/>
        <w:bidi w:val="0"/>
        <w:spacing w:before="0" w:after="0"/>
        <w:ind w:left="0" w:right="0" w:firstLine="720"/>
        <w:jc w:val="left"/>
      </w:pPr>
      <w:r>
        <w:rPr>
          <w:rFonts w:ascii="Times New Roman" w:hAnsi="Times New Roman"/>
          <w:sz w:val="20"/>
        </w:rPr>
        <w:t xml:space="preserve">Other segment items include share-based compensation expense, interest expense, interest income, certain legal expenses associated with litigation and other </w:t>
      </w:r>
      <w:r>
        <w:rPr>
          <w:rStyle w:val="Emphasis"/>
          <w:rFonts w:ascii="Times New Roman" w:hAnsi="Times New Roman"/>
          <w:sz w:val="20"/>
        </w:rPr>
        <w:t>one</w:t>
      </w:r>
      <w:r>
        <w:rPr>
          <w:rFonts w:ascii="Times New Roman" w:hAnsi="Times New Roman"/>
          <w:sz w:val="20"/>
        </w:rPr>
        <w:t>-time items. </w:t>
      </w:r>
    </w:p>
    <w:p>
      <w:pPr>
        <w:pStyle w:val="TextBody"/>
        <w:bidi w:val="0"/>
        <w:spacing w:before="0" w:after="0"/>
        <w:ind w:left="0" w:right="0" w:firstLine="720"/>
        <w:jc w:val="left"/>
      </w:pPr>
      <w:r>
        <w:t> </w:t>
      </w:r>
    </w:p>
    <w:p>
      <w:pPr>
        <w:pStyle w:val="TextBody"/>
        <w:bidi w:val="0"/>
        <w:spacing w:before="0" w:after="0"/>
        <w:jc w:val="center"/>
      </w:pPr>
      <w:r>
        <w:rPr>
          <w:rStyle w:val="Emphasis"/>
          <w:rFonts w:ascii="Times New Roman" w:hAnsi="Times New Roman"/>
          <w:sz w:val="20"/>
        </w:rPr>
        <w:t>21</w:t>
      </w:r>
      <w:r>
        <w:rPr>
          <w:rFonts w:ascii="Times New Roman" w:hAnsi="Times New Roman"/>
          <w:sz w:val="20"/>
        </w:rPr>
        <w:t xml:space="preserve"> </w:t>
      </w:r>
    </w:p>
    <w:p>
      <w:pPr>
        <w:pStyle w:val="HorizontalLine"/>
        <w:pBdr>
          <w:bottom w:val="double" w:sz="2" w:space="0" w:color="808080"/>
        </w:pBdr>
        <w:bidi w:val="0"/>
        <w:spacing w:before="0" w:after="283"/>
        <w:jc w:val="left"/>
      </w:pPr>
      <w:r/>
    </w:p>
    <w:p>
      <w:pPr>
        <w:pStyle w:val="TextBody"/>
        <w:bidi w:val="0"/>
        <w:spacing w:before="0" w:after="0"/>
        <w:jc w:val="left"/>
      </w:pPr>
      <w:hyperlink w:anchor="toc">
        <w:r>
          <w:rPr>
            <w:rStyle w:val="InternetLink"/>
            <w:rFonts w:ascii="Times New Roman;Times;serif" w:hAnsi="Times New Roman;Times;serif"/>
            <w:sz w:val="20"/>
          </w:rPr>
          <w:t>Table of Contents</w:t>
        </w:r>
      </w:hyperlink>
      <w:r>
        <w:t xml:space="preserve"> </w:t>
      </w:r>
    </w:p>
    <w:p>
      <w:pPr>
        <w:pStyle w:val="TextBody"/>
        <w:bidi w:val="0"/>
        <w:spacing w:before="0" w:after="283"/>
        <w:jc w:val="left"/>
      </w:pPr>
      <w: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sz w:val="20"/>
        </w:rPr>
        <w:t>The following tables set forth the Company’s revenue and asset information by geographic region. Revenue is classified based on the location of where the product is manufactured. Long-lived assets in the tables below comprise property, plant, equipment, land use rights, right of use assets and intangible assets (in thousands):</w:t>
      </w:r>
    </w:p>
    <w:p>
      <w:pPr>
        <w:pStyle w:val="TextBody"/>
        <w:bidi w:val="0"/>
        <w:spacing w:before="0" w:after="0"/>
        <w:ind w:left="0" w:right="0" w:firstLine="720"/>
        <w:jc w:val="left"/>
      </w:pPr>
      <w:r>
        <w:t> </w:t>
      </w:r>
    </w:p>
    <w:tbl>
      <w:tblPr>
        <w:tblW w:w="7222" w:type="dxa"/>
        <w:jc w:val="left"/>
        <w:tblInd w:w="0" w:type="dxa"/>
        <w:tblLayout w:type="fixed"/>
        <w:tblCellMar>
          <w:top w:w="0" w:type="dxa"/>
          <w:left w:w="0" w:type="dxa"/>
          <w:bottom w:w="0" w:type="dxa"/>
          <w:right w:w="0" w:type="dxa"/>
        </w:tblCellMar>
      </w:tblPr>
      <w:tblGrid>
        <w:gridCol w:w="1280"/>
        <w:gridCol w:w="60"/>
        <w:gridCol w:w="205"/>
        <w:gridCol w:w="1145"/>
        <w:gridCol w:w="98"/>
        <w:gridCol w:w="98"/>
        <w:gridCol w:w="205"/>
        <w:gridCol w:w="1145"/>
        <w:gridCol w:w="60"/>
        <w:gridCol w:w="60"/>
        <w:gridCol w:w="199"/>
        <w:gridCol w:w="1109"/>
        <w:gridCol w:w="95"/>
        <w:gridCol w:w="95"/>
        <w:gridCol w:w="199"/>
        <w:gridCol w:w="1109"/>
        <w:gridCol w:w="60"/>
      </w:tblGrid>
      <w:tr>
        <w:tc>
          <w:tcPr>
            <w:tcW w:w="12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89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Three months ended September 30,</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80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Nine months ended September 30,</w:t>
            </w:r>
          </w:p>
        </w:tc>
        <w:tc>
          <w:tcPr>
            <w:tcW w:w="60" w:type="dxa"/>
            <w:tcBorders/>
            <w:shd w:fill="FFFFFF" w:val="clear"/>
            <w:vAlign w:val="center"/>
          </w:tcPr>
          <w:p>
            <w:pPr>
              <w:pStyle w:val="TableContents"/>
              <w:bidi w:val="0"/>
              <w:spacing w:before="0" w:after="283"/>
              <w:jc w:val="left"/>
            </w:pPr>
            <w:r>
              <w:t> </w:t>
            </w:r>
          </w:p>
        </w:tc>
      </w:tr>
      <w:tr>
        <w:tc>
          <w:tcPr>
            <w:tcW w:w="12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3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2026</w:t>
            </w:r>
          </w:p>
        </w:tc>
        <w:tc>
          <w:tcPr>
            <w:tcW w:w="98" w:type="dxa"/>
            <w:tcBorders/>
            <w:shd w:fill="FFFFFF" w:val="clear"/>
            <w:vAlign w:val="center"/>
          </w:tcPr>
          <w:p>
            <w:pPr>
              <w:pStyle w:val="TableContents"/>
              <w:bidi w:val="0"/>
              <w:spacing w:before="0" w:after="283"/>
              <w:jc w:val="left"/>
            </w:pPr>
            <w:r>
              <w:t> </w:t>
            </w:r>
          </w:p>
        </w:tc>
        <w:tc>
          <w:tcPr>
            <w:tcW w:w="98" w:type="dxa"/>
            <w:tcBorders/>
            <w:shd w:fill="FFFFFF" w:val="clear"/>
            <w:vAlign w:val="center"/>
          </w:tcPr>
          <w:p>
            <w:pPr>
              <w:pStyle w:val="TableContents"/>
              <w:bidi w:val="0"/>
              <w:spacing w:before="0" w:after="283"/>
              <w:ind w:left="0" w:right="0" w:hanging="0"/>
              <w:jc w:val="left"/>
            </w:pPr>
            <w:r>
              <w:t> </w:t>
            </w:r>
          </w:p>
        </w:tc>
        <w:tc>
          <w:tcPr>
            <w:tcW w:w="13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30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2026</w:t>
            </w:r>
          </w:p>
        </w:tc>
        <w:tc>
          <w:tcPr>
            <w:tcW w:w="95" w:type="dxa"/>
            <w:tcBorders/>
            <w:shd w:fill="FFFFFF" w:val="clear"/>
            <w:vAlign w:val="center"/>
          </w:tcPr>
          <w:p>
            <w:pPr>
              <w:pStyle w:val="TableContents"/>
              <w:bidi w:val="0"/>
              <w:spacing w:before="0" w:after="283"/>
              <w:jc w:val="left"/>
            </w:pPr>
            <w:r>
              <w:t> </w:t>
            </w:r>
          </w:p>
        </w:tc>
        <w:tc>
          <w:tcPr>
            <w:tcW w:w="95" w:type="dxa"/>
            <w:tcBorders/>
            <w:shd w:fill="FFFFFF" w:val="clear"/>
            <w:vAlign w:val="center"/>
          </w:tcPr>
          <w:p>
            <w:pPr>
              <w:pStyle w:val="TableContents"/>
              <w:bidi w:val="0"/>
              <w:spacing w:before="0" w:after="283"/>
              <w:ind w:left="0" w:right="0" w:hanging="0"/>
              <w:jc w:val="left"/>
            </w:pPr>
            <w:r>
              <w:t> </w:t>
            </w:r>
          </w:p>
        </w:tc>
        <w:tc>
          <w:tcPr>
            <w:tcW w:w="130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pPr>
            <w:r>
              <w:t> </w:t>
            </w:r>
          </w:p>
        </w:tc>
      </w:tr>
      <w:tr>
        <w:tc>
          <w:tcPr>
            <w:tcW w:w="12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Revenues:</w:t>
            </w:r>
          </w:p>
        </w:tc>
        <w:tc>
          <w:tcPr>
            <w:tcW w:w="60" w:type="dxa"/>
            <w:tcBorders/>
            <w:shd w:fill="CCEEFF" w:val="clear"/>
            <w:vAlign w:val="center"/>
          </w:tcPr>
          <w:p>
            <w:pPr>
              <w:pStyle w:val="TableContents"/>
              <w:bidi w:val="0"/>
              <w:spacing w:before="0" w:after="283"/>
              <w:ind w:left="0" w:right="0" w:hanging="0"/>
              <w:jc w:val="left"/>
            </w:pPr>
            <w:r>
              <w:t> </w:t>
            </w:r>
          </w:p>
        </w:tc>
        <w:tc>
          <w:tcPr>
            <w:tcW w:w="1350" w:type="dxa"/>
            <w:gridSpan w:val="2"/>
            <w:tcBorders/>
            <w:shd w:fill="CCEEFF" w:val="clear"/>
            <w:vAlign w:val="center"/>
          </w:tcPr>
          <w:p>
            <w:pPr>
              <w:pStyle w:val="TableContents"/>
              <w:bidi w:val="0"/>
              <w:spacing w:before="0" w:after="283"/>
              <w:jc w:val="left"/>
            </w:pPr>
            <w:r>
              <w:t> </w:t>
            </w:r>
          </w:p>
        </w:tc>
        <w:tc>
          <w:tcPr>
            <w:tcW w:w="98" w:type="dxa"/>
            <w:tcBorders/>
            <w:shd w:fill="CCEEFF" w:val="clear"/>
            <w:vAlign w:val="center"/>
          </w:tcPr>
          <w:p>
            <w:pPr>
              <w:pStyle w:val="TableContents"/>
              <w:bidi w:val="0"/>
              <w:spacing w:before="0" w:after="283"/>
              <w:jc w:val="left"/>
            </w:pPr>
            <w:r>
              <w:t> </w:t>
            </w:r>
          </w:p>
        </w:tc>
        <w:tc>
          <w:tcPr>
            <w:tcW w:w="98" w:type="dxa"/>
            <w:tcBorders/>
            <w:shd w:fill="CCEEFF" w:val="clear"/>
            <w:vAlign w:val="center"/>
          </w:tcPr>
          <w:p>
            <w:pPr>
              <w:pStyle w:val="TableContents"/>
              <w:bidi w:val="0"/>
              <w:spacing w:before="0" w:after="283"/>
              <w:ind w:left="0" w:right="0" w:hanging="0"/>
              <w:jc w:val="left"/>
            </w:pPr>
            <w:r>
              <w:t> </w:t>
            </w:r>
          </w:p>
        </w:tc>
        <w:tc>
          <w:tcPr>
            <w:tcW w:w="1350" w:type="dxa"/>
            <w:gridSpan w:val="2"/>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99" w:type="dxa"/>
            <w:tcBorders/>
            <w:shd w:fill="CCEEFF" w:val="clear"/>
            <w:vAlign w:val="center"/>
          </w:tcPr>
          <w:p>
            <w:pPr>
              <w:pStyle w:val="TableContents"/>
              <w:bidi w:val="0"/>
              <w:spacing w:before="0" w:after="283"/>
              <w:jc w:val="left"/>
            </w:pPr>
            <w:r>
              <w:t> </w:t>
            </w:r>
          </w:p>
        </w:tc>
        <w:tc>
          <w:tcPr>
            <w:tcW w:w="1109" w:type="dxa"/>
            <w:tcBorders/>
            <w:shd w:fill="CCEEFF" w:val="clear"/>
            <w:vAlign w:val="center"/>
          </w:tcPr>
          <w:p>
            <w:pPr>
              <w:pStyle w:val="TableContents"/>
              <w:bidi w:val="0"/>
              <w:spacing w:before="0" w:after="283"/>
              <w:jc w:val="left"/>
            </w:pPr>
            <w:r>
              <w:t> </w:t>
            </w:r>
          </w:p>
        </w:tc>
        <w:tc>
          <w:tcPr>
            <w:tcW w:w="95" w:type="dxa"/>
            <w:tcBorders/>
            <w:shd w:fill="CCEEFF" w:val="clear"/>
            <w:vAlign w:val="center"/>
          </w:tcPr>
          <w:p>
            <w:pPr>
              <w:pStyle w:val="TableContents"/>
              <w:bidi w:val="0"/>
              <w:spacing w:before="0" w:after="283"/>
              <w:jc w:val="left"/>
            </w:pPr>
            <w:r>
              <w:t> </w:t>
            </w:r>
          </w:p>
        </w:tc>
        <w:tc>
          <w:tcPr>
            <w:tcW w:w="95" w:type="dxa"/>
            <w:tcBorders/>
            <w:shd w:fill="CCEEFF" w:val="clear"/>
            <w:vAlign w:val="center"/>
          </w:tcPr>
          <w:p>
            <w:pPr>
              <w:pStyle w:val="TableContents"/>
              <w:bidi w:val="0"/>
              <w:spacing w:before="0" w:after="283"/>
              <w:jc w:val="left"/>
            </w:pPr>
            <w:r>
              <w:t> </w:t>
            </w:r>
          </w:p>
        </w:tc>
        <w:tc>
          <w:tcPr>
            <w:tcW w:w="199" w:type="dxa"/>
            <w:tcBorders/>
            <w:shd w:fill="CCEEFF" w:val="clear"/>
            <w:vAlign w:val="center"/>
          </w:tcPr>
          <w:p>
            <w:pPr>
              <w:pStyle w:val="TableContents"/>
              <w:bidi w:val="0"/>
              <w:spacing w:before="0" w:after="283"/>
              <w:jc w:val="left"/>
            </w:pPr>
            <w:r>
              <w:t> </w:t>
            </w:r>
          </w:p>
        </w:tc>
        <w:tc>
          <w:tcPr>
            <w:tcW w:w="1109"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r>
      <w:tr>
        <w:tc>
          <w:tcPr>
            <w:tcW w:w="1280"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United States</w:t>
            </w:r>
          </w:p>
        </w:tc>
        <w:tc>
          <w:tcPr>
            <w:tcW w:w="60" w:type="dxa"/>
            <w:tcBorders/>
            <w:shd w:fill="FFFFFF" w:val="clear"/>
            <w:vAlign w:val="center"/>
          </w:tcPr>
          <w:p>
            <w:pPr>
              <w:pStyle w:val="TableContents"/>
              <w:bidi w:val="0"/>
              <w:spacing w:before="0" w:after="283"/>
              <w:ind w:left="0" w:right="0" w:hanging="0"/>
              <w:jc w:val="left"/>
            </w:pPr>
            <w:r>
              <w:t> </w:t>
            </w:r>
          </w:p>
        </w:tc>
        <w:tc>
          <w:tcPr>
            <w:tcW w:w="205" w:type="dxa"/>
            <w:tcBorders/>
            <w:shd w:fill="FFFFFF" w:val="clear"/>
            <w:vAlign w:val="center"/>
          </w:tcPr>
          <w:p>
            <w:pPr>
              <w:pStyle w:val="TableContents"/>
              <w:bidi w:val="0"/>
              <w:spacing w:before="0" w:after="283"/>
              <w:ind w:left="0" w:right="0" w:hanging="0"/>
              <w:jc w:val="left"/>
              <w:rPr>
                <w:sz w:val="20"/>
              </w:rPr>
            </w:pPr>
            <w:r>
              <w:rPr>
                <w:sz w:val="20"/>
              </w:rPr>
              <w:t>$</w:t>
            </w:r>
          </w:p>
        </w:tc>
        <w:tc>
          <w:tcPr>
            <w:tcW w:w="1145" w:type="dxa"/>
            <w:tcBorders/>
            <w:shd w:fill="FFFFFF" w:val="clear"/>
            <w:vAlign w:val="center"/>
          </w:tcPr>
          <w:p>
            <w:pPr>
              <w:pStyle w:val="TableContents"/>
              <w:bidi w:val="0"/>
              <w:spacing w:before="0" w:after="283"/>
              <w:ind w:left="0" w:right="0" w:hanging="0"/>
              <w:jc w:val="right"/>
              <w:rPr>
                <w:sz w:val="20"/>
              </w:rPr>
            </w:pPr>
            <w:r>
              <w:rPr>
                <w:sz w:val="20"/>
              </w:rPr>
              <w:t>1,523</w:t>
            </w:r>
          </w:p>
        </w:tc>
        <w:tc>
          <w:tcPr>
            <w:tcW w:w="98" w:type="dxa"/>
            <w:tcBorders/>
            <w:shd w:fill="FFFFFF" w:val="clear"/>
            <w:vAlign w:val="center"/>
          </w:tcPr>
          <w:p>
            <w:pPr>
              <w:pStyle w:val="TableContents"/>
              <w:bidi w:val="0"/>
              <w:spacing w:before="0" w:after="283"/>
              <w:jc w:val="left"/>
            </w:pPr>
            <w:r>
              <w:t> </w:t>
            </w:r>
          </w:p>
        </w:tc>
        <w:tc>
          <w:tcPr>
            <w:tcW w:w="98" w:type="dxa"/>
            <w:tcBorders/>
            <w:shd w:fill="FFFFFF" w:val="clear"/>
            <w:vAlign w:val="center"/>
          </w:tcPr>
          <w:p>
            <w:pPr>
              <w:pStyle w:val="TableContents"/>
              <w:bidi w:val="0"/>
              <w:spacing w:before="0" w:after="283"/>
              <w:ind w:left="0" w:right="0" w:hanging="0"/>
              <w:jc w:val="left"/>
            </w:pPr>
            <w:r>
              <w:t> </w:t>
            </w:r>
          </w:p>
        </w:tc>
        <w:tc>
          <w:tcPr>
            <w:tcW w:w="205" w:type="dxa"/>
            <w:tcBorders/>
            <w:shd w:fill="FFFFFF" w:val="clear"/>
            <w:vAlign w:val="center"/>
          </w:tcPr>
          <w:p>
            <w:pPr>
              <w:pStyle w:val="TableContents"/>
              <w:bidi w:val="0"/>
              <w:spacing w:before="0" w:after="283"/>
              <w:ind w:left="0" w:right="0" w:hanging="0"/>
              <w:jc w:val="left"/>
              <w:rPr>
                <w:sz w:val="20"/>
              </w:rPr>
            </w:pPr>
            <w:r>
              <w:rPr>
                <w:sz w:val="20"/>
              </w:rPr>
              <w:t>$</w:t>
            </w:r>
          </w:p>
        </w:tc>
        <w:tc>
          <w:tcPr>
            <w:tcW w:w="1145" w:type="dxa"/>
            <w:tcBorders/>
            <w:shd w:fill="FFFFFF" w:val="clear"/>
            <w:vAlign w:val="center"/>
          </w:tcPr>
          <w:p>
            <w:pPr>
              <w:pStyle w:val="TableContents"/>
              <w:bidi w:val="0"/>
              <w:spacing w:before="0" w:after="283"/>
              <w:ind w:left="0" w:right="0" w:hanging="0"/>
              <w:jc w:val="right"/>
              <w:rPr>
                <w:sz w:val="20"/>
              </w:rPr>
            </w:pPr>
            <w:r>
              <w:rPr>
                <w:sz w:val="20"/>
              </w:rPr>
              <w:t>1,684</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99" w:type="dxa"/>
            <w:tcBorders/>
            <w:shd w:fill="FFFFFF" w:val="clear"/>
            <w:vAlign w:val="center"/>
          </w:tcPr>
          <w:p>
            <w:pPr>
              <w:pStyle w:val="TableContents"/>
              <w:bidi w:val="0"/>
              <w:spacing w:before="0" w:after="283"/>
              <w:ind w:left="0" w:right="0" w:hanging="0"/>
              <w:jc w:val="left"/>
              <w:rPr>
                <w:sz w:val="20"/>
              </w:rPr>
            </w:pPr>
            <w:r>
              <w:rPr>
                <w:sz w:val="20"/>
              </w:rPr>
              <w:t>$</w:t>
            </w:r>
          </w:p>
        </w:tc>
        <w:tc>
          <w:tcPr>
            <w:tcW w:w="1109" w:type="dxa"/>
            <w:tcBorders/>
            <w:shd w:fill="FFFFFF" w:val="clear"/>
            <w:vAlign w:val="center"/>
          </w:tcPr>
          <w:p>
            <w:pPr>
              <w:pStyle w:val="TableContents"/>
              <w:bidi w:val="0"/>
              <w:spacing w:before="0" w:after="283"/>
              <w:ind w:left="0" w:right="0" w:hanging="0"/>
              <w:jc w:val="right"/>
              <w:rPr>
                <w:sz w:val="20"/>
              </w:rPr>
            </w:pPr>
            <w:r>
              <w:rPr>
                <w:sz w:val="20"/>
              </w:rPr>
              <w:t>3,740</w:t>
            </w:r>
          </w:p>
        </w:tc>
        <w:tc>
          <w:tcPr>
            <w:tcW w:w="95" w:type="dxa"/>
            <w:tcBorders/>
            <w:shd w:fill="FFFFFF" w:val="clear"/>
            <w:vAlign w:val="center"/>
          </w:tcPr>
          <w:p>
            <w:pPr>
              <w:pStyle w:val="TableContents"/>
              <w:bidi w:val="0"/>
              <w:spacing w:before="0" w:after="283"/>
              <w:jc w:val="left"/>
            </w:pPr>
            <w:r>
              <w:t> </w:t>
            </w:r>
          </w:p>
        </w:tc>
        <w:tc>
          <w:tcPr>
            <w:tcW w:w="95" w:type="dxa"/>
            <w:tcBorders/>
            <w:shd w:fill="FFFFFF" w:val="clear"/>
            <w:vAlign w:val="center"/>
          </w:tcPr>
          <w:p>
            <w:pPr>
              <w:pStyle w:val="TableContents"/>
              <w:bidi w:val="0"/>
              <w:spacing w:before="0" w:after="283"/>
              <w:ind w:left="0" w:right="0" w:hanging="0"/>
              <w:jc w:val="left"/>
            </w:pPr>
            <w:r>
              <w:t> </w:t>
            </w:r>
          </w:p>
        </w:tc>
        <w:tc>
          <w:tcPr>
            <w:tcW w:w="199" w:type="dxa"/>
            <w:tcBorders/>
            <w:shd w:fill="FFFFFF" w:val="clear"/>
            <w:vAlign w:val="center"/>
          </w:tcPr>
          <w:p>
            <w:pPr>
              <w:pStyle w:val="TableContents"/>
              <w:bidi w:val="0"/>
              <w:spacing w:before="0" w:after="283"/>
              <w:ind w:left="0" w:right="0" w:hanging="0"/>
              <w:jc w:val="left"/>
              <w:rPr>
                <w:sz w:val="20"/>
              </w:rPr>
            </w:pPr>
            <w:r>
              <w:rPr>
                <w:sz w:val="20"/>
              </w:rPr>
              <w:t>$</w:t>
            </w:r>
          </w:p>
        </w:tc>
        <w:tc>
          <w:tcPr>
            <w:tcW w:w="1109" w:type="dxa"/>
            <w:tcBorders/>
            <w:shd w:fill="FFFFFF" w:val="clear"/>
            <w:vAlign w:val="center"/>
          </w:tcPr>
          <w:p>
            <w:pPr>
              <w:pStyle w:val="TableContents"/>
              <w:bidi w:val="0"/>
              <w:spacing w:before="0" w:after="283"/>
              <w:ind w:left="0" w:right="0" w:hanging="0"/>
              <w:jc w:val="right"/>
              <w:rPr>
                <w:sz w:val="20"/>
              </w:rPr>
            </w:pPr>
            <w:r>
              <w:rPr>
                <w:sz w:val="20"/>
              </w:rPr>
              <w:t>3,638</w:t>
            </w:r>
          </w:p>
        </w:tc>
        <w:tc>
          <w:tcPr>
            <w:tcW w:w="60" w:type="dxa"/>
            <w:tcBorders/>
            <w:shd w:fill="FFFFFF" w:val="clear"/>
            <w:vAlign w:val="center"/>
          </w:tcPr>
          <w:p>
            <w:pPr>
              <w:pStyle w:val="TableContents"/>
              <w:bidi w:val="0"/>
              <w:spacing w:before="0" w:after="283"/>
              <w:jc w:val="left"/>
            </w:pPr>
            <w:r>
              <w:t> </w:t>
            </w:r>
          </w:p>
        </w:tc>
      </w:tr>
      <w:tr>
        <w:tc>
          <w:tcPr>
            <w:tcW w:w="1280"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Taiwan</w:t>
            </w:r>
          </w:p>
        </w:tc>
        <w:tc>
          <w:tcPr>
            <w:tcW w:w="60" w:type="dxa"/>
            <w:tcBorders/>
            <w:shd w:fill="CCEEFF" w:val="clear"/>
            <w:vAlign w:val="center"/>
          </w:tcPr>
          <w:p>
            <w:pPr>
              <w:pStyle w:val="TableContents"/>
              <w:bidi w:val="0"/>
              <w:spacing w:before="0" w:after="283"/>
              <w:jc w:val="left"/>
            </w:pPr>
            <w:r>
              <w:t> </w:t>
            </w:r>
          </w:p>
        </w:tc>
        <w:tc>
          <w:tcPr>
            <w:tcW w:w="205" w:type="dxa"/>
            <w:tcBorders/>
            <w:shd w:fill="CCEEFF" w:val="clear"/>
            <w:vAlign w:val="center"/>
          </w:tcPr>
          <w:p>
            <w:pPr>
              <w:pStyle w:val="TableContents"/>
              <w:bidi w:val="0"/>
              <w:spacing w:before="0" w:after="283"/>
              <w:ind w:left="0" w:right="0" w:hanging="0"/>
              <w:jc w:val="left"/>
            </w:pPr>
            <w:r>
              <w:t> </w:t>
            </w:r>
          </w:p>
        </w:tc>
        <w:tc>
          <w:tcPr>
            <w:tcW w:w="1145" w:type="dxa"/>
            <w:tcBorders/>
            <w:shd w:fill="CCEEFF" w:val="clear"/>
            <w:vAlign w:val="center"/>
          </w:tcPr>
          <w:p>
            <w:pPr>
              <w:pStyle w:val="TableContents"/>
              <w:bidi w:val="0"/>
              <w:spacing w:before="0" w:after="283"/>
              <w:ind w:left="0" w:right="0" w:hanging="0"/>
              <w:jc w:val="right"/>
              <w:rPr>
                <w:sz w:val="20"/>
              </w:rPr>
            </w:pPr>
            <w:r>
              <w:rPr>
                <w:sz w:val="20"/>
              </w:rPr>
              <w:t>149,436</w:t>
            </w:r>
          </w:p>
        </w:tc>
        <w:tc>
          <w:tcPr>
            <w:tcW w:w="98" w:type="dxa"/>
            <w:tcBorders/>
            <w:shd w:fill="CCEEFF" w:val="clear"/>
            <w:vAlign w:val="center"/>
          </w:tcPr>
          <w:p>
            <w:pPr>
              <w:pStyle w:val="TableContents"/>
              <w:bidi w:val="0"/>
              <w:spacing w:before="0" w:after="283"/>
              <w:jc w:val="left"/>
            </w:pPr>
            <w:r>
              <w:t> </w:t>
            </w:r>
          </w:p>
        </w:tc>
        <w:tc>
          <w:tcPr>
            <w:tcW w:w="98" w:type="dxa"/>
            <w:tcBorders/>
            <w:shd w:fill="CCEEFF" w:val="clear"/>
            <w:vAlign w:val="center"/>
          </w:tcPr>
          <w:p>
            <w:pPr>
              <w:pStyle w:val="TableContents"/>
              <w:bidi w:val="0"/>
              <w:spacing w:before="0" w:after="283"/>
              <w:jc w:val="left"/>
            </w:pPr>
            <w:r>
              <w:t> </w:t>
            </w:r>
          </w:p>
        </w:tc>
        <w:tc>
          <w:tcPr>
            <w:tcW w:w="205" w:type="dxa"/>
            <w:tcBorders/>
            <w:shd w:fill="CCEEFF" w:val="clear"/>
            <w:vAlign w:val="center"/>
          </w:tcPr>
          <w:p>
            <w:pPr>
              <w:pStyle w:val="TableContents"/>
              <w:bidi w:val="0"/>
              <w:spacing w:before="0" w:after="283"/>
              <w:ind w:left="0" w:right="0" w:hanging="0"/>
              <w:jc w:val="left"/>
            </w:pPr>
            <w:r>
              <w:t> </w:t>
            </w:r>
          </w:p>
        </w:tc>
        <w:tc>
          <w:tcPr>
            <w:tcW w:w="1145" w:type="dxa"/>
            <w:tcBorders/>
            <w:shd w:fill="CCEEFF" w:val="clear"/>
            <w:vAlign w:val="center"/>
          </w:tcPr>
          <w:p>
            <w:pPr>
              <w:pStyle w:val="TableContents"/>
              <w:bidi w:val="0"/>
              <w:spacing w:before="0" w:after="283"/>
              <w:ind w:left="0" w:right="0" w:hanging="0"/>
              <w:jc w:val="right"/>
              <w:rPr>
                <w:sz w:val="20"/>
              </w:rPr>
            </w:pPr>
            <w:r>
              <w:rPr>
                <w:sz w:val="20"/>
              </w:rPr>
              <w:t>43,799</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99" w:type="dxa"/>
            <w:tcBorders/>
            <w:shd w:fill="CCEEFF" w:val="clear"/>
            <w:vAlign w:val="center"/>
          </w:tcPr>
          <w:p>
            <w:pPr>
              <w:pStyle w:val="TableContents"/>
              <w:bidi w:val="0"/>
              <w:spacing w:before="0" w:after="283"/>
              <w:ind w:left="0" w:right="0" w:hanging="0"/>
              <w:jc w:val="left"/>
            </w:pPr>
            <w:r>
              <w:t> </w:t>
            </w:r>
          </w:p>
        </w:tc>
        <w:tc>
          <w:tcPr>
            <w:tcW w:w="1109" w:type="dxa"/>
            <w:tcBorders/>
            <w:shd w:fill="CCEEFF" w:val="clear"/>
            <w:vAlign w:val="center"/>
          </w:tcPr>
          <w:p>
            <w:pPr>
              <w:pStyle w:val="TableContents"/>
              <w:bidi w:val="0"/>
              <w:spacing w:before="0" w:after="283"/>
              <w:ind w:left="0" w:right="0" w:hanging="0"/>
              <w:jc w:val="right"/>
              <w:rPr>
                <w:sz w:val="20"/>
              </w:rPr>
            </w:pPr>
            <w:r>
              <w:rPr>
                <w:sz w:val="20"/>
              </w:rPr>
              <w:t>338,800</w:t>
            </w:r>
          </w:p>
        </w:tc>
        <w:tc>
          <w:tcPr>
            <w:tcW w:w="95" w:type="dxa"/>
            <w:tcBorders/>
            <w:shd w:fill="CCEEFF" w:val="clear"/>
            <w:vAlign w:val="center"/>
          </w:tcPr>
          <w:p>
            <w:pPr>
              <w:pStyle w:val="TableContents"/>
              <w:bidi w:val="0"/>
              <w:spacing w:before="0" w:after="283"/>
              <w:jc w:val="left"/>
            </w:pPr>
            <w:r>
              <w:t> </w:t>
            </w:r>
          </w:p>
        </w:tc>
        <w:tc>
          <w:tcPr>
            <w:tcW w:w="95" w:type="dxa"/>
            <w:tcBorders/>
            <w:shd w:fill="CCEEFF" w:val="clear"/>
            <w:vAlign w:val="center"/>
          </w:tcPr>
          <w:p>
            <w:pPr>
              <w:pStyle w:val="TableContents"/>
              <w:bidi w:val="0"/>
              <w:spacing w:before="0" w:after="283"/>
              <w:jc w:val="left"/>
            </w:pPr>
            <w:r>
              <w:t> </w:t>
            </w:r>
          </w:p>
        </w:tc>
        <w:tc>
          <w:tcPr>
            <w:tcW w:w="199" w:type="dxa"/>
            <w:tcBorders/>
            <w:shd w:fill="CCEEFF" w:val="clear"/>
            <w:vAlign w:val="center"/>
          </w:tcPr>
          <w:p>
            <w:pPr>
              <w:pStyle w:val="TableContents"/>
              <w:bidi w:val="0"/>
              <w:spacing w:before="0" w:after="283"/>
              <w:ind w:left="0" w:right="0" w:hanging="0"/>
              <w:jc w:val="left"/>
            </w:pPr>
            <w:r>
              <w:t> </w:t>
            </w:r>
          </w:p>
        </w:tc>
        <w:tc>
          <w:tcPr>
            <w:tcW w:w="1109" w:type="dxa"/>
            <w:tcBorders/>
            <w:shd w:fill="CCEEFF" w:val="clear"/>
            <w:vAlign w:val="center"/>
          </w:tcPr>
          <w:p>
            <w:pPr>
              <w:pStyle w:val="TableContents"/>
              <w:bidi w:val="0"/>
              <w:spacing w:before="0" w:after="283"/>
              <w:ind w:left="0" w:right="0" w:hanging="0"/>
              <w:jc w:val="right"/>
              <w:rPr>
                <w:sz w:val="20"/>
              </w:rPr>
            </w:pPr>
            <w:r>
              <w:rPr>
                <w:sz w:val="20"/>
              </w:rPr>
              <w:t>111,132</w:t>
            </w:r>
          </w:p>
        </w:tc>
        <w:tc>
          <w:tcPr>
            <w:tcW w:w="60" w:type="dxa"/>
            <w:tcBorders/>
            <w:shd w:fill="CCEEFF" w:val="clear"/>
            <w:vAlign w:val="center"/>
          </w:tcPr>
          <w:p>
            <w:pPr>
              <w:pStyle w:val="TableContents"/>
              <w:bidi w:val="0"/>
              <w:spacing w:before="0" w:after="283"/>
              <w:jc w:val="left"/>
            </w:pPr>
            <w:r>
              <w:t> </w:t>
            </w:r>
          </w:p>
        </w:tc>
      </w:tr>
      <w:tr>
        <w:tc>
          <w:tcPr>
            <w:tcW w:w="1280"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China</w:t>
            </w:r>
          </w:p>
        </w:tc>
        <w:tc>
          <w:tcPr>
            <w:tcW w:w="60" w:type="dxa"/>
            <w:tcBorders/>
            <w:shd w:fill="FFFFFF" w:val="clear"/>
            <w:vAlign w:val="center"/>
          </w:tcPr>
          <w:p>
            <w:pPr>
              <w:pStyle w:val="TableContents"/>
              <w:bidi w:val="0"/>
              <w:spacing w:before="0" w:after="283"/>
              <w:jc w:val="left"/>
            </w:pPr>
            <w:r>
              <w:t> </w:t>
            </w:r>
          </w:p>
        </w:tc>
        <w:tc>
          <w:tcPr>
            <w:tcW w:w="20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1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118,916</w:t>
            </w:r>
          </w:p>
        </w:tc>
        <w:tc>
          <w:tcPr>
            <w:tcW w:w="98" w:type="dxa"/>
            <w:tcBorders/>
            <w:shd w:fill="FFFFFF" w:val="clear"/>
            <w:vAlign w:val="center"/>
          </w:tcPr>
          <w:p>
            <w:pPr>
              <w:pStyle w:val="TableContents"/>
              <w:bidi w:val="0"/>
              <w:spacing w:before="0" w:after="283"/>
              <w:jc w:val="left"/>
            </w:pPr>
            <w:r>
              <w:t> </w:t>
            </w:r>
          </w:p>
        </w:tc>
        <w:tc>
          <w:tcPr>
            <w:tcW w:w="98" w:type="dxa"/>
            <w:tcBorders/>
            <w:shd w:fill="FFFFFF" w:val="clear"/>
            <w:vAlign w:val="center"/>
          </w:tcPr>
          <w:p>
            <w:pPr>
              <w:pStyle w:val="TableContents"/>
              <w:bidi w:val="0"/>
              <w:spacing w:before="0" w:after="283"/>
              <w:jc w:val="left"/>
            </w:pPr>
            <w:r>
              <w:t> </w:t>
            </w:r>
          </w:p>
        </w:tc>
        <w:tc>
          <w:tcPr>
            <w:tcW w:w="20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1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73,147</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9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1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270,402</w:t>
            </w:r>
          </w:p>
        </w:tc>
        <w:tc>
          <w:tcPr>
            <w:tcW w:w="95" w:type="dxa"/>
            <w:tcBorders/>
            <w:shd w:fill="FFFFFF" w:val="clear"/>
            <w:vAlign w:val="center"/>
          </w:tcPr>
          <w:p>
            <w:pPr>
              <w:pStyle w:val="TableContents"/>
              <w:bidi w:val="0"/>
              <w:spacing w:before="0" w:after="283"/>
              <w:jc w:val="left"/>
            </w:pPr>
            <w:r>
              <w:t> </w:t>
            </w:r>
          </w:p>
        </w:tc>
        <w:tc>
          <w:tcPr>
            <w:tcW w:w="95" w:type="dxa"/>
            <w:tcBorders/>
            <w:shd w:fill="FFFFFF" w:val="clear"/>
            <w:vAlign w:val="center"/>
          </w:tcPr>
          <w:p>
            <w:pPr>
              <w:pStyle w:val="TableContents"/>
              <w:bidi w:val="0"/>
              <w:spacing w:before="0" w:after="283"/>
              <w:jc w:val="left"/>
            </w:pPr>
            <w:r>
              <w:t> </w:t>
            </w:r>
          </w:p>
        </w:tc>
        <w:tc>
          <w:tcPr>
            <w:tcW w:w="19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1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206,671</w:t>
            </w:r>
          </w:p>
        </w:tc>
        <w:tc>
          <w:tcPr>
            <w:tcW w:w="60" w:type="dxa"/>
            <w:tcBorders/>
            <w:shd w:fill="FFFFFF" w:val="clear"/>
            <w:vAlign w:val="center"/>
          </w:tcPr>
          <w:p>
            <w:pPr>
              <w:pStyle w:val="TableContents"/>
              <w:bidi w:val="0"/>
              <w:spacing w:before="0" w:after="283"/>
              <w:jc w:val="left"/>
            </w:pPr>
            <w:r>
              <w:t> </w:t>
            </w:r>
          </w:p>
        </w:tc>
      </w:tr>
      <w:tr>
        <w:tc>
          <w:tcPr>
            <w:tcW w:w="12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pPr>
            <w:r>
              <w:t> </w:t>
            </w:r>
          </w:p>
        </w:tc>
        <w:tc>
          <w:tcPr>
            <w:tcW w:w="20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11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269,875</w:t>
            </w:r>
          </w:p>
        </w:tc>
        <w:tc>
          <w:tcPr>
            <w:tcW w:w="98" w:type="dxa"/>
            <w:tcBorders/>
            <w:shd w:fill="CCEEFF" w:val="clear"/>
            <w:vAlign w:val="center"/>
          </w:tcPr>
          <w:p>
            <w:pPr>
              <w:pStyle w:val="TableContents"/>
              <w:bidi w:val="0"/>
              <w:spacing w:before="0" w:after="283"/>
              <w:jc w:val="left"/>
            </w:pPr>
            <w:r>
              <w:t> </w:t>
            </w:r>
          </w:p>
        </w:tc>
        <w:tc>
          <w:tcPr>
            <w:tcW w:w="98" w:type="dxa"/>
            <w:tcBorders/>
            <w:shd w:fill="CCEEFF" w:val="clear"/>
            <w:vAlign w:val="center"/>
          </w:tcPr>
          <w:p>
            <w:pPr>
              <w:pStyle w:val="TableContents"/>
              <w:bidi w:val="0"/>
              <w:spacing w:before="0" w:after="283"/>
              <w:ind w:left="0" w:right="0" w:hanging="0"/>
              <w:jc w:val="left"/>
            </w:pPr>
            <w:r>
              <w:t> </w:t>
            </w:r>
          </w:p>
        </w:tc>
        <w:tc>
          <w:tcPr>
            <w:tcW w:w="20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11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118,630</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9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110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612,942</w:t>
            </w:r>
          </w:p>
        </w:tc>
        <w:tc>
          <w:tcPr>
            <w:tcW w:w="95" w:type="dxa"/>
            <w:tcBorders/>
            <w:shd w:fill="CCEEFF" w:val="clear"/>
            <w:vAlign w:val="center"/>
          </w:tcPr>
          <w:p>
            <w:pPr>
              <w:pStyle w:val="TableContents"/>
              <w:bidi w:val="0"/>
              <w:spacing w:before="0" w:after="283"/>
              <w:jc w:val="left"/>
            </w:pPr>
            <w:r>
              <w:t> </w:t>
            </w:r>
          </w:p>
        </w:tc>
        <w:tc>
          <w:tcPr>
            <w:tcW w:w="95" w:type="dxa"/>
            <w:tcBorders/>
            <w:shd w:fill="CCEEFF" w:val="clear"/>
            <w:vAlign w:val="center"/>
          </w:tcPr>
          <w:p>
            <w:pPr>
              <w:pStyle w:val="TableContents"/>
              <w:bidi w:val="0"/>
              <w:spacing w:before="0" w:after="283"/>
              <w:ind w:left="0" w:right="0" w:hanging="0"/>
              <w:jc w:val="left"/>
            </w:pPr>
            <w:r>
              <w:t> </w:t>
            </w:r>
          </w:p>
        </w:tc>
        <w:tc>
          <w:tcPr>
            <w:tcW w:w="19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110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321,441</w:t>
            </w:r>
          </w:p>
        </w:tc>
        <w:tc>
          <w:tcPr>
            <w:tcW w:w="60" w:type="dxa"/>
            <w:tcBorders/>
            <w:shd w:fill="CCEEFF" w:val="clear"/>
            <w:vAlign w:val="center"/>
          </w:tcPr>
          <w:p>
            <w:pPr>
              <w:pStyle w:val="TableContents"/>
              <w:bidi w:val="0"/>
              <w:spacing w:before="0" w:after="283"/>
              <w:jc w:val="left"/>
            </w:pPr>
            <w:r>
              <w:t> </w:t>
            </w:r>
          </w:p>
        </w:tc>
      </w:tr>
    </w:tbl>
    <w:p>
      <w:pPr>
        <w:pStyle w:val="TextBody"/>
        <w:bidi w:val="0"/>
        <w:spacing w:before="0" w:after="0"/>
        <w:ind w:left="0" w:right="0" w:firstLine="720"/>
        <w:jc w:val="left"/>
      </w:pPr>
      <w:r>
        <w:t> </w:t>
      </w:r>
    </w:p>
    <w:tbl>
      <w:tblPr>
        <w:tblW w:w="4078" w:type="dxa"/>
        <w:jc w:val="left"/>
        <w:tblInd w:w="0" w:type="dxa"/>
        <w:tblLayout w:type="fixed"/>
        <w:tblCellMar>
          <w:top w:w="0" w:type="dxa"/>
          <w:left w:w="0" w:type="dxa"/>
          <w:bottom w:w="0" w:type="dxa"/>
          <w:right w:w="0" w:type="dxa"/>
        </w:tblCellMar>
      </w:tblPr>
      <w:tblGrid>
        <w:gridCol w:w="1505"/>
        <w:gridCol w:w="60"/>
        <w:gridCol w:w="153"/>
        <w:gridCol w:w="1036"/>
        <w:gridCol w:w="60"/>
        <w:gridCol w:w="60"/>
        <w:gridCol w:w="173"/>
        <w:gridCol w:w="971"/>
        <w:gridCol w:w="60"/>
      </w:tblGrid>
      <w:tr>
        <w:tc>
          <w:tcPr>
            <w:tcW w:w="150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September 30,</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December 31,</w:t>
            </w:r>
          </w:p>
        </w:tc>
        <w:tc>
          <w:tcPr>
            <w:tcW w:w="60" w:type="dxa"/>
            <w:tcBorders/>
            <w:shd w:fill="FFFFFF" w:val="clear"/>
            <w:vAlign w:val="center"/>
          </w:tcPr>
          <w:p>
            <w:pPr>
              <w:pStyle w:val="TableContents"/>
              <w:bidi w:val="0"/>
              <w:spacing w:before="0" w:after="283"/>
              <w:jc w:val="left"/>
            </w:pPr>
            <w:r>
              <w:t> </w:t>
            </w:r>
          </w:p>
        </w:tc>
      </w:tr>
      <w:tr>
        <w:tc>
          <w:tcPr>
            <w:tcW w:w="150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2026</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pPr>
            <w:r>
              <w:t> </w:t>
            </w:r>
          </w:p>
        </w:tc>
      </w:tr>
      <w:tr>
        <w:tc>
          <w:tcPr>
            <w:tcW w:w="15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Long-lived assets:</w:t>
            </w:r>
          </w:p>
        </w:tc>
        <w:tc>
          <w:tcPr>
            <w:tcW w:w="60" w:type="dxa"/>
            <w:tcBorders/>
            <w:shd w:fill="CCEEFF" w:val="clear"/>
            <w:vAlign w:val="center"/>
          </w:tcPr>
          <w:p>
            <w:pPr>
              <w:pStyle w:val="TableContents"/>
              <w:bidi w:val="0"/>
              <w:spacing w:before="0" w:after="283"/>
              <w:ind w:left="0" w:right="0" w:hanging="0"/>
              <w:jc w:val="left"/>
            </w:pPr>
            <w:r>
              <w:t> </w:t>
            </w:r>
          </w:p>
        </w:tc>
        <w:tc>
          <w:tcPr>
            <w:tcW w:w="1189" w:type="dxa"/>
            <w:gridSpan w:val="2"/>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144" w:type="dxa"/>
            <w:gridSpan w:val="2"/>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r>
      <w:tr>
        <w:tc>
          <w:tcPr>
            <w:tcW w:w="150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United States</w:t>
            </w:r>
          </w:p>
        </w:tc>
        <w:tc>
          <w:tcPr>
            <w:tcW w:w="60" w:type="dxa"/>
            <w:tcBorders/>
            <w:shd w:fill="FFFFFF" w:val="clear"/>
            <w:vAlign w:val="center"/>
          </w:tcPr>
          <w:p>
            <w:pPr>
              <w:pStyle w:val="TableContents"/>
              <w:bidi w:val="0"/>
              <w:spacing w:before="0" w:after="283"/>
              <w:ind w:left="0" w:right="0" w:hanging="0"/>
              <w:jc w:val="left"/>
            </w:pPr>
            <w:r>
              <w:t> </w:t>
            </w:r>
          </w:p>
        </w:tc>
        <w:tc>
          <w:tcPr>
            <w:tcW w:w="15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433,593</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7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123,677</w:t>
            </w:r>
          </w:p>
        </w:tc>
        <w:tc>
          <w:tcPr>
            <w:tcW w:w="60" w:type="dxa"/>
            <w:tcBorders/>
            <w:shd w:fill="FFFFFF" w:val="clear"/>
            <w:vAlign w:val="center"/>
          </w:tcPr>
          <w:p>
            <w:pPr>
              <w:pStyle w:val="TableContents"/>
              <w:bidi w:val="0"/>
              <w:spacing w:before="0" w:after="283"/>
              <w:jc w:val="left"/>
            </w:pPr>
            <w:r>
              <w:t> </w:t>
            </w:r>
          </w:p>
        </w:tc>
      </w:tr>
      <w:tr>
        <w:tc>
          <w:tcPr>
            <w:tcW w:w="150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Taiwan</w:t>
            </w:r>
          </w:p>
        </w:tc>
        <w:tc>
          <w:tcPr>
            <w:tcW w:w="60" w:type="dxa"/>
            <w:tcBorders/>
            <w:shd w:fill="CCEEFF" w:val="clear"/>
            <w:vAlign w:val="center"/>
          </w:tcPr>
          <w:p>
            <w:pPr>
              <w:pStyle w:val="TableContents"/>
              <w:bidi w:val="0"/>
              <w:spacing w:before="0" w:after="283"/>
              <w:jc w:val="left"/>
            </w:pPr>
            <w:r>
              <w:t> </w:t>
            </w:r>
          </w:p>
        </w:tc>
        <w:tc>
          <w:tcPr>
            <w:tcW w:w="153" w:type="dxa"/>
            <w:tcBorders/>
            <w:shd w:fill="CCEEFF" w:val="clear"/>
            <w:vAlign w:val="center"/>
          </w:tcPr>
          <w:p>
            <w:pPr>
              <w:pStyle w:val="TableContents"/>
              <w:bidi w:val="0"/>
              <w:spacing w:before="0" w:after="283"/>
              <w:ind w:left="0" w:right="0" w:hanging="0"/>
              <w:jc w:val="left"/>
            </w:pPr>
            <w:r>
              <w:t> </w:t>
            </w:r>
          </w:p>
        </w:tc>
        <w:tc>
          <w:tcPr>
            <w:tcW w:w="10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305,496</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73" w:type="dxa"/>
            <w:tcBorders/>
            <w:shd w:fill="CCEEFF" w:val="clear"/>
            <w:vAlign w:val="center"/>
          </w:tcPr>
          <w:p>
            <w:pPr>
              <w:pStyle w:val="TableContents"/>
              <w:bidi w:val="0"/>
              <w:spacing w:before="0" w:after="283"/>
              <w:ind w:left="0" w:right="0" w:hanging="0"/>
              <w:jc w:val="left"/>
            </w:pPr>
            <w:r>
              <w:t> </w:t>
            </w:r>
          </w:p>
        </w:tc>
        <w:tc>
          <w:tcPr>
            <w:tcW w:w="9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146,673</w:t>
            </w:r>
          </w:p>
        </w:tc>
        <w:tc>
          <w:tcPr>
            <w:tcW w:w="60" w:type="dxa"/>
            <w:tcBorders/>
            <w:shd w:fill="CCEEFF" w:val="clear"/>
            <w:vAlign w:val="center"/>
          </w:tcPr>
          <w:p>
            <w:pPr>
              <w:pStyle w:val="TableContents"/>
              <w:bidi w:val="0"/>
              <w:spacing w:before="0" w:after="283"/>
              <w:jc w:val="left"/>
            </w:pPr>
            <w:r>
              <w:t> </w:t>
            </w:r>
          </w:p>
        </w:tc>
      </w:tr>
      <w:tr>
        <w:tc>
          <w:tcPr>
            <w:tcW w:w="150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China</w:t>
            </w:r>
          </w:p>
        </w:tc>
        <w:tc>
          <w:tcPr>
            <w:tcW w:w="60" w:type="dxa"/>
            <w:tcBorders/>
            <w:shd w:fill="FFFFFF" w:val="clear"/>
            <w:vAlign w:val="center"/>
          </w:tcPr>
          <w:p>
            <w:pPr>
              <w:pStyle w:val="TableContents"/>
              <w:bidi w:val="0"/>
              <w:spacing w:before="0" w:after="283"/>
              <w:jc w:val="left"/>
            </w:pPr>
            <w:r>
              <w:t> </w:t>
            </w:r>
          </w:p>
        </w:tc>
        <w:tc>
          <w:tcPr>
            <w:tcW w:w="15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0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384,045</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97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162,322</w:t>
            </w:r>
          </w:p>
        </w:tc>
        <w:tc>
          <w:tcPr>
            <w:tcW w:w="60" w:type="dxa"/>
            <w:tcBorders/>
            <w:shd w:fill="FFFFFF" w:val="clear"/>
            <w:vAlign w:val="center"/>
          </w:tcPr>
          <w:p>
            <w:pPr>
              <w:pStyle w:val="TableContents"/>
              <w:bidi w:val="0"/>
              <w:spacing w:before="0" w:after="283"/>
              <w:jc w:val="left"/>
            </w:pPr>
            <w:r>
              <w:t> </w:t>
            </w:r>
          </w:p>
        </w:tc>
      </w:tr>
      <w:tr>
        <w:tc>
          <w:tcPr>
            <w:tcW w:w="15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pPr>
            <w:r>
              <w:t> </w:t>
            </w:r>
          </w:p>
        </w:tc>
        <w:tc>
          <w:tcPr>
            <w:tcW w:w="15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1,123,134</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7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432,672</w:t>
            </w:r>
          </w:p>
        </w:tc>
        <w:tc>
          <w:tcPr>
            <w:tcW w:w="60" w:type="dxa"/>
            <w:tcBorders/>
            <w:shd w:fill="CCEEFF" w:val="clear"/>
            <w:vAlign w:val="center"/>
          </w:tcPr>
          <w:p>
            <w:pPr>
              <w:pStyle w:val="TableContents"/>
              <w:bidi w:val="0"/>
              <w:spacing w:before="0" w:after="283"/>
              <w:jc w:val="left"/>
            </w:pPr>
            <w:r>
              <w:t> </w:t>
            </w:r>
          </w:p>
        </w:tc>
      </w:tr>
    </w:tbl>
    <w:p>
      <w:pPr>
        <w:pStyle w:val="TextBody"/>
        <w:bidi w:val="0"/>
        <w:spacing w:before="0" w:after="0"/>
        <w:ind w:left="0" w:right="0" w:hanging="0"/>
        <w:jc w:val="left"/>
      </w:pPr>
      <w:r>
        <w:t> </w:t>
      </w:r>
    </w:p>
    <w:p>
      <w:pPr>
        <w:pStyle w:val="TextBody"/>
        <w:bidi w:val="0"/>
        <w:spacing w:before="0" w:after="283"/>
        <w:jc w:val="left"/>
      </w:pPr>
      <w:r>
        <w:t xml:space="preserve">  </w:t>
      </w:r>
    </w:p>
    <w:p>
      <w:pPr>
        <w:pStyle w:val="TextBody"/>
        <w:bidi w:val="0"/>
        <w:spacing w:before="0" w:after="0"/>
        <w:ind w:left="0" w:right="0" w:hanging="0"/>
        <w:jc w:val="left"/>
      </w:pPr>
      <w:r>
        <w:rPr>
          <w:rFonts w:ascii="Times New Roman;Times;serif" w:hAnsi="Times New Roman;Times;serif"/>
          <w:b/>
          <w:sz w:val="20"/>
        </w:rPr>
        <w:t xml:space="preserve">Note </w:t>
      </w:r>
      <w:r>
        <w:rPr>
          <w:rStyle w:val="Emphasis"/>
          <w:rFonts w:ascii="Times New Roman;Times;serif" w:hAnsi="Times New Roman;Times;serif"/>
          <w:b/>
          <w:sz w:val="20"/>
        </w:rPr>
        <w:t>18.</w:t>
      </w:r>
      <w:r>
        <w:rPr>
          <w:rFonts w:ascii="Times New Roman;Times;serif" w:hAnsi="Times New Roman;Times;serif"/>
          <w:b/>
          <w:sz w:val="20"/>
        </w:rPr>
        <w:t>  Commitments and Contingencies </w:t>
      </w:r>
    </w:p>
    <w:p>
      <w:pPr>
        <w:pStyle w:val="TextBody"/>
        <w:bidi w:val="0"/>
        <w:spacing w:before="0" w:after="0"/>
        <w:ind w:left="0" w:right="0" w:hanging="0"/>
        <w:jc w:val="left"/>
      </w:pPr>
      <w: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Litigation</w:t>
      </w:r>
    </w:p>
    <w:p>
      <w:pPr>
        <w:pStyle w:val="TextBody"/>
        <w:bidi w:val="0"/>
        <w:spacing w:before="0" w:after="0"/>
        <w:ind w:left="0" w:right="0" w:hanging="0"/>
        <w:jc w:val="left"/>
      </w:pPr>
      <w:r>
        <w:t>​</w:t>
      </w:r>
    </w:p>
    <w:p>
      <w:pPr>
        <w:pStyle w:val="TextBody"/>
        <w:bidi w:val="0"/>
        <w:spacing w:before="0" w:after="0"/>
        <w:ind w:left="0" w:right="0" w:firstLine="720"/>
        <w:jc w:val="left"/>
      </w:pPr>
      <w:r>
        <w:rPr>
          <w:rFonts w:ascii="Times New Roman;Times;serif" w:hAnsi="Times New Roman;Times;serif"/>
          <w:sz w:val="20"/>
        </w:rPr>
        <w:t xml:space="preserve">From time to time, the Company </w:t>
      </w:r>
      <w:r>
        <w:rPr>
          <w:rStyle w:val="Emphasis"/>
          <w:rFonts w:ascii="Times New Roman;Times;serif" w:hAnsi="Times New Roman;Times;serif"/>
          <w:sz w:val="20"/>
        </w:rPr>
        <w:t xml:space="preserve">may </w:t>
      </w:r>
      <w:r>
        <w:rPr>
          <w:rFonts w:ascii="Times New Roman;Times;serif" w:hAnsi="Times New Roman;Times;serif"/>
          <w:sz w:val="20"/>
        </w:rPr>
        <w:t xml:space="preserve">be subject to legal proceedings and litigation arising in the ordinary course of business, including, but </w:t>
      </w:r>
      <w:r>
        <w:rPr>
          <w:rStyle w:val="Emphasis"/>
          <w:rFonts w:ascii="Times New Roman;Times;serif" w:hAnsi="Times New Roman;Times;serif"/>
          <w:sz w:val="20"/>
        </w:rPr>
        <w:t>not</w:t>
      </w:r>
      <w:r>
        <w:rPr>
          <w:rFonts w:ascii="Times New Roman;Times;serif" w:hAnsi="Times New Roman;Times;serif"/>
          <w:sz w:val="20"/>
        </w:rPr>
        <w:t xml:space="preserve"> limited to, inquiries, investigations, audits and other regulatory proceedings. The Company records a loss provision when it believes it is both probable that a liability has been incurred and the amount can be reasonably estimated.</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160" w:right="0" w:firstLine="540"/>
        <w:jc w:val="left"/>
      </w:pPr>
      <w:r>
        <w:rPr>
          <w:rFonts w:ascii="Times New Roman" w:hAnsi="Times New Roman"/>
          <w:caps w:val="false"/>
          <w:smallCaps w:val="false"/>
          <w:sz w:val="20"/>
        </w:rPr>
        <w:t xml:space="preserve">The Company believes that there are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claims or actions pending or threatened against it, the ultimate disposition of which would have a material adverse effect on it.</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Other Contingencies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August 9, 2021, </w:t>
      </w:r>
      <w:r>
        <w:rPr>
          <w:rFonts w:ascii="Times New Roman" w:hAnsi="Times New Roman"/>
          <w:caps w:val="false"/>
          <w:smallCaps w:val="false"/>
          <w:sz w:val="20"/>
        </w:rPr>
        <w:t>the Company received a Taxes Notification of Audit Result ("Notice") from the Texas Comptroller’s Office (the "Comptroller"), for fiscal years between </w:t>
      </w:r>
      <w:r>
        <w:rPr>
          <w:rStyle w:val="Emphasis"/>
          <w:rFonts w:ascii="Times New Roman" w:hAnsi="Times New Roman"/>
          <w:caps w:val="false"/>
          <w:smallCaps w:val="false"/>
          <w:sz w:val="20"/>
        </w:rPr>
        <w:t>2016</w:t>
      </w:r>
      <w:r>
        <w:rPr>
          <w:rFonts w:ascii="Times New Roman" w:hAnsi="Times New Roman"/>
          <w:caps w:val="false"/>
          <w:smallCaps w:val="false"/>
          <w:sz w:val="20"/>
        </w:rPr>
        <w:t> and </w:t>
      </w:r>
      <w:r>
        <w:rPr>
          <w:rStyle w:val="Emphasis"/>
          <w:rFonts w:ascii="Times New Roman" w:hAnsi="Times New Roman"/>
          <w:caps w:val="false"/>
          <w:smallCaps w:val="false"/>
          <w:sz w:val="20"/>
        </w:rPr>
        <w:t>2019,</w:t>
      </w:r>
      <w:r>
        <w:rPr>
          <w:rFonts w:ascii="Times New Roman" w:hAnsi="Times New Roman"/>
          <w:caps w:val="false"/>
          <w:smallCaps w:val="false"/>
          <w:sz w:val="20"/>
        </w:rPr>
        <w:t> informing the Company that the Comptroller believes the Company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qualify for certain sales and use tax exemptions on various Research and Development purchases and accordingly the Company is liable for Sale and Use Tax in the amount of approximately $1.0 million including interest charges. The Company paid $0.4 million for the tax notice in </w:t>
      </w:r>
      <w:r>
        <w:rPr>
          <w:rStyle w:val="Emphasis"/>
          <w:rFonts w:ascii="Times New Roman" w:hAnsi="Times New Roman"/>
          <w:caps w:val="false"/>
          <w:smallCaps w:val="false"/>
          <w:sz w:val="20"/>
        </w:rPr>
        <w:t xml:space="preserve">May 2021, </w:t>
      </w:r>
      <w:r>
        <w:rPr>
          <w:rFonts w:ascii="Times New Roman" w:hAnsi="Times New Roman"/>
          <w:caps w:val="false"/>
          <w:smallCaps w:val="false"/>
          <w:sz w:val="20"/>
        </w:rPr>
        <w:t xml:space="preserve">but challenged the remaining tax assessments and vigorously defended its position. The Comptroller’s office exhausted its redetermination period and therefore moved the Company’s case to the hearing process.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hearing date has yet been scheduled, and as a result the Company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able to determine the outcome of this sales tax dispute or the likelihood or amount of the Company’s loss, if any, arising from this matter.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February 20, 2026, </w:t>
      </w:r>
      <w:r>
        <w:rPr>
          <w:rFonts w:ascii="Times New Roman" w:hAnsi="Times New Roman"/>
          <w:caps w:val="false"/>
          <w:smallCaps w:val="false"/>
          <w:sz w:val="20"/>
        </w:rPr>
        <w:t xml:space="preserve">the United States Supreme Court issued a ruling invalidating certain tariffs previously imposed under the International Emergency Economic Powers Act ("IEEPA"). Following this ruling, the U.S. Court of International Trade issued an order directing U.S. Customs and Border Protection ("CBP") to establish a process for the submission and review of refund claims related to affected IEEPA tariffs. On </w:t>
      </w:r>
      <w:r>
        <w:rPr>
          <w:rStyle w:val="Emphasis"/>
          <w:rFonts w:ascii="Times New Roman" w:hAnsi="Times New Roman"/>
          <w:caps w:val="false"/>
          <w:smallCaps w:val="false"/>
          <w:sz w:val="20"/>
        </w:rPr>
        <w:t xml:space="preserve">April 20, 2026, </w:t>
      </w:r>
      <w:r>
        <w:rPr>
          <w:rFonts w:ascii="Times New Roman" w:hAnsi="Times New Roman"/>
          <w:caps w:val="false"/>
          <w:smallCaps w:val="false"/>
          <w:sz w:val="20"/>
        </w:rPr>
        <w:t xml:space="preserve">CBP launched an online portal through which companies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submit IEEPA tariff refund requests. On </w:t>
      </w:r>
      <w:r>
        <w:rPr>
          <w:rStyle w:val="Emphasis"/>
          <w:rFonts w:ascii="Times New Roman" w:hAnsi="Times New Roman"/>
          <w:caps w:val="false"/>
          <w:smallCaps w:val="false"/>
          <w:sz w:val="20"/>
        </w:rPr>
        <w:t xml:space="preserve">April 29, 2026, </w:t>
      </w:r>
      <w:r>
        <w:rPr>
          <w:rFonts w:ascii="Times New Roman" w:hAnsi="Times New Roman"/>
          <w:caps w:val="false"/>
          <w:smallCaps w:val="false"/>
          <w:sz w:val="20"/>
        </w:rPr>
        <w:t xml:space="preserve">the Company submitted refund claims totaling $5.7 million. The Company received payments of approximately $0.2 million and $1.2 million on </w:t>
      </w:r>
      <w:r>
        <w:rPr>
          <w:rStyle w:val="Emphasis"/>
          <w:rFonts w:ascii="Times New Roman" w:hAnsi="Times New Roman"/>
          <w:caps w:val="false"/>
          <w:smallCaps w:val="false"/>
          <w:sz w:val="20"/>
        </w:rPr>
        <w:t xml:space="preserve">May 20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May 27, 2026, </w:t>
      </w:r>
      <w:r>
        <w:rPr>
          <w:rFonts w:ascii="Times New Roman" w:hAnsi="Times New Roman"/>
          <w:caps w:val="false"/>
          <w:smallCaps w:val="false"/>
          <w:sz w:val="20"/>
        </w:rPr>
        <w:t>respectively, and received the remaining balance of approximately $4.5 million on </w:t>
      </w:r>
      <w:r>
        <w:rPr>
          <w:rStyle w:val="Emphasis"/>
          <w:rFonts w:ascii="Times New Roman" w:hAnsi="Times New Roman"/>
          <w:caps w:val="false"/>
          <w:smallCaps w:val="false"/>
          <w:sz w:val="20"/>
        </w:rPr>
        <w:t xml:space="preserve"> July 6, 2026, </w:t>
      </w:r>
      <w:r>
        <w:rPr>
          <w:rFonts w:ascii="Times New Roman" w:hAnsi="Times New Roman"/>
          <w:caps w:val="false"/>
          <w:smallCaps w:val="false"/>
          <w:sz w:val="20"/>
        </w:rPr>
        <w:t xml:space="preserve">for total receipts of approximately $5.9 million, consisting of the full $5.7 million of duties claimed plus applicable interest. The Company recognized the tariff refunds by reducing cost of goods sold, operating expenses, and certain asset balances, as applicable, to align the refund benefit with the financial statement line items in which the associated tariff costs were initially recognized. As of </w:t>
      </w:r>
      <w:r>
        <w:rPr>
          <w:rStyle w:val="Emphasis"/>
          <w:rFonts w:ascii="Times New Roman" w:hAnsi="Times New Roman"/>
          <w:caps w:val="false"/>
          <w:smallCaps w:val="false"/>
          <w:sz w:val="20"/>
        </w:rPr>
        <w:t xml:space="preserve">September 30, 2026, </w:t>
      </w:r>
      <w:r>
        <w:rPr>
          <w:rFonts w:ascii="Times New Roman" w:hAnsi="Times New Roman"/>
          <w:caps w:val="false"/>
          <w:smallCaps w:val="false"/>
          <w:sz w:val="20"/>
        </w:rPr>
        <w:t xml:space="preserve">the Company’s duty recovery under CAPE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is fully complete, and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refund claims or amounts remain outstanding under Phase </w:t>
      </w:r>
      <w:r>
        <w:rPr>
          <w:rStyle w:val="Emphasis"/>
          <w:rFonts w:ascii="Times New Roman" w:hAnsi="Times New Roman"/>
          <w:caps w:val="false"/>
          <w:smallCaps w:val="false"/>
          <w:sz w:val="20"/>
        </w:rPr>
        <w:t>1.</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Purchase Obligations and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pPr>
      <w:r>
        <w:rPr>
          <w:rFonts w:ascii="Times New Roman" w:hAnsi="Times New Roman"/>
          <w:i/>
          <w:caps w:val="false"/>
          <w:smallCaps w:val="false"/>
          <w:sz w:val="20"/>
        </w:rPr>
        <w:t>Kirby Property Acquisition.</w:t>
      </w:r>
      <w:r>
        <w:rPr>
          <w:rFonts w:ascii="Times New Roman" w:hAnsi="Times New Roman"/>
          <w:caps w:val="false"/>
          <w:smallCaps w:val="false"/>
          <w:sz w:val="20"/>
        </w:rPr>
        <w:t xml:space="preserve"> On </w:t>
      </w:r>
      <w:r>
        <w:rPr>
          <w:rStyle w:val="Emphasis"/>
          <w:rFonts w:ascii="Times New Roman" w:hAnsi="Times New Roman"/>
          <w:caps w:val="false"/>
          <w:smallCaps w:val="false"/>
          <w:sz w:val="20"/>
        </w:rPr>
        <w:t xml:space="preserve">April 7, 2026, </w:t>
      </w:r>
      <w:r>
        <w:rPr>
          <w:rFonts w:ascii="Times New Roman" w:hAnsi="Times New Roman"/>
          <w:caps w:val="false"/>
          <w:smallCaps w:val="false"/>
          <w:sz w:val="20"/>
        </w:rPr>
        <w:t xml:space="preserve">the Company entered into a Purchase and Sale Agreement with SRPF D/Kirby Industrial, L.P. to acquire real property and improvements located at </w:t>
      </w:r>
      <w:r>
        <w:rPr>
          <w:rStyle w:val="Emphasis"/>
          <w:rFonts w:ascii="Times New Roman" w:hAnsi="Times New Roman"/>
          <w:caps w:val="false"/>
          <w:smallCaps w:val="false"/>
          <w:sz w:val="20"/>
        </w:rPr>
        <w:t>14621</w:t>
      </w:r>
      <w:r>
        <w:rPr>
          <w:rFonts w:ascii="Times New Roman" w:hAnsi="Times New Roman"/>
          <w:caps w:val="false"/>
          <w:smallCaps w:val="false"/>
          <w:sz w:val="20"/>
        </w:rPr>
        <w:t xml:space="preserve"> Kirby Drive and </w:t>
      </w:r>
      <w:r>
        <w:rPr>
          <w:rStyle w:val="Emphasis"/>
          <w:rFonts w:ascii="Times New Roman" w:hAnsi="Times New Roman"/>
          <w:caps w:val="false"/>
          <w:smallCaps w:val="false"/>
          <w:sz w:val="20"/>
        </w:rPr>
        <w:t>11555</w:t>
      </w:r>
      <w:r>
        <w:rPr>
          <w:rFonts w:ascii="Times New Roman" w:hAnsi="Times New Roman"/>
          <w:caps w:val="false"/>
          <w:smallCaps w:val="false"/>
          <w:sz w:val="20"/>
        </w:rPr>
        <w:t xml:space="preserve"> North Spectrum Boulevard, Pearland, Texas, consisting of approximately 388,133 square feet in the aggregate, for an aggregate purchase price of approximately $58.4 million. The acquisition closed on </w:t>
      </w:r>
      <w:r>
        <w:rPr>
          <w:rStyle w:val="Emphasis"/>
          <w:rFonts w:ascii="Times New Roman" w:hAnsi="Times New Roman"/>
          <w:caps w:val="false"/>
          <w:smallCaps w:val="false"/>
          <w:sz w:val="20"/>
        </w:rPr>
        <w:t xml:space="preserve">April 16, 2026. </w:t>
      </w:r>
      <w:r>
        <w:rPr>
          <w:rFonts w:ascii="Times New Roman" w:hAnsi="Times New Roman"/>
          <w:caps w:val="false"/>
          <w:smallCaps w:val="false"/>
          <w:sz w:val="20"/>
        </w:rPr>
        <w:t>The Company intends to use the property for office, warehouse, manufacturing and assembly purposes.</w:t>
      </w:r>
    </w:p>
    <w:p>
      <w:pPr>
        <w:pStyle w:val="TextBody"/>
        <w:bidi w:val="0"/>
        <w:spacing w:before="0" w:after="0"/>
        <w:ind w:left="0" w:right="0" w:hanging="0"/>
        <w:jc w:val="left"/>
      </w:pPr>
      <w:r>
        <w:t> </w:t>
      </w:r>
    </w:p>
    <w:p>
      <w:pPr>
        <w:pStyle w:val="TextBody"/>
        <w:bidi w:val="0"/>
        <w:spacing w:before="0" w:after="0"/>
        <w:ind w:left="0" w:right="0" w:hanging="0"/>
        <w:jc w:val="left"/>
      </w:pPr>
      <w:r>
        <w:t> </w:t>
      </w:r>
    </w:p>
    <w:p>
      <w:pPr>
        <w:pStyle w:val="TextBody"/>
        <w:bidi w:val="0"/>
        <w:spacing w:before="0" w:after="0"/>
        <w:ind w:left="0" w:right="0" w:firstLine="720"/>
        <w:jc w:val="left"/>
      </w:pPr>
      <w:r>
        <w:rPr>
          <w:rFonts w:ascii="Times New Roman" w:hAnsi="Times New Roman"/>
          <w:i/>
          <w:caps w:val="false"/>
          <w:smallCaps w:val="false"/>
          <w:sz w:val="20"/>
        </w:rPr>
        <w:t>Design-Build Agreement.</w:t>
      </w:r>
      <w:r>
        <w:rPr>
          <w:rFonts w:ascii="Times New Roman" w:hAnsi="Times New Roman"/>
          <w:caps w:val="false"/>
          <w:smallCaps w:val="false"/>
          <w:sz w:val="20"/>
        </w:rPr>
        <w:t xml:space="preserve"> On </w:t>
      </w:r>
      <w:r>
        <w:rPr>
          <w:rStyle w:val="Emphasis"/>
          <w:rFonts w:ascii="Times New Roman" w:hAnsi="Times New Roman"/>
          <w:caps w:val="false"/>
          <w:smallCaps w:val="false"/>
          <w:sz w:val="20"/>
        </w:rPr>
        <w:t xml:space="preserve">June 25, 2026, </w:t>
      </w:r>
      <w:r>
        <w:rPr>
          <w:rFonts w:ascii="Times New Roman" w:hAnsi="Times New Roman"/>
          <w:caps w:val="false"/>
          <w:smallCaps w:val="false"/>
          <w:sz w:val="20"/>
        </w:rPr>
        <w:t xml:space="preserve">the Company entered into a design-build agreement with </w:t>
      </w:r>
      <w:r>
        <w:rPr>
          <w:rStyle w:val="Emphasis"/>
          <w:rFonts w:ascii="Times New Roman" w:hAnsi="Times New Roman"/>
          <w:caps w:val="false"/>
          <w:smallCaps w:val="false"/>
          <w:sz w:val="20"/>
        </w:rPr>
        <w:t>LCC3</w:t>
      </w:r>
      <w:r>
        <w:rPr>
          <w:rFonts w:ascii="Times New Roman" w:hAnsi="Times New Roman"/>
          <w:caps w:val="false"/>
          <w:smallCaps w:val="false"/>
          <w:sz w:val="20"/>
        </w:rPr>
        <w:t xml:space="preserve"> Solution Inc. for the design and construction of approximately 195,591 square feet of ISO Class </w:t>
      </w:r>
      <w:r>
        <w:rPr>
          <w:rStyle w:val="Emphasis"/>
          <w:rFonts w:ascii="Times New Roman" w:hAnsi="Times New Roman"/>
          <w:caps w:val="false"/>
          <w:smallCaps w:val="false"/>
          <w:sz w:val="20"/>
        </w:rPr>
        <w:t>6</w:t>
      </w:r>
      <w:r>
        <w:rPr>
          <w:rFonts w:ascii="Times New Roman" w:hAnsi="Times New Roman"/>
          <w:caps w:val="false"/>
          <w:smallCaps w:val="false"/>
          <w:sz w:val="20"/>
        </w:rPr>
        <w:t xml:space="preserve"> cleanroom space, together with office, testing and inventory space, at its </w:t>
      </w:r>
      <w:r>
        <w:rPr>
          <w:rStyle w:val="Emphasis"/>
          <w:rFonts w:ascii="Times New Roman" w:hAnsi="Times New Roman"/>
          <w:caps w:val="false"/>
          <w:smallCaps w:val="false"/>
          <w:sz w:val="20"/>
        </w:rPr>
        <w:t>11555</w:t>
      </w:r>
      <w:r>
        <w:rPr>
          <w:rFonts w:ascii="Times New Roman" w:hAnsi="Times New Roman"/>
          <w:caps w:val="false"/>
          <w:smallCaps w:val="false"/>
          <w:sz w:val="20"/>
        </w:rPr>
        <w:t xml:space="preserve"> North Spectrum Boulevard facility. The total contract amount is approximately $94.1 million. Payments are based on progress, with 10% retainage withheld until final completion. The design-builder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earn up to approximately $15.8 million in schedule- and performance-based incentives, and the agreement provides for liquidated damages for delays, capped at $4.9 million. Substantial completion is targeted for </w:t>
      </w:r>
      <w:r>
        <w:rPr>
          <w:rStyle w:val="Emphasis"/>
          <w:rFonts w:ascii="Times New Roman" w:hAnsi="Times New Roman"/>
          <w:caps w:val="false"/>
          <w:smallCaps w:val="false"/>
          <w:sz w:val="20"/>
        </w:rPr>
        <w:t xml:space="preserve">January 10, 2027. </w:t>
      </w: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 xml:space="preserve">September 30, 2026, </w:t>
      </w:r>
      <w:r>
        <w:rPr>
          <w:rFonts w:ascii="Times New Roman" w:hAnsi="Times New Roman"/>
          <w:caps w:val="false"/>
          <w:smallCaps w:val="false"/>
          <w:sz w:val="20"/>
        </w:rPr>
        <w:t>the Company had paid approximately $66.9 million under the agreement, and the remaining commitment was approximately $27.1 million.</w:t>
      </w:r>
    </w:p>
    <w:p>
      <w:pPr>
        <w:pStyle w:val="TextBody"/>
        <w:bidi w:val="0"/>
        <w:spacing w:before="0" w:after="0"/>
        <w:ind w:left="0" w:right="0" w:hanging="0"/>
        <w:jc w:val="left"/>
      </w:pPr>
      <w:r>
        <w:t> </w:t>
      </w:r>
    </w:p>
    <w:p>
      <w:pPr>
        <w:pStyle w:val="TextBody"/>
        <w:bidi w:val="0"/>
        <w:spacing w:before="0" w:after="0"/>
        <w:ind w:left="0" w:right="0" w:hanging="0"/>
        <w:jc w:val="left"/>
      </w:pPr>
      <w:r>
        <w:t> </w:t>
      </w:r>
    </w:p>
    <w:p>
      <w:pPr>
        <w:pStyle w:val="TextBody"/>
        <w:bidi w:val="0"/>
        <w:spacing w:before="0" w:after="0"/>
        <w:ind w:left="0" w:right="0" w:firstLine="720"/>
        <w:jc w:val="left"/>
      </w:pPr>
      <w:r>
        <w:rPr>
          <w:rFonts w:ascii="Times New Roman" w:hAnsi="Times New Roman"/>
          <w:i/>
          <w:caps w:val="false"/>
          <w:smallCaps w:val="false"/>
          <w:sz w:val="20"/>
        </w:rPr>
        <w:t>Hightower Purchase Options.</w:t>
      </w:r>
      <w:r>
        <w:rPr>
          <w:rFonts w:ascii="Times New Roman" w:hAnsi="Times New Roman"/>
          <w:caps w:val="false"/>
          <w:smallCaps w:val="false"/>
          <w:sz w:val="20"/>
        </w:rPr>
        <w:t xml:space="preserve"> The Company's leases with Hightower Phase I Owner, LLC for Buildings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include an option to purchase the buildings and related land for an aggregate purchase price of $102.25 million. The Company's leases with Hightower Phase II Owner, LLC for Buildings </w:t>
      </w:r>
      <w:r>
        <w:rPr>
          <w:rStyle w:val="Emphasis"/>
          <w:rFonts w:ascii="Times New Roman" w:hAnsi="Times New Roman"/>
          <w:caps w:val="false"/>
          <w:smallCaps w:val="false"/>
          <w:sz w:val="20"/>
        </w:rPr>
        <w:t>4</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5</w:t>
      </w:r>
      <w:r>
        <w:rPr>
          <w:rFonts w:ascii="Times New Roman" w:hAnsi="Times New Roman"/>
          <w:caps w:val="false"/>
          <w:smallCaps w:val="false"/>
          <w:sz w:val="20"/>
        </w:rPr>
        <w:t xml:space="preserve"> include an option to purchase those buildings and related land for an aggregate purchase price of approximately $146.6 million, subject to adjustment. The Phase II landlord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terminate the Phase II leases if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timely exercise, or fails to close, its option to purchase Buildings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As of </w:t>
      </w:r>
      <w:r>
        <w:rPr>
          <w:rStyle w:val="Emphasis"/>
          <w:rFonts w:ascii="Times New Roman" w:hAnsi="Times New Roman"/>
          <w:caps w:val="false"/>
          <w:smallCaps w:val="false"/>
          <w:sz w:val="20"/>
        </w:rPr>
        <w:t xml:space="preserve">September 30, 2026, </w:t>
      </w:r>
      <w:r>
        <w:rPr>
          <w:rFonts w:ascii="Times New Roman" w:hAnsi="Times New Roman"/>
          <w:caps w:val="false"/>
          <w:smallCaps w:val="false"/>
          <w:sz w:val="20"/>
        </w:rPr>
        <w:t xml:space="preserve">neither option had been exercised. See Note </w:t>
      </w:r>
      <w:r>
        <w:rPr>
          <w:rStyle w:val="Emphasis"/>
          <w:rFonts w:ascii="Times New Roman" w:hAnsi="Times New Roman"/>
          <w:caps w:val="false"/>
          <w:smallCaps w:val="false"/>
          <w:sz w:val="20"/>
        </w:rPr>
        <w:t>4,</w:t>
      </w:r>
      <w:r>
        <w:rPr>
          <w:rFonts w:ascii="Times New Roman" w:hAnsi="Times New Roman"/>
          <w:caps w:val="false"/>
          <w:smallCaps w:val="false"/>
          <w:sz w:val="20"/>
        </w:rPr>
        <w:t xml:space="preserve"> "Leases."</w:t>
      </w:r>
    </w:p>
    <w:p>
      <w:pPr>
        <w:pStyle w:val="TextBody"/>
        <w:bidi w:val="0"/>
        <w:spacing w:before="0" w:after="0"/>
        <w:ind w:left="0" w:right="0" w:hanging="0"/>
        <w:jc w:val="left"/>
      </w:pPr>
      <w:r>
        <w:t> </w:t>
      </w:r>
    </w:p>
    <w:p>
      <w:pPr>
        <w:pStyle w:val="TextBody"/>
        <w:bidi w:val="0"/>
        <w:spacing w:before="0" w:after="0"/>
        <w:ind w:left="0" w:right="0" w:hanging="0"/>
        <w:jc w:val="left"/>
      </w:pPr>
      <w:r>
        <w:t> </w:t>
      </w:r>
    </w:p>
    <w:p>
      <w:pPr>
        <w:pStyle w:val="TextBody"/>
        <w:bidi w:val="0"/>
        <w:spacing w:before="0" w:after="0"/>
        <w:ind w:left="0" w:right="0" w:firstLine="720"/>
        <w:jc w:val="left"/>
      </w:pPr>
      <w:r>
        <w:rPr>
          <w:rFonts w:ascii="Times New Roman" w:hAnsi="Times New Roman"/>
          <w:i/>
          <w:caps w:val="false"/>
          <w:smallCaps w:val="false"/>
          <w:sz w:val="20"/>
        </w:rPr>
        <w:t>Other Capital Commitments.</w:t>
      </w:r>
      <w:r>
        <w:rPr>
          <w:rFonts w:ascii="Times New Roman" w:hAnsi="Times New Roman"/>
          <w:caps w:val="false"/>
          <w:smallCaps w:val="false"/>
          <w:sz w:val="20"/>
        </w:rPr>
        <w:t xml:space="preserve"> As of </w:t>
      </w:r>
      <w:r>
        <w:rPr>
          <w:rStyle w:val="Emphasis"/>
          <w:rFonts w:ascii="Times New Roman" w:hAnsi="Times New Roman"/>
          <w:caps w:val="false"/>
          <w:smallCaps w:val="false"/>
          <w:sz w:val="20"/>
        </w:rPr>
        <w:t xml:space="preserve">September 30, 2026, </w:t>
      </w:r>
      <w:r>
        <w:rPr>
          <w:rFonts w:ascii="Times New Roman" w:hAnsi="Times New Roman"/>
          <w:caps w:val="false"/>
          <w:smallCaps w:val="false"/>
          <w:sz w:val="20"/>
        </w:rPr>
        <w:t>the Company had other outstanding purchase commitments for equipment and facility construction of approximately $928.8 million, primarily related to its manufacturing capacity expansion.</w:t>
      </w:r>
    </w:p>
    <w:p>
      <w:pPr>
        <w:pStyle w:val="TextBody"/>
        <w:bidi w:val="0"/>
        <w:spacing w:before="0" w:after="0"/>
        <w:ind w:left="0" w:right="0" w:hanging="0"/>
        <w:jc w:val="left"/>
      </w:pPr>
      <w:r>
        <w:t> </w:t>
      </w:r>
    </w:p>
    <w:p>
      <w:pPr>
        <w:pStyle w:val="TextBody"/>
        <w:bidi w:val="0"/>
        <w:spacing w:before="0" w:after="0"/>
        <w:ind w:left="0" w:right="0" w:hanging="0"/>
        <w:jc w:val="left"/>
      </w:pPr>
      <w:r>
        <w:t> </w:t>
      </w:r>
    </w:p>
    <w:p>
      <w:pPr>
        <w:pStyle w:val="TextBody"/>
        <w:bidi w:val="0"/>
        <w:spacing w:before="0" w:after="283"/>
        <w:jc w:val="left"/>
      </w:pPr>
      <w:r>
        <w:t xml:space="preserve">  </w:t>
      </w:r>
    </w:p>
    <w:p>
      <w:pPr>
        <w:pStyle w:val="TextBody"/>
        <w:bidi w:val="0"/>
        <w:spacing w:before="0" w:after="0"/>
        <w:ind w:left="0" w:right="0" w:hanging="0"/>
        <w:jc w:val="left"/>
      </w:pPr>
      <w:r>
        <w:rPr>
          <w:rFonts w:ascii="Times New Roman;Times;serif" w:hAnsi="Times New Roman;Times;serif"/>
          <w:b/>
          <w:sz w:val="20"/>
        </w:rPr>
        <w:t xml:space="preserve">Note </w:t>
      </w:r>
      <w:r>
        <w:rPr>
          <w:rStyle w:val="Emphasis"/>
          <w:rFonts w:ascii="Times New Roman;Times;serif" w:hAnsi="Times New Roman;Times;serif"/>
          <w:b/>
          <w:sz w:val="20"/>
        </w:rPr>
        <w:t>19.</w:t>
      </w:r>
      <w:r>
        <w:rPr>
          <w:rFonts w:ascii="Times New Roman;Times;serif" w:hAnsi="Times New Roman;Times;serif"/>
          <w:b/>
          <w:sz w:val="20"/>
        </w:rPr>
        <w:t>  Subsequent Events </w:t>
      </w:r>
    </w:p>
    <w:p>
      <w:pPr>
        <w:pStyle w:val="TextBody"/>
        <w:bidi w:val="0"/>
        <w:spacing w:before="0" w:after="0"/>
        <w:ind w:left="0" w:right="0" w:hanging="0"/>
        <w:jc w:val="left"/>
        <w:rPr>
          <w:shd w:fill="FFFFFF" w:val="clear"/>
        </w:rPr>
      </w:pPr>
      <w:r>
        <w:rPr>
          <w:shd w:fill="FFFFFF" w:val="clea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Loan Agreement </w:t>
      </w:r>
    </w:p>
    <w:p>
      <w:pPr>
        <w:pStyle w:val="TextBody"/>
        <w:bidi w:val="0"/>
        <w:spacing w:before="0" w:after="0"/>
        <w:ind w:left="0" w:right="0" w:hanging="0"/>
        <w:jc w:val="left"/>
      </w:pPr>
      <w:r>
        <w:t> </w:t>
      </w:r>
    </w:p>
    <w:p>
      <w:pPr>
        <w:pStyle w:val="TextBody"/>
        <w:bidi w:val="0"/>
        <w:spacing w:before="0" w:after="0"/>
        <w:ind w:left="0" w:right="0" w:firstLine="720"/>
        <w:jc w:val="left"/>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October 30, 2026, </w:t>
      </w:r>
      <w:r>
        <w:rPr>
          <w:rFonts w:ascii="Times New Roman" w:hAnsi="Times New Roman"/>
          <w:caps w:val="false"/>
          <w:smallCaps w:val="false"/>
          <w:sz w:val="20"/>
        </w:rPr>
        <w:t xml:space="preserve">subsequent to the end of the reporting period, the Company entered into a $200 million credit agreement with a syndicate of lenders, with East West Bank acting as administrative agent (the "EWB Loan"), and terminated the BOKF Credit Facility. The EWB Loan provides for $30 million in revolving commitments and $170 million in initial term loan commitments, matures on </w:t>
      </w:r>
      <w:r>
        <w:rPr>
          <w:rStyle w:val="Emphasis"/>
          <w:rFonts w:ascii="Times New Roman" w:hAnsi="Times New Roman"/>
          <w:caps w:val="false"/>
          <w:smallCaps w:val="false"/>
          <w:sz w:val="20"/>
        </w:rPr>
        <w:t xml:space="preserve">October 30, 2030, </w:t>
      </w:r>
      <w:r>
        <w:rPr>
          <w:rFonts w:ascii="Times New Roman" w:hAnsi="Times New Roman"/>
          <w:caps w:val="false"/>
          <w:smallCaps w:val="false"/>
          <w:sz w:val="20"/>
        </w:rPr>
        <w:t>subject to certain earlier maturity provisions, and permits the Company to request up to $50 million in incremental term loan commitments, subject to specified conditions.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ATM Completion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October 1, 2026, </w:t>
      </w:r>
      <w:r>
        <w:rPr>
          <w:rFonts w:ascii="Times New Roman" w:hAnsi="Times New Roman"/>
          <w:caps w:val="false"/>
          <w:smallCaps w:val="false"/>
          <w:sz w:val="20"/>
        </w:rPr>
        <w:t xml:space="preserve">the Company completed its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ATM Offering, selling approximately 5.7 million shares at a weighted average price of $105.36 per share, providing proceeds of approximately $588 million, net of expenses and underwriting discounts and commissions.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Supply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November 2, 2026, </w:t>
      </w:r>
      <w:r>
        <w:rPr>
          <w:rFonts w:ascii="Times New Roman" w:hAnsi="Times New Roman"/>
          <w:caps w:val="false"/>
          <w:smallCaps w:val="false"/>
          <w:sz w:val="20"/>
        </w:rPr>
        <w:t xml:space="preserve">the Company entered into a five-year supply framework agreement and an annual purchase contract with a supplier for the purchase of a key raw material used in certain of its products. The annual contract provides for purchases of up to approximately $194.4 million and requires the Company to make aggregate prepayments of up to $40.0 million, including $20.0 million payable during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prepayments had been made as of the filing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pPr>
      <w:r>
        <w:rPr>
          <w:rFonts w:ascii="Times New Roman" w:hAnsi="Times New Roman"/>
          <w:caps w:val="false"/>
          <w:smallCaps w:val="false"/>
          <w:sz w:val="20"/>
        </w:rPr>
        <w:t xml:space="preserve">The supplier’s ability to export and deliver the material is subject to obtaining and maintaining required regulatory approvals in China, and actual purchase quantities are subject to the quantities approved for export. If the required approvals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obtained or maintained, 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cancel the annual contract and affected purchase orders and require the refund of applicable prepayments and other amounts paid. Because the agreements were entered into after </w:t>
      </w:r>
      <w:r>
        <w:rPr>
          <w:rStyle w:val="Emphasis"/>
          <w:rFonts w:ascii="Times New Roman" w:hAnsi="Times New Roman"/>
          <w:caps w:val="false"/>
          <w:smallCaps w:val="false"/>
          <w:sz w:val="20"/>
        </w:rPr>
        <w:t>September 30, 2026, no</w:t>
      </w:r>
      <w:r>
        <w:rPr>
          <w:rFonts w:ascii="Times New Roman" w:hAnsi="Times New Roman"/>
          <w:caps w:val="false"/>
          <w:smallCaps w:val="false"/>
          <w:sz w:val="20"/>
        </w:rPr>
        <w:t xml:space="preserve"> amounts relating to the agreements have been reflected in the Company’s condensed consolidated financial statements as of that date.</w:t>
      </w:r>
    </w:p>
    <w:p>
      <w:pPr>
        <w:pStyle w:val="TextBody"/>
        <w:bidi w:val="0"/>
        <w:spacing w:before="0" w:after="283"/>
        <w:jc w:val="left"/>
      </w:pPr>
      <w:r>
        <w:t xml:space="preserve">  </w:t>
      </w:r>
    </w:p>
    <w:p>
      <w:pPr>
        <w:pStyle w:val="TextBody"/>
        <w:bidi w:val="0"/>
        <w:spacing w:before="0" w:after="0"/>
        <w:ind w:left="0" w:right="0" w:hanging="0"/>
        <w:jc w:val="left"/>
      </w:pPr>
      <w:r>
        <w:t> </w:t>
      </w:r>
    </w:p>
    <w:p>
      <w:pPr>
        <w:pStyle w:val="TextBody"/>
        <w:bidi w:val="0"/>
        <w:spacing w:before="0" w:after="0"/>
        <w:jc w:val="center"/>
      </w:pPr>
      <w:r>
        <w:rPr>
          <w:rStyle w:val="Emphasis"/>
          <w:rFonts w:ascii="Times New Roman" w:hAnsi="Times New Roman"/>
          <w:sz w:val="20"/>
        </w:rPr>
        <w:t>22</w:t>
      </w:r>
      <w:r>
        <w:rPr>
          <w:rFonts w:ascii="Times New Roman" w:hAnsi="Times New Roman"/>
          <w:sz w:val="20"/>
        </w:rPr>
        <w:t xml:space="preserve"> </w:t>
      </w:r>
    </w:p>
    <w:p>
      <w:pPr>
        <w:pStyle w:val="HorizontalLine"/>
        <w:pBdr>
          <w:bottom w:val="double" w:sz="2" w:space="0" w:color="808080"/>
        </w:pBdr>
        <w:bidi w:val="0"/>
        <w:spacing w:before="0" w:after="283"/>
        <w:jc w:val="left"/>
      </w:pPr>
      <w:r/>
    </w:p>
    <w:p>
      <w:pPr>
        <w:pStyle w:val="TextBody"/>
        <w:bidi w:val="0"/>
        <w:spacing w:before="0" w:after="0"/>
        <w:jc w:val="left"/>
      </w:pPr>
      <w:hyperlink w:anchor="toc">
        <w:r>
          <w:rPr>
            <w:rStyle w:val="InternetLink"/>
            <w:rFonts w:ascii="Times New Roman;Times;serif" w:hAnsi="Times New Roman;Times;serif"/>
            <w:sz w:val="20"/>
          </w:rPr>
          <w:t>Table of Contents</w:t>
        </w:r>
      </w:hyperlink>
      <w:r>
        <w:t xml:space="preserve"> </w:t>
      </w:r>
    </w:p>
    <w:p>
      <w:pPr>
        <w:pStyle w:val="TextBody"/>
        <w:bidi w:val="0"/>
        <w:spacing w:before="0" w:after="0"/>
        <w:jc w:val="left"/>
      </w:pPr>
      <w:r>
        <w:t xml:space="preserve">  </w:t>
      </w:r>
    </w:p>
    <w:p>
      <w:pPr>
        <w:pStyle w:val="TextBody"/>
        <w:bidi w:val="0"/>
        <w:spacing w:before="0" w:after="283"/>
        <w:jc w:val="left"/>
      </w:pPr>
      <w:r>
        <w:t xml:space="preserve">  </w:t>
      </w:r>
    </w:p>
    <w:p>
      <w:pPr>
        <w:pStyle w:val="TextBody"/>
        <w:bidi w:val="0"/>
        <w:spacing w:before="0" w:after="0"/>
        <w:ind w:left="0" w:right="0" w:hanging="0"/>
        <w:jc w:val="left"/>
        <w:rPr>
          <w:rFonts w:ascii="Times New Roman;Times;serif" w:hAnsi="Times New Roman;Times;serif"/>
          <w:b/>
          <w:sz w:val="20"/>
        </w:rPr>
      </w:pPr>
      <w:bookmarkStart w:id="11" w:name="item2"/>
      <w:bookmarkEnd w:id="11"/>
      <w:r>
        <w:rPr>
          <w:rFonts w:ascii="Times New Roman;Times;serif" w:hAnsi="Times New Roman;Times;serif"/>
          <w:b/>
          <w:sz w:val="20"/>
        </w:rPr>
        <w:t>Item 2.   Management’s Discussion and Analysis of Financial Condition and Results of Operations</w:t>
      </w:r>
    </w:p>
    <w:p>
      <w:pPr>
        <w:pStyle w:val="TextBody"/>
        <w:bidi w:val="0"/>
        <w:spacing w:before="0" w:after="0"/>
        <w:ind w:left="0" w:right="0" w:hanging="0"/>
        <w:jc w:val="left"/>
      </w:pPr>
      <w:r>
        <w:t>​</w:t>
      </w:r>
    </w:p>
    <w:p>
      <w:pPr>
        <w:pStyle w:val="TextBody"/>
        <w:bidi w:val="0"/>
        <w:spacing w:before="0" w:after="0"/>
        <w:ind w:left="0" w:right="0" w:firstLine="720"/>
        <w:jc w:val="left"/>
        <w:rPr>
          <w:rFonts w:ascii="Times New Roman;Times;serif" w:hAnsi="Times New Roman;Times;serif"/>
          <w:i/>
          <w:sz w:val="20"/>
        </w:rPr>
      </w:pPr>
      <w:r>
        <w:rPr>
          <w:rFonts w:ascii="Times New Roman;Times;serif" w:hAnsi="Times New Roman;Times;serif"/>
          <w:i/>
          <w:sz w:val="20"/>
        </w:rPr>
        <w:t>You should read the following discussion and analysis of our financial condition and results of operations in conjunction with our consolidated financial statements and the accompanying notes appearing elsewhere in this Quarterly Report on Form 10-Q for the period ended September 30, 2026 and the audited consolidated financial statements and notes thereto and management’s discussion and analysis of financial condition and results of operations for the fiscal year ended December 31, 2025 included in our Annual Report. References to "Applied Optoelectronics," “we," "our" and "us" are to Applied Optoelectronics, Inc. and its subsidiaries unless otherwise specified or the context otherwise requires.</w:t>
      </w:r>
    </w:p>
    <w:p>
      <w:pPr>
        <w:pStyle w:val="TextBody"/>
        <w:bidi w:val="0"/>
        <w:spacing w:before="0" w:after="0"/>
        <w:ind w:left="0" w:right="0" w:firstLine="720"/>
        <w:jc w:val="left"/>
      </w:pPr>
      <w:r>
        <w:t>​</w:t>
      </w:r>
    </w:p>
    <w:p>
      <w:pPr>
        <w:pStyle w:val="TextBody"/>
        <w:bidi w:val="0"/>
        <w:spacing w:before="0" w:after="0"/>
        <w:ind w:left="0" w:right="0" w:firstLine="720"/>
        <w:jc w:val="left"/>
        <w:rPr>
          <w:rFonts w:ascii="Times New Roman;Times;serif" w:hAnsi="Times New Roman;Times;serif"/>
          <w:i/>
          <w:sz w:val="20"/>
        </w:rPr>
      </w:pPr>
      <w:r>
        <w:rPr>
          <w:rFonts w:ascii="Times New Roman;Times;serif" w:hAnsi="Times New Roman;Times;serif"/>
          <w:i/>
          <w:sz w:val="20"/>
        </w:rPr>
        <w:t>This Quarterly Report on Form 10-Q contains "forward-looking statements" that involve risks and uncertainties, as well as assumptions that, if they never materialize or prove incorrect, could cause our results to differ materially from those expressed or implied by such forward-looking statements. The statements contained in this Quarterly Report that are not purely historical are forward-looking statements within the meaning of Section 27A of the Securities Act of 1933, as amended, and Section 21E of the Securities Exchange Act of 1934, as amended. Terminology such as "believe," "may," "estimate," "continue," "anticipate," "intend," "should," "could," "would," "target," "seek," "aim," "believe," "predicts," "think," "objectives," "optimistic," "new," "goal," "strategy," "potential," "is likely," "will," "expect," "plan," "project," "permit," or by other similar expressions that convey uncertainty of future events or outcomes are intended to identify forward-looking statements.</w:t>
      </w:r>
    </w:p>
    <w:p>
      <w:pPr>
        <w:pStyle w:val="TextBody"/>
        <w:bidi w:val="0"/>
        <w:spacing w:before="0" w:after="0"/>
        <w:ind w:left="0" w:right="0" w:firstLine="720"/>
        <w:jc w:val="left"/>
      </w:pPr>
      <w:r>
        <w:t>​</w:t>
      </w:r>
    </w:p>
    <w:p>
      <w:pPr>
        <w:pStyle w:val="TextBody"/>
        <w:bidi w:val="0"/>
        <w:spacing w:before="0" w:after="0"/>
        <w:ind w:left="0" w:right="0" w:firstLine="720"/>
        <w:jc w:val="left"/>
        <w:rPr>
          <w:rFonts w:ascii="Times New Roman;Times;serif" w:hAnsi="Times New Roman;Times;serif"/>
          <w:i/>
          <w:sz w:val="20"/>
        </w:rPr>
      </w:pPr>
      <w:r>
        <w:rPr>
          <w:rFonts w:ascii="Times New Roman;Times;serif" w:hAnsi="Times New Roman;Times;serif"/>
          <w:i/>
          <w:sz w:val="20"/>
        </w:rPr>
        <w:t>We have based these forward-looking statements largely on our current expectations and projections about future events and industry and financial trends that we believe may affect our financial condition, results of operations, business strategy and financial needs. Such forward-looking statements are subject to risks, uncertainties and other important factors that could cause actual results and the timing of events to differ materially from future results expressed or implied by such forward-looking statements. Factors that could cause or contribute to such differences include, but are not limited to, those identified in "Part II —Item 1A. Risk Factors", those discussed in other documents we file with the SEC, including our Report on Form 10-K for the year ended December 31, 2025 and subsequent Quarterly Reports on Form 10-Q, and geopolitical tensions and conflicts, including with respect to international trade policies in areas such as tariffs and export controls. Furthermore, such forward-looking statements speak only as of the date of this Quarterly Report. Except as required by law, we undertake no obligation to update any forward-looking statements to reflect events or circumstances after the date of this Quarterly Report.</w:t>
      </w:r>
    </w:p>
    <w:p>
      <w:pPr>
        <w:pStyle w:val="TextBody"/>
        <w:bidi w:val="0"/>
        <w:spacing w:before="0" w:after="0"/>
        <w:ind w:left="0" w:right="0" w:firstLine="720"/>
        <w:jc w:val="left"/>
      </w:pPr>
      <w: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0"/>
        <w:ind w:left="0" w:right="0" w:hanging="0"/>
        <w:jc w:val="left"/>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are a leading, vertically integrated provider of fiber-optic networking products. We target four networking end-markets: internet and artificial intelligence (“AI”) data centers, CATV, telecom, and FTTH. We design and manufacture a range of optical communications products at varying levels of integration, from components, subassemblies and modules to complete turn-key equipment. In designing products for our customers, we typically begin with the fundamental building blocks of lasers and laser components. From these foundational products, we design and manufacture a wide range of products to meet our customers’ needs and specifications, and such products differ from each other by their end market, intended use and level of integration. We are primarily focused on the higher-performance segments within the internet data center, CATV, telecom and FTTH markets which increasingly demand faster connectivity and innovation. </w:t>
      </w:r>
    </w:p>
    <w:p>
      <w:pPr>
        <w:pStyle w:val="TextBody"/>
        <w:bidi w:val="0"/>
        <w:spacing w:before="0" w:after="0"/>
        <w:ind w:left="0" w:right="0" w:firstLine="720"/>
        <w:jc w:val="left"/>
      </w:pPr>
      <w:r>
        <w:t> </w:t>
      </w:r>
    </w:p>
    <w:p>
      <w:pPr>
        <w:pStyle w:val="TextBody"/>
        <w:bidi w:val="0"/>
        <w:spacing w:before="0" w:after="0"/>
        <w:ind w:left="0" w:right="0" w:firstLine="720"/>
        <w:jc w:val="left"/>
        <w:rPr>
          <w:rFonts w:ascii="Times New Roman" w:hAnsi="Times New Roman"/>
          <w:sz w:val="20"/>
        </w:rPr>
      </w:pPr>
      <w:r>
        <w:rPr>
          <w:rFonts w:ascii="Times New Roman" w:hAnsi="Times New Roman"/>
          <w:sz w:val="20"/>
        </w:rPr>
        <w:t xml:space="preserve">Our vertically integrated manufacturing model provides us several advantages, including rapid product development, fast response times to customer requests and control over product quality and manufacturing costs. </w:t>
      </w:r>
    </w:p>
    <w:p>
      <w:pPr>
        <w:pStyle w:val="TextBody"/>
        <w:bidi w:val="0"/>
        <w:ind w:left="0" w:right="0" w:firstLine="720"/>
        <w:jc w:val="left"/>
      </w:pPr>
      <w:r>
        <w:t xml:space="preserve">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four end markets we target are all driven by significant bandwidth demand fueled by the growth of AI, cloud computing, network-connected devices, video traffic, and online social networking. Within the data center market, AI workloads are fueling the retooling of existing data centers and the construction of purpose-built data centers for AI, in both cases significantly increasing demand for higher speed optical networking technology. Existing internet data centers are also being upgraded with higher speed optical networking equipment to support ever-increasing data traffic. Within the CATV market, we benefit from a number of ongoing trends including the move to higher bandwidth networks among CATV service providers, especially the desire by CATV multiple system operators ("MSOs") to increase the return-path bandwidth available to offer to their customers. In the FTTH market, we benefit from continuing Passive Optical Networks ("PON") deployments and system updates among telecom service providers. In the telecom market, we benefit from deployment of new high-speed fiber-optic networks by telecom network operators, including 5G networks. </w:t>
      </w:r>
    </w:p>
    <w:p>
      <w:pPr>
        <w:pStyle w:val="TextBody"/>
        <w:bidi w:val="0"/>
        <w:spacing w:before="0" w:after="0"/>
        <w:ind w:left="0" w:right="0" w:hanging="0"/>
        <w:jc w:val="left"/>
      </w:pPr>
      <w: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vertically integrated manufacturing model provides us several advantages, including rapid product development, fast response times to customer requests and greater control over product quality and manufacturing costs. We design, manufacture and integrate our own analog and digital lasers using a proprietary Molecular Beam Epitaxy ("MBE"), and Metal Organic Chemical Vapor Deposition ("MOCVD") alternative processes for the fabrication of lasers. We believe the use of both processes, and our knowledge of how to combine these processes with others to fabricate lasers is unique in our industry. We manufacture the majority of the laser chips and optical components that are used in our products. The lasers we manufacture are tested extensively to enable reliable operation over time and our devices are often highly tolerant of changes in temperature and humidity, making them well-suited to the CATV, FTTH and 5G telecom markets where networking equipment is often installed outdoors. All of our laser chips are manufactured in our facility in Sugar Land, Texas. We believe that our domestic production capacity for these devices gives us a competitive advantage over many of our competitors, as we believe that many of our customers prefer to source key components from suppliers who have domestic manufacturing capacity.</w:t>
      </w:r>
    </w:p>
    <w:p>
      <w:pPr>
        <w:pStyle w:val="TextBody"/>
        <w:bidi w:val="0"/>
        <w:spacing w:before="0" w:after="0"/>
        <w:ind w:left="0" w:right="0" w:firstLine="720"/>
        <w:jc w:val="left"/>
      </w:pPr>
      <w: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have three manufacturing sites: Sugar Land, Texas, Ningbo, China and Taipei, Taiwan. Our research and development functions are generally partnered with our manufacturing locations, and we have an additional research and development facility in Duluth, Georgia. In our Sugar Land facility, we manufacture laser chips (utilizing our MBE and MOCVD processes), transceivers for the internet data center market, subassemblies and components. The subassemblies are used in the manufacture of components by our other manufacturing facilities or sold to third parties as modules. We manufacture our laser chips only within our Sugar Land facility, where our laser design team is located. In our Taiwan location, we manufacture optical components, such as our butterfly lasers, which incorporate laser chips, subassemblies and components manufactured within our Sugar Land facility. Additionally, in our Taiwan location, we manufacture transceivers for the internet data center, telecom, FTTH and other markets. We also manufacture CATV outdoor equipment including amplifiers. In our China facility, we do certain assembly operations on various products, including some optical subassemblies and transceivers for the CATV transmitters (at the headend), some CATV outdoor equipment and transceivers for our internet data center market. The extent of the assembly operations in our China facility do not always establish the country of origin for these products as China for U.S. tariff purposes. Each manufacturing facility conducts testing on the components, modules or subsystems it manufactures, and each facility is certified to ISO 9001:2015. Our facilities in Ningbo, China, Taipei, Taiwan, and Sugar Land, Texas are all certified to ISO 14001:2015. We are expanding our manufacturing space in and around these existing facilities and are currently in the process of building out suitable facilities for this expansion. We expect the first of these new facilities to begin operation later in 2026.</w:t>
      </w:r>
    </w:p>
    <w:p>
      <w:pPr>
        <w:pStyle w:val="TextBody"/>
        <w:bidi w:val="0"/>
        <w:spacing w:before="0" w:after="0"/>
        <w:ind w:left="0" w:right="0" w:firstLine="720"/>
        <w:jc w:val="left"/>
      </w:pPr>
      <w: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23 </w:t>
      </w:r>
    </w:p>
    <w:p>
      <w:pPr>
        <w:pStyle w:val="HorizontalLine"/>
        <w:pBdr>
          <w:bottom w:val="double" w:sz="2" w:space="0" w:color="808080"/>
        </w:pBdr>
        <w:bidi w:val="0"/>
        <w:spacing w:before="0" w:after="283"/>
        <w:jc w:val="left"/>
      </w:pPr>
      <w:r/>
    </w:p>
    <w:p>
      <w:pPr>
        <w:pStyle w:val="TextBody"/>
        <w:bidi w:val="0"/>
        <w:jc w:val="left"/>
      </w:pPr>
      <w:hyperlink w:anchor="toc">
        <w:r>
          <w:rPr>
            <w:rStyle w:val="InternetLink"/>
            <w:rFonts w:ascii="Times New Roman;Times;serif" w:hAnsi="Times New Roman;Times;serif"/>
            <w:sz w:val="20"/>
          </w:rPr>
          <w:t>Table of Contents</w:t>
        </w:r>
      </w:hyperlink>
      <w:r>
        <w:t xml:space="preserve"> </w:t>
      </w:r>
    </w:p>
    <w:p>
      <w:pPr>
        <w:pStyle w:val="TextBody"/>
        <w:bidi w:val="0"/>
        <w:spacing w:before="0" w:after="0"/>
        <w:ind w:left="0" w:right="0" w:hanging="0"/>
        <w:jc w:val="left"/>
      </w:pPr>
      <w: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business depends on winning competitive bid selection processes to develop components, systems and equipment for use in our customers’ products. These selection processes are typically lengthy, and as a result our sales cycles will vary based on the level of customization required, market served, whether the design win is with an existing or new customer and whether our solution being designed in our customers’ product is our first generation or subsequent generation product. However, once one of our solutions is incorporated into a customer’s design, we believe that our solution is likely to continue to be purchased for that design throughout that product’s life cycle because of the time and expense associated with redesigning the product or substituting an alternative solution.</w:t>
      </w:r>
    </w:p>
    <w:p>
      <w:pPr>
        <w:pStyle w:val="TextBody"/>
        <w:bidi w:val="0"/>
        <w:spacing w:before="0" w:after="0"/>
        <w:ind w:left="0" w:right="0" w:firstLine="720"/>
        <w:jc w:val="left"/>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principal executive offices are located at 13139 Jess Pirtle Blvd., Sugar Land, TX 77478, and our telephone number is (281) 295-1800.</w:t>
      </w:r>
    </w:p>
    <w:p>
      <w:pPr>
        <w:pStyle w:val="TextBody"/>
        <w:bidi w:val="0"/>
        <w:spacing w:before="0" w:after="0"/>
        <w:ind w:left="0" w:right="0" w:hanging="0"/>
        <w:jc w:val="left"/>
      </w:pPr>
      <w: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Trends and Other Matters Affecting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Demand for our data center products remained strong during the nine months ended September 30, 2026, driven by continued investments by hyperscale customers in artificial intelligence, cloud computing and high-speed networking infrastructure.  We experienced significant growth in sales of data center products during the period, reflecting increased customer deployments and demand for higher speed optical connectivity solutions.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Subsequent to September 30, 2026, we signed a 3-year long term agreement (LTA) with a major hyperscale data center customer. Under this long term agreement, this customer is obligated, with certain conditions, to purchase 10% of certain 1.6 Tb data center transceiver products from us during the three-year period beginning June, 2026 and ending May, 2029. We are obligated to supply these products, including building any additional manufacturing capacity needed to fulfill this demand. We have also agreed to certain maximum pricing levels over the term of this agreement. Actual purchase volumes and revenue under the LTA will depend on the customer’s demand for the covered products, the satisfaction of the applicable conditions and our ability to meet our supply obligations.</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160" w:right="0" w:firstLine="540"/>
        <w:jc w:val="left"/>
        <w:rPr>
          <w:rFonts w:ascii="Times New Roman" w:hAnsi="Times New Roman"/>
          <w:caps w:val="false"/>
          <w:smallCaps w:val="false"/>
          <w:sz w:val="20"/>
        </w:rPr>
      </w:pPr>
      <w:r>
        <w:rPr>
          <w:rFonts w:ascii="Times New Roman" w:hAnsi="Times New Roman"/>
          <w:caps w:val="false"/>
          <w:smallCaps w:val="false"/>
          <w:sz w:val="20"/>
        </w:rPr>
        <w:t>LTAs of this type are not typical for our industry and AOI has not been a party to an agreement of this type before. We believe that this customer's desire to engage in an LTA of this type is a consequence of their belief that the demand for these components will remain strong for the next several years.</w:t>
      </w:r>
    </w:p>
    <w:p>
      <w:pPr>
        <w:pStyle w:val="TextBody"/>
        <w:bidi w:val="0"/>
        <w:spacing w:before="0" w:after="0"/>
        <w:ind w:left="0" w:right="0" w:hanging="0"/>
        <w:jc w:val="left"/>
      </w:pPr>
      <w: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Although market demand remains favorable, the global economic environment continues to be subject to uncertainty resulting from evolving trade policies, tariffs, export controls, geopolitical developments and other macroeconomic factors.  These conditions may impact the availability and cost of materials and components, customer purchasing decisions, deployment schedules and capital spending plans.  In addition, changes in global trade policies and regulations could also affect our manufacturing operations, supply chain and customer demand.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continue to monitor these developments and have implemented strategies intended to reduce potential disruptions, including supply chain diversification, inventory management initiatives and operational efficiencies.  However, future demand may be affected by changes in customer deployment schedules, inventory levels, capital spending plans and general market conditions.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0"/>
        <w:ind w:left="0" w:right="0" w:hanging="0"/>
        <w:jc w:val="left"/>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sets forth our consolidated results of operations for the periods presented and as a percentage of our revenue for those periods (in thousands, except percentages):</w:t>
      </w:r>
    </w:p>
    <w:p>
      <w:pPr>
        <w:pStyle w:val="TextBody"/>
        <w:bidi w:val="0"/>
        <w:spacing w:before="0" w:after="0"/>
        <w:ind w:left="0" w:right="0" w:firstLine="720"/>
        <w:jc w:val="left"/>
      </w:pPr>
      <w:r>
        <w:t> </w:t>
      </w:r>
    </w:p>
    <w:tbl>
      <w:tblPr>
        <w:tblW w:w="10205" w:type="dxa"/>
        <w:jc w:val="left"/>
        <w:tblInd w:w="0" w:type="dxa"/>
        <w:tblLayout w:type="fixed"/>
        <w:tblCellMar>
          <w:top w:w="0" w:type="dxa"/>
          <w:left w:w="0" w:type="dxa"/>
          <w:bottom w:w="0" w:type="dxa"/>
          <w:right w:w="0" w:type="dxa"/>
        </w:tblCellMar>
      </w:tblPr>
      <w:tblGrid>
        <w:gridCol w:w="2979"/>
        <w:gridCol w:w="60"/>
        <w:gridCol w:w="125"/>
        <w:gridCol w:w="695"/>
        <w:gridCol w:w="80"/>
        <w:gridCol w:w="60"/>
        <w:gridCol w:w="60"/>
        <w:gridCol w:w="485"/>
        <w:gridCol w:w="241"/>
        <w:gridCol w:w="60"/>
        <w:gridCol w:w="125"/>
        <w:gridCol w:w="695"/>
        <w:gridCol w:w="80"/>
        <w:gridCol w:w="60"/>
        <w:gridCol w:w="60"/>
        <w:gridCol w:w="485"/>
        <w:gridCol w:w="241"/>
        <w:gridCol w:w="60"/>
        <w:gridCol w:w="125"/>
        <w:gridCol w:w="695"/>
        <w:gridCol w:w="80"/>
        <w:gridCol w:w="60"/>
        <w:gridCol w:w="60"/>
        <w:gridCol w:w="485"/>
        <w:gridCol w:w="241"/>
        <w:gridCol w:w="60"/>
        <w:gridCol w:w="125"/>
        <w:gridCol w:w="695"/>
        <w:gridCol w:w="80"/>
        <w:gridCol w:w="60"/>
        <w:gridCol w:w="60"/>
        <w:gridCol w:w="485"/>
        <w:gridCol w:w="243"/>
      </w:tblGrid>
      <w:tr>
        <w:tc>
          <w:tcPr>
            <w:tcW w:w="2979"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3311"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September 30,</w:t>
            </w:r>
          </w:p>
        </w:tc>
        <w:tc>
          <w:tcPr>
            <w:tcW w:w="241"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3311"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 September 30,</w:t>
            </w:r>
          </w:p>
        </w:tc>
        <w:tc>
          <w:tcPr>
            <w:tcW w:w="243" w:type="dxa"/>
            <w:tcBorders/>
            <w:shd w:fill="FFFFFF" w:val="clear"/>
            <w:vAlign w:val="center"/>
          </w:tcPr>
          <w:p>
            <w:pPr>
              <w:pStyle w:val="TableContents"/>
              <w:bidi w:val="0"/>
              <w:spacing w:before="0" w:after="283"/>
              <w:jc w:val="left"/>
            </w:pPr>
            <w:r>
              <w:t> </w:t>
            </w:r>
          </w:p>
        </w:tc>
      </w:tr>
      <w:tr>
        <w:tc>
          <w:tcPr>
            <w:tcW w:w="2979"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50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241"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50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241"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50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241"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50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243" w:type="dxa"/>
            <w:tcBorders/>
            <w:shd w:fill="FFFFFF" w:val="clear"/>
            <w:vAlign w:val="center"/>
          </w:tcPr>
          <w:p>
            <w:pPr>
              <w:pStyle w:val="TableContents"/>
              <w:bidi w:val="0"/>
              <w:spacing w:before="0" w:after="283"/>
              <w:jc w:val="left"/>
            </w:pPr>
            <w:r>
              <w:t> </w:t>
            </w:r>
          </w:p>
        </w:tc>
      </w:tr>
      <w:tr>
        <w:tc>
          <w:tcPr>
            <w:tcW w:w="297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 net</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269,875</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24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118,630</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24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612,942</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24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321,441</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24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297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goods sold</w:t>
            </w:r>
          </w:p>
        </w:tc>
        <w:tc>
          <w:tcPr>
            <w:tcW w:w="60" w:type="dxa"/>
            <w:tcBorders/>
            <w:shd w:fill="FFFFFF" w:val="clear"/>
            <w:vAlign w:val="center"/>
          </w:tcPr>
          <w:p>
            <w:pPr>
              <w:pStyle w:val="TableContents"/>
              <w:bidi w:val="0"/>
              <w:spacing w:before="0" w:after="283"/>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193,720</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71.8</w:t>
            </w:r>
          </w:p>
        </w:tc>
        <w:tc>
          <w:tcPr>
            <w:tcW w:w="24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85,367</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72.0</w:t>
            </w:r>
          </w:p>
        </w:tc>
        <w:tc>
          <w:tcPr>
            <w:tcW w:w="24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439,664</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71.7</w:t>
            </w:r>
          </w:p>
        </w:tc>
        <w:tc>
          <w:tcPr>
            <w:tcW w:w="24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226,472</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70.5</w:t>
            </w:r>
          </w:p>
        </w:tc>
        <w:tc>
          <w:tcPr>
            <w:tcW w:w="24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297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CCEEFF" w:val="clear"/>
            <w:vAlign w:val="center"/>
          </w:tcPr>
          <w:p>
            <w:pPr>
              <w:pStyle w:val="TableContents"/>
              <w:bidi w:val="0"/>
              <w:spacing w:before="0" w:after="283"/>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76,155</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28.2</w:t>
            </w:r>
          </w:p>
        </w:tc>
        <w:tc>
          <w:tcPr>
            <w:tcW w:w="24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33,263</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28.0</w:t>
            </w:r>
          </w:p>
        </w:tc>
        <w:tc>
          <w:tcPr>
            <w:tcW w:w="24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173,278</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28.3</w:t>
            </w:r>
          </w:p>
        </w:tc>
        <w:tc>
          <w:tcPr>
            <w:tcW w:w="24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94,969</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29.5</w:t>
            </w:r>
          </w:p>
        </w:tc>
        <w:tc>
          <w:tcPr>
            <w:tcW w:w="24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297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expenses</w:t>
            </w:r>
          </w:p>
        </w:tc>
        <w:tc>
          <w:tcPr>
            <w:tcW w:w="60" w:type="dxa"/>
            <w:tcBorders/>
            <w:shd w:fill="FFFFFF" w:val="clear"/>
            <w:vAlign w:val="center"/>
          </w:tcPr>
          <w:p>
            <w:pPr>
              <w:pStyle w:val="TableContents"/>
              <w:bidi w:val="0"/>
              <w:spacing w:before="0" w:after="283"/>
              <w:ind w:left="0" w:right="0" w:hanging="0"/>
              <w:jc w:val="left"/>
            </w:pPr>
            <w:r>
              <w:t> </w:t>
            </w:r>
          </w:p>
        </w:tc>
        <w:tc>
          <w:tcPr>
            <w:tcW w:w="820" w:type="dxa"/>
            <w:gridSpan w:val="2"/>
            <w:tcBorders/>
            <w:shd w:fill="FFFFFF" w:val="clear"/>
            <w:vAlign w:val="center"/>
          </w:tcPr>
          <w:p>
            <w:pPr>
              <w:pStyle w:val="TableContents"/>
              <w:bidi w:val="0"/>
              <w:spacing w:before="0" w:after="283"/>
              <w:jc w:val="right"/>
            </w:pPr>
            <w: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485" w:type="dxa"/>
            <w:tcBorders/>
            <w:shd w:fill="FFFFFF" w:val="clear"/>
            <w:vAlign w:val="center"/>
          </w:tcPr>
          <w:p>
            <w:pPr>
              <w:pStyle w:val="TableContents"/>
              <w:bidi w:val="0"/>
              <w:spacing w:before="0" w:after="283"/>
              <w:jc w:val="right"/>
            </w:pPr>
            <w:r>
              <w:t> </w:t>
            </w:r>
          </w:p>
        </w:tc>
        <w:tc>
          <w:tcPr>
            <w:tcW w:w="241"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820" w:type="dxa"/>
            <w:gridSpan w:val="2"/>
            <w:tcBorders/>
            <w:shd w:fill="FFFFFF" w:val="clear"/>
            <w:vAlign w:val="center"/>
          </w:tcPr>
          <w:p>
            <w:pPr>
              <w:pStyle w:val="TableContents"/>
              <w:bidi w:val="0"/>
              <w:spacing w:before="0" w:after="283"/>
              <w:jc w:val="right"/>
            </w:pPr>
            <w: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485" w:type="dxa"/>
            <w:tcBorders/>
            <w:shd w:fill="FFFFFF" w:val="clear"/>
            <w:vAlign w:val="center"/>
          </w:tcPr>
          <w:p>
            <w:pPr>
              <w:pStyle w:val="TableContents"/>
              <w:bidi w:val="0"/>
              <w:spacing w:before="0" w:after="283"/>
              <w:jc w:val="right"/>
            </w:pPr>
            <w:r>
              <w:t> </w:t>
            </w:r>
          </w:p>
        </w:tc>
        <w:tc>
          <w:tcPr>
            <w:tcW w:w="241"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695" w:type="dxa"/>
            <w:tcBorders/>
            <w:shd w:fill="FFFFFF" w:val="clear"/>
            <w:vAlign w:val="center"/>
          </w:tcPr>
          <w:p>
            <w:pPr>
              <w:pStyle w:val="TableContents"/>
              <w:bidi w:val="0"/>
              <w:spacing w:before="0" w:after="283"/>
              <w:jc w:val="right"/>
            </w:pPr>
            <w: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485" w:type="dxa"/>
            <w:tcBorders/>
            <w:shd w:fill="FFFFFF" w:val="clear"/>
            <w:vAlign w:val="center"/>
          </w:tcPr>
          <w:p>
            <w:pPr>
              <w:pStyle w:val="TableContents"/>
              <w:bidi w:val="0"/>
              <w:spacing w:before="0" w:after="283"/>
              <w:jc w:val="right"/>
            </w:pPr>
            <w:r>
              <w:t> </w:t>
            </w:r>
          </w:p>
        </w:tc>
        <w:tc>
          <w:tcPr>
            <w:tcW w:w="241"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695" w:type="dxa"/>
            <w:tcBorders/>
            <w:shd w:fill="FFFFFF" w:val="clear"/>
            <w:vAlign w:val="center"/>
          </w:tcPr>
          <w:p>
            <w:pPr>
              <w:pStyle w:val="TableContents"/>
              <w:bidi w:val="0"/>
              <w:spacing w:before="0" w:after="283"/>
              <w:jc w:val="right"/>
            </w:pPr>
            <w: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485" w:type="dxa"/>
            <w:tcBorders/>
            <w:shd w:fill="FFFFFF" w:val="clear"/>
            <w:vAlign w:val="center"/>
          </w:tcPr>
          <w:p>
            <w:pPr>
              <w:pStyle w:val="TableContents"/>
              <w:bidi w:val="0"/>
              <w:spacing w:before="0" w:after="283"/>
              <w:jc w:val="right"/>
            </w:pPr>
            <w:r>
              <w:t> </w:t>
            </w:r>
          </w:p>
        </w:tc>
        <w:tc>
          <w:tcPr>
            <w:tcW w:w="243" w:type="dxa"/>
            <w:tcBorders/>
            <w:shd w:fill="FFFFFF" w:val="clear"/>
            <w:vAlign w:val="center"/>
          </w:tcPr>
          <w:p>
            <w:pPr>
              <w:pStyle w:val="TableContents"/>
              <w:bidi w:val="0"/>
              <w:spacing w:before="0" w:after="283"/>
              <w:jc w:val="left"/>
            </w:pPr>
            <w:r>
              <w:t> </w:t>
            </w:r>
          </w:p>
        </w:tc>
      </w:tr>
      <w:tr>
        <w:tc>
          <w:tcPr>
            <w:tcW w:w="297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38,109</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w:t>
            </w:r>
          </w:p>
        </w:tc>
        <w:tc>
          <w:tcPr>
            <w:tcW w:w="24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21,265</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w:t>
            </w:r>
          </w:p>
        </w:tc>
        <w:tc>
          <w:tcPr>
            <w:tcW w:w="24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98,636</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w:t>
            </w:r>
          </w:p>
        </w:tc>
        <w:tc>
          <w:tcPr>
            <w:tcW w:w="24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59,687</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w:t>
            </w:r>
          </w:p>
        </w:tc>
        <w:tc>
          <w:tcPr>
            <w:tcW w:w="24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297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and marketing</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7,875</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w:t>
            </w:r>
          </w:p>
        </w:tc>
        <w:tc>
          <w:tcPr>
            <w:tcW w:w="24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9,871</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w:t>
            </w:r>
          </w:p>
        </w:tc>
        <w:tc>
          <w:tcPr>
            <w:tcW w:w="24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25,712</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w:t>
            </w:r>
          </w:p>
        </w:tc>
        <w:tc>
          <w:tcPr>
            <w:tcW w:w="24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23,363</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w:t>
            </w:r>
          </w:p>
        </w:tc>
        <w:tc>
          <w:tcPr>
            <w:tcW w:w="24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297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p>
        </w:tc>
        <w:tc>
          <w:tcPr>
            <w:tcW w:w="60" w:type="dxa"/>
            <w:tcBorders/>
            <w:shd w:fill="CCEEFF" w:val="clear"/>
            <w:vAlign w:val="center"/>
          </w:tcPr>
          <w:p>
            <w:pPr>
              <w:pStyle w:val="TableContents"/>
              <w:bidi w:val="0"/>
              <w:spacing w:before="0" w:after="283"/>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31,613</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w:t>
            </w:r>
          </w:p>
        </w:tc>
        <w:tc>
          <w:tcPr>
            <w:tcW w:w="24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20,314</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w:t>
            </w:r>
          </w:p>
        </w:tc>
        <w:tc>
          <w:tcPr>
            <w:tcW w:w="24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88,090</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w:t>
            </w:r>
          </w:p>
        </w:tc>
        <w:tc>
          <w:tcPr>
            <w:tcW w:w="24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55,020</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w:t>
            </w:r>
          </w:p>
        </w:tc>
        <w:tc>
          <w:tcPr>
            <w:tcW w:w="24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297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p>
        </w:tc>
        <w:tc>
          <w:tcPr>
            <w:tcW w:w="60" w:type="dxa"/>
            <w:tcBorders/>
            <w:shd w:fill="FFFFFF" w:val="clear"/>
            <w:vAlign w:val="center"/>
          </w:tcPr>
          <w:p>
            <w:pPr>
              <w:pStyle w:val="TableContents"/>
              <w:bidi w:val="0"/>
              <w:spacing w:before="0" w:after="283"/>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77,597</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28.7</w:t>
            </w:r>
          </w:p>
        </w:tc>
        <w:tc>
          <w:tcPr>
            <w:tcW w:w="24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51,450</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43.3</w:t>
            </w:r>
          </w:p>
        </w:tc>
        <w:tc>
          <w:tcPr>
            <w:tcW w:w="24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212,438</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34.7</w:t>
            </w:r>
          </w:p>
        </w:tc>
        <w:tc>
          <w:tcPr>
            <w:tcW w:w="24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138,070</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43.0</w:t>
            </w:r>
          </w:p>
        </w:tc>
        <w:tc>
          <w:tcPr>
            <w:tcW w:w="24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297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from operations</w:t>
            </w:r>
          </w:p>
        </w:tc>
        <w:tc>
          <w:tcPr>
            <w:tcW w:w="60" w:type="dxa"/>
            <w:tcBorders/>
            <w:shd w:fill="CCEEFF" w:val="clear"/>
            <w:vAlign w:val="center"/>
          </w:tcPr>
          <w:p>
            <w:pPr>
              <w:pStyle w:val="TableContents"/>
              <w:bidi w:val="0"/>
              <w:spacing w:before="0" w:after="283"/>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w:t>
            </w:r>
          </w:p>
        </w:tc>
        <w:tc>
          <w:tcPr>
            <w:tcW w:w="24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(18,187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w:t>
            </w:r>
          </w:p>
        </w:tc>
        <w:tc>
          <w:tcPr>
            <w:tcW w:w="24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(39,160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w:t>
            </w:r>
          </w:p>
        </w:tc>
        <w:tc>
          <w:tcPr>
            <w:tcW w:w="24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(43,101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w:t>
            </w:r>
          </w:p>
        </w:tc>
        <w:tc>
          <w:tcPr>
            <w:tcW w:w="24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297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(expense)</w:t>
            </w:r>
          </w:p>
        </w:tc>
        <w:tc>
          <w:tcPr>
            <w:tcW w:w="60" w:type="dxa"/>
            <w:tcBorders/>
            <w:shd w:fill="FFFFFF" w:val="clear"/>
            <w:vAlign w:val="center"/>
          </w:tcPr>
          <w:p>
            <w:pPr>
              <w:pStyle w:val="TableContents"/>
              <w:bidi w:val="0"/>
              <w:spacing w:before="0" w:after="283"/>
              <w:ind w:left="0" w:right="0" w:hanging="0"/>
              <w:jc w:val="left"/>
            </w:pPr>
            <w:r>
              <w:t> </w:t>
            </w:r>
          </w:p>
        </w:tc>
        <w:tc>
          <w:tcPr>
            <w:tcW w:w="820" w:type="dxa"/>
            <w:gridSpan w:val="2"/>
            <w:tcBorders/>
            <w:shd w:fill="FFFFFF" w:val="clear"/>
            <w:vAlign w:val="center"/>
          </w:tcPr>
          <w:p>
            <w:pPr>
              <w:pStyle w:val="TableContents"/>
              <w:bidi w:val="0"/>
              <w:spacing w:before="0" w:after="283"/>
              <w:jc w:val="right"/>
            </w:pPr>
            <w: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485" w:type="dxa"/>
            <w:tcBorders/>
            <w:shd w:fill="FFFFFF" w:val="clear"/>
            <w:vAlign w:val="center"/>
          </w:tcPr>
          <w:p>
            <w:pPr>
              <w:pStyle w:val="TableContents"/>
              <w:bidi w:val="0"/>
              <w:spacing w:before="0" w:after="283"/>
              <w:jc w:val="right"/>
            </w:pPr>
            <w:r>
              <w:t> </w:t>
            </w:r>
          </w:p>
        </w:tc>
        <w:tc>
          <w:tcPr>
            <w:tcW w:w="241"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820" w:type="dxa"/>
            <w:gridSpan w:val="2"/>
            <w:tcBorders/>
            <w:shd w:fill="FFFFFF" w:val="clear"/>
            <w:vAlign w:val="center"/>
          </w:tcPr>
          <w:p>
            <w:pPr>
              <w:pStyle w:val="TableContents"/>
              <w:bidi w:val="0"/>
              <w:spacing w:before="0" w:after="283"/>
              <w:jc w:val="right"/>
            </w:pPr>
            <w: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485" w:type="dxa"/>
            <w:tcBorders/>
            <w:shd w:fill="FFFFFF" w:val="clear"/>
            <w:vAlign w:val="center"/>
          </w:tcPr>
          <w:p>
            <w:pPr>
              <w:pStyle w:val="TableContents"/>
              <w:bidi w:val="0"/>
              <w:spacing w:before="0" w:after="283"/>
              <w:jc w:val="right"/>
            </w:pPr>
            <w:r>
              <w:t> </w:t>
            </w:r>
          </w:p>
        </w:tc>
        <w:tc>
          <w:tcPr>
            <w:tcW w:w="241"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695" w:type="dxa"/>
            <w:tcBorders/>
            <w:shd w:fill="FFFFFF" w:val="clear"/>
            <w:vAlign w:val="center"/>
          </w:tcPr>
          <w:p>
            <w:pPr>
              <w:pStyle w:val="TableContents"/>
              <w:bidi w:val="0"/>
              <w:spacing w:before="0" w:after="283"/>
              <w:jc w:val="right"/>
            </w:pPr>
            <w: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485" w:type="dxa"/>
            <w:tcBorders/>
            <w:shd w:fill="FFFFFF" w:val="clear"/>
            <w:vAlign w:val="center"/>
          </w:tcPr>
          <w:p>
            <w:pPr>
              <w:pStyle w:val="TableContents"/>
              <w:bidi w:val="0"/>
              <w:spacing w:before="0" w:after="283"/>
              <w:jc w:val="right"/>
            </w:pPr>
            <w:r>
              <w:t> </w:t>
            </w:r>
          </w:p>
        </w:tc>
        <w:tc>
          <w:tcPr>
            <w:tcW w:w="241"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695" w:type="dxa"/>
            <w:tcBorders/>
            <w:shd w:fill="FFFFFF" w:val="clear"/>
            <w:vAlign w:val="center"/>
          </w:tcPr>
          <w:p>
            <w:pPr>
              <w:pStyle w:val="TableContents"/>
              <w:bidi w:val="0"/>
              <w:spacing w:before="0" w:after="283"/>
              <w:jc w:val="right"/>
            </w:pPr>
            <w: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485" w:type="dxa"/>
            <w:tcBorders/>
            <w:shd w:fill="FFFFFF" w:val="clear"/>
            <w:vAlign w:val="center"/>
          </w:tcPr>
          <w:p>
            <w:pPr>
              <w:pStyle w:val="TableContents"/>
              <w:bidi w:val="0"/>
              <w:spacing w:before="0" w:after="283"/>
              <w:jc w:val="right"/>
            </w:pPr>
            <w:r>
              <w:t> </w:t>
            </w:r>
          </w:p>
        </w:tc>
        <w:tc>
          <w:tcPr>
            <w:tcW w:w="243" w:type="dxa"/>
            <w:tcBorders/>
            <w:shd w:fill="FFFFFF" w:val="clear"/>
            <w:vAlign w:val="center"/>
          </w:tcPr>
          <w:p>
            <w:pPr>
              <w:pStyle w:val="TableContents"/>
              <w:bidi w:val="0"/>
              <w:spacing w:before="0" w:after="283"/>
              <w:jc w:val="left"/>
            </w:pPr>
            <w:r>
              <w:t> </w:t>
            </w:r>
          </w:p>
        </w:tc>
      </w:tr>
      <w:tr>
        <w:tc>
          <w:tcPr>
            <w:tcW w:w="297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3,094</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24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451</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w:t>
            </w:r>
          </w:p>
        </w:tc>
        <w:tc>
          <w:tcPr>
            <w:tcW w:w="24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8,079</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24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961</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w:t>
            </w:r>
          </w:p>
        </w:tc>
        <w:tc>
          <w:tcPr>
            <w:tcW w:w="24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297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w:t>
            </w:r>
          </w:p>
        </w:tc>
        <w:tc>
          <w:tcPr>
            <w:tcW w:w="24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(0.8</w:t>
            </w:r>
          </w:p>
        </w:tc>
        <w:tc>
          <w:tcPr>
            <w:tcW w:w="24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(3,011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w:t>
            </w:r>
          </w:p>
        </w:tc>
        <w:tc>
          <w:tcPr>
            <w:tcW w:w="24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(2,653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(0.8</w:t>
            </w:r>
          </w:p>
        </w:tc>
        <w:tc>
          <w:tcPr>
            <w:tcW w:w="24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297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net</w:t>
            </w:r>
          </w:p>
        </w:tc>
        <w:tc>
          <w:tcPr>
            <w:tcW w:w="60" w:type="dxa"/>
            <w:tcBorders/>
            <w:shd w:fill="CCEEFF" w:val="clear"/>
            <w:vAlign w:val="center"/>
          </w:tcPr>
          <w:p>
            <w:pPr>
              <w:pStyle w:val="TableContents"/>
              <w:bidi w:val="0"/>
              <w:spacing w:before="0" w:after="283"/>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8,228</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24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702</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w:t>
            </w:r>
          </w:p>
        </w:tc>
        <w:tc>
          <w:tcPr>
            <w:tcW w:w="24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8,027</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24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8,587</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w:t>
            </w:r>
          </w:p>
        </w:tc>
        <w:tc>
          <w:tcPr>
            <w:tcW w:w="24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297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income (expense), net</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10,101</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w:t>
            </w:r>
          </w:p>
        </w:tc>
        <w:tc>
          <w:tcPr>
            <w:tcW w:w="24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w:t>
            </w:r>
          </w:p>
        </w:tc>
        <w:tc>
          <w:tcPr>
            <w:tcW w:w="24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13,095</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24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6,895</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w:t>
            </w:r>
          </w:p>
        </w:tc>
        <w:tc>
          <w:tcPr>
            <w:tcW w:w="24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297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 before income taxes</w:t>
            </w:r>
          </w:p>
        </w:tc>
        <w:tc>
          <w:tcPr>
            <w:tcW w:w="60" w:type="dxa"/>
            <w:tcBorders/>
            <w:shd w:fill="CCEEFF" w:val="clear"/>
            <w:vAlign w:val="center"/>
          </w:tcPr>
          <w:p>
            <w:pPr>
              <w:pStyle w:val="TableContents"/>
              <w:bidi w:val="0"/>
              <w:spacing w:before="0" w:after="283"/>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8,659</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w:t>
            </w:r>
          </w:p>
        </w:tc>
        <w:tc>
          <w:tcPr>
            <w:tcW w:w="24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(17,936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w:t>
            </w:r>
          </w:p>
        </w:tc>
        <w:tc>
          <w:tcPr>
            <w:tcW w:w="24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(26,065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w:t>
            </w:r>
          </w:p>
        </w:tc>
        <w:tc>
          <w:tcPr>
            <w:tcW w:w="24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(36,206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w:t>
            </w:r>
          </w:p>
        </w:tc>
        <w:tc>
          <w:tcPr>
            <w:tcW w:w="24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c>
          <w:tcPr>
            <w:tcW w:w="297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expense</w:t>
            </w:r>
          </w:p>
        </w:tc>
        <w:tc>
          <w:tcPr>
            <w:tcW w:w="60" w:type="dxa"/>
            <w:tcBorders/>
            <w:shd w:fill="FFFFFF" w:val="clear"/>
            <w:vAlign w:val="center"/>
          </w:tcPr>
          <w:p>
            <w:pPr>
              <w:pStyle w:val="TableContents"/>
              <w:bidi w:val="0"/>
              <w:spacing w:before="0" w:after="0"/>
              <w:ind w:left="0" w:right="0" w:hanging="0"/>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(2,359</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pPr>
            <w: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48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w:t>
            </w:r>
          </w:p>
        </w:tc>
        <w:tc>
          <w:tcPr>
            <w:tcW w:w="241"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pPr>
            <w:r>
              <w:t>—</w:t>
            </w:r>
          </w:p>
        </w:tc>
        <w:tc>
          <w:tcPr>
            <w:tcW w:w="80" w:type="dxa"/>
            <w:tcBorders/>
            <w:shd w:fill="FFFFFF" w:val="clear"/>
            <w:vAlign w:val="center"/>
          </w:tcPr>
          <w:p>
            <w:pPr>
              <w:pStyle w:val="TableContents"/>
              <w:bidi w:val="0"/>
              <w:spacing w:before="0" w:after="0"/>
              <w:ind w:left="0" w:right="0" w:hanging="0"/>
              <w:jc w:val="left"/>
            </w:pPr>
            <w:r>
              <w:t> </w:t>
            </w:r>
          </w:p>
        </w:tc>
        <w:tc>
          <w:tcPr>
            <w:tcW w:w="60" w:type="dxa"/>
            <w:tcBorders/>
            <w:shd w:fill="FFFFFF" w:val="clear"/>
            <w:vAlign w:val="center"/>
          </w:tcPr>
          <w:p>
            <w:pPr>
              <w:pStyle w:val="TableContents"/>
              <w:bidi w:val="0"/>
              <w:spacing w:before="0" w:after="0"/>
              <w:ind w:left="0" w:right="0" w:hanging="0"/>
              <w:jc w:val="left"/>
            </w:pPr>
            <w: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48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pPr>
            <w:r>
              <w:t>—</w:t>
            </w:r>
          </w:p>
        </w:tc>
        <w:tc>
          <w:tcPr>
            <w:tcW w:w="241"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(4,697</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pPr>
            <w: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48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w:t>
            </w:r>
          </w:p>
        </w:tc>
        <w:tc>
          <w:tcPr>
            <w:tcW w:w="241"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pPr>
            <w:r>
              <w:t>—</w:t>
            </w:r>
          </w:p>
        </w:tc>
        <w:tc>
          <w:tcPr>
            <w:tcW w:w="80" w:type="dxa"/>
            <w:tcBorders/>
            <w:shd w:fill="FFFFFF" w:val="clear"/>
            <w:vAlign w:val="center"/>
          </w:tcPr>
          <w:p>
            <w:pPr>
              <w:pStyle w:val="TableContents"/>
              <w:bidi w:val="0"/>
              <w:spacing w:before="0" w:after="0"/>
              <w:ind w:left="0" w:right="0" w:hanging="0"/>
              <w:jc w:val="left"/>
            </w:pPr>
            <w:r>
              <w:t> </w:t>
            </w:r>
          </w:p>
        </w:tc>
        <w:tc>
          <w:tcPr>
            <w:tcW w:w="60" w:type="dxa"/>
            <w:tcBorders/>
            <w:shd w:fill="FFFFFF" w:val="clear"/>
            <w:vAlign w:val="center"/>
          </w:tcPr>
          <w:p>
            <w:pPr>
              <w:pStyle w:val="TableContents"/>
              <w:bidi w:val="0"/>
              <w:spacing w:before="0" w:after="0"/>
              <w:ind w:left="0" w:right="0" w:hanging="0"/>
              <w:jc w:val="left"/>
            </w:pPr>
            <w: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48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pPr>
            <w:r>
              <w:t>—</w:t>
            </w:r>
          </w:p>
        </w:tc>
        <w:tc>
          <w:tcPr>
            <w:tcW w:w="243"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c>
          <w:tcPr>
            <w:tcW w:w="297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6,300</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pPr>
            <w:r>
              <w:t> </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w:t>
            </w:r>
          </w:p>
        </w:tc>
        <w:tc>
          <w:tcPr>
            <w:tcW w:w="24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(17,936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pPr>
            <w:r>
              <w:t> </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w:t>
            </w:r>
          </w:p>
        </w:tc>
        <w:tc>
          <w:tcPr>
            <w:tcW w:w="24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(30,762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pPr>
            <w:r>
              <w:t> </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w:t>
            </w:r>
          </w:p>
        </w:tc>
        <w:tc>
          <w:tcPr>
            <w:tcW w:w="24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(36,206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pPr>
            <w:r>
              <w:t> </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w:t>
            </w:r>
          </w:p>
        </w:tc>
        <w:tc>
          <w:tcPr>
            <w:tcW w:w="24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720"/>
        <w:jc w:val="left"/>
      </w:pPr>
      <w: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24 </w:t>
      </w:r>
    </w:p>
    <w:p>
      <w:pPr>
        <w:pStyle w:val="HorizontalLine"/>
        <w:pBdr>
          <w:bottom w:val="double" w:sz="2" w:space="0" w:color="808080"/>
        </w:pBdr>
        <w:bidi w:val="0"/>
        <w:spacing w:before="0" w:after="283"/>
        <w:jc w:val="left"/>
      </w:pPr>
      <w:r/>
    </w:p>
    <w:p>
      <w:pPr>
        <w:pStyle w:val="TextBody"/>
        <w:bidi w:val="0"/>
        <w:jc w:val="left"/>
      </w:pPr>
      <w:hyperlink w:anchor="toc">
        <w:r>
          <w:rPr>
            <w:rStyle w:val="InternetLink"/>
            <w:rFonts w:ascii="Times New Roman;Times;serif" w:hAnsi="Times New Roman;Times;serif"/>
            <w:sz w:val="20"/>
          </w:rPr>
          <w:t>Table of Contents</w:t>
        </w:r>
      </w:hyperlink>
      <w:r>
        <w:t xml:space="preserve"> </w:t>
      </w:r>
    </w:p>
    <w:p>
      <w:pPr>
        <w:pStyle w:val="TextBody"/>
        <w:bidi w:val="0"/>
        <w:spacing w:before="0" w:after="0"/>
        <w:ind w:left="0" w:right="0" w:hanging="0"/>
        <w:jc w:val="left"/>
      </w:pPr>
      <w: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Comparison of Financial Results</w:t>
      </w:r>
    </w:p>
    <w:p>
      <w:pPr>
        <w:pStyle w:val="TextBody"/>
        <w:bidi w:val="0"/>
        <w:spacing w:before="0" w:after="0"/>
        <w:ind w:left="0" w:right="0" w:hanging="0"/>
        <w:jc w:val="left"/>
      </w:pPr>
      <w: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Revenue </w:t>
      </w:r>
    </w:p>
    <w:p>
      <w:pPr>
        <w:pStyle w:val="TextBody"/>
        <w:bidi w:val="0"/>
        <w:spacing w:before="0" w:after="0"/>
        <w:ind w:left="0" w:right="0" w:firstLine="720"/>
        <w:jc w:val="left"/>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generate revenue through the sale of our products to equipment providers and network operators for the internet data center, CATV, telecom, FTTH and other markets. We derive a significant portion of our revenue from our top ten customers, and we anticipate that we will continue to do so for the foreseeable future. The following charts provide the revenue contribution from each of the markets we served for the three months and nine months ended September 30, 2026 and 2025 (in thousands, except percentages):</w:t>
      </w:r>
    </w:p>
    <w:p>
      <w:pPr>
        <w:pStyle w:val="TextBody"/>
        <w:bidi w:val="0"/>
        <w:spacing w:before="0" w:after="0"/>
        <w:ind w:left="0" w:right="0" w:firstLine="720"/>
        <w:jc w:val="left"/>
      </w:pPr>
      <w:r>
        <w:t> </w:t>
      </w:r>
    </w:p>
    <w:tbl>
      <w:tblPr>
        <w:tblW w:w="7000" w:type="dxa"/>
        <w:jc w:val="left"/>
        <w:tblInd w:w="0" w:type="dxa"/>
        <w:tblLayout w:type="fixed"/>
        <w:tblCellMar>
          <w:top w:w="0" w:type="dxa"/>
          <w:left w:w="0" w:type="dxa"/>
          <w:bottom w:w="0" w:type="dxa"/>
          <w:right w:w="0" w:type="dxa"/>
        </w:tblCellMar>
      </w:tblPr>
      <w:tblGrid>
        <w:gridCol w:w="1340"/>
        <w:gridCol w:w="60"/>
        <w:gridCol w:w="125"/>
        <w:gridCol w:w="695"/>
        <w:gridCol w:w="60"/>
        <w:gridCol w:w="60"/>
        <w:gridCol w:w="81"/>
        <w:gridCol w:w="659"/>
        <w:gridCol w:w="185"/>
        <w:gridCol w:w="60"/>
        <w:gridCol w:w="125"/>
        <w:gridCol w:w="695"/>
        <w:gridCol w:w="60"/>
        <w:gridCol w:w="60"/>
        <w:gridCol w:w="81"/>
        <w:gridCol w:w="659"/>
        <w:gridCol w:w="185"/>
        <w:gridCol w:w="60"/>
        <w:gridCol w:w="125"/>
        <w:gridCol w:w="695"/>
        <w:gridCol w:w="80"/>
        <w:gridCol w:w="60"/>
        <w:gridCol w:w="60"/>
        <w:gridCol w:w="485"/>
        <w:gridCol w:w="245"/>
      </w:tblGrid>
      <w:tr>
        <w:tc>
          <w:tcPr>
            <w:tcW w:w="134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3605"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September 30,</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695" w:type="dxa"/>
            <w:tcBorders/>
            <w:shd w:fill="FFFFFF" w:val="clear"/>
            <w:vAlign w:val="center"/>
          </w:tcPr>
          <w:p>
            <w:pPr>
              <w:pStyle w:val="TableContents"/>
              <w:bidi w:val="0"/>
              <w:spacing w:before="0" w:after="283"/>
              <w:jc w:val="center"/>
            </w:pPr>
            <w: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485" w:type="dxa"/>
            <w:tcBorders/>
            <w:shd w:fill="FFFFFF" w:val="clear"/>
            <w:vAlign w:val="center"/>
          </w:tcPr>
          <w:p>
            <w:pPr>
              <w:pStyle w:val="TableContents"/>
              <w:bidi w:val="0"/>
              <w:spacing w:before="0" w:after="283"/>
              <w:jc w:val="center"/>
            </w:pPr>
            <w:r>
              <w:t> </w:t>
            </w:r>
          </w:p>
        </w:tc>
        <w:tc>
          <w:tcPr>
            <w:tcW w:w="245" w:type="dxa"/>
            <w:tcBorders/>
            <w:shd w:fill="FFFFFF" w:val="clear"/>
            <w:vAlign w:val="center"/>
          </w:tcPr>
          <w:p>
            <w:pPr>
              <w:pStyle w:val="TableContents"/>
              <w:bidi w:val="0"/>
              <w:spacing w:before="0" w:after="283"/>
              <w:jc w:val="left"/>
            </w:pPr>
            <w:r>
              <w:t> </w:t>
            </w:r>
          </w:p>
        </w:tc>
      </w:tr>
      <w:tr>
        <w:tc>
          <w:tcPr>
            <w:tcW w:w="134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68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68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50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245" w:type="dxa"/>
            <w:tcBorders/>
            <w:shd w:fill="FFFFFF" w:val="clear"/>
            <w:vAlign w:val="center"/>
          </w:tcPr>
          <w:p>
            <w:pPr>
              <w:pStyle w:val="TableContents"/>
              <w:bidi w:val="0"/>
              <w:spacing w:before="0" w:after="283"/>
              <w:jc w:val="left"/>
            </w:pPr>
            <w:r>
              <w:t> </w:t>
            </w:r>
          </w:p>
        </w:tc>
      </w:tr>
      <w:tr>
        <w:tc>
          <w:tcPr>
            <w:tcW w:w="134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695" w:type="dxa"/>
            <w:tcBorders/>
            <w:shd w:fill="FFFFFF" w:val="clear"/>
            <w:vAlign w:val="center"/>
          </w:tcPr>
          <w:p>
            <w:pPr>
              <w:pStyle w:val="TableContents"/>
              <w:bidi w:val="0"/>
              <w:spacing w:before="0" w:after="283"/>
              <w:jc w:val="center"/>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4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695" w:type="dxa"/>
            <w:tcBorders/>
            <w:shd w:fill="FFFFFF" w:val="clear"/>
            <w:vAlign w:val="center"/>
          </w:tcPr>
          <w:p>
            <w:pPr>
              <w:pStyle w:val="TableContents"/>
              <w:bidi w:val="0"/>
              <w:spacing w:before="0" w:after="283"/>
              <w:jc w:val="center"/>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4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820" w:type="dxa"/>
            <w:gridSpan w:val="2"/>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545" w:type="dxa"/>
            <w:gridSpan w:val="2"/>
            <w:tcBorders/>
            <w:shd w:fill="FFFFFF" w:val="clear"/>
            <w:vAlign w:val="center"/>
          </w:tcPr>
          <w:p>
            <w:pPr>
              <w:pStyle w:val="TableContents"/>
              <w:bidi w:val="0"/>
              <w:spacing w:before="0" w:after="283"/>
              <w:jc w:val="left"/>
            </w:pPr>
            <w:r>
              <w:t> </w:t>
            </w:r>
          </w:p>
        </w:tc>
        <w:tc>
          <w:tcPr>
            <w:tcW w:w="245" w:type="dxa"/>
            <w:tcBorders/>
            <w:shd w:fill="FFFFFF" w:val="clear"/>
            <w:vAlign w:val="center"/>
          </w:tcPr>
          <w:p>
            <w:pPr>
              <w:pStyle w:val="TableContents"/>
              <w:bidi w:val="0"/>
              <w:spacing w:before="0" w:after="283"/>
              <w:jc w:val="left"/>
            </w:pPr>
            <w:r>
              <w:t> </w:t>
            </w:r>
          </w:p>
        </w:tc>
      </w:tr>
      <w:tr>
        <w:tc>
          <w:tcPr>
            <w:tcW w:w="134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5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
            </w:r>
          </w:p>
        </w:tc>
        <w:tc>
          <w:tcPr>
            <w:tcW w:w="245" w:type="dxa"/>
            <w:tcBorders/>
            <w:shd w:fill="FFFFFF" w:val="clear"/>
            <w:vAlign w:val="center"/>
          </w:tcPr>
          <w:p>
            <w:pPr>
              <w:pStyle w:val="TableContents"/>
              <w:bidi w:val="0"/>
              <w:spacing w:before="0" w:after="283"/>
              <w:jc w:val="left"/>
            </w:pPr>
            <w:r>
              <w:t> </w:t>
            </w:r>
          </w:p>
        </w:tc>
      </w:tr>
      <w:tr>
        <w:tc>
          <w:tcPr>
            <w:tcW w:w="134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5355" w:type="dxa"/>
            <w:gridSpan w:val="2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 except percentages)</w:t>
            </w:r>
          </w:p>
        </w:tc>
        <w:tc>
          <w:tcPr>
            <w:tcW w:w="245" w:type="dxa"/>
            <w:tcBorders/>
            <w:shd w:fill="FFFFFF" w:val="clear"/>
            <w:vAlign w:val="center"/>
          </w:tcPr>
          <w:p>
            <w:pPr>
              <w:pStyle w:val="TableContents"/>
              <w:bidi w:val="0"/>
              <w:spacing w:before="0" w:after="283"/>
              <w:jc w:val="left"/>
            </w:pPr>
            <w:r>
              <w:t> </w:t>
            </w:r>
          </w:p>
        </w:tc>
      </w:tr>
      <w:tr>
        <w:tc>
          <w:tcPr>
            <w:tcW w:w="13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Data Center</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155,609</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81" w:type="dxa"/>
            <w:tcBorders/>
            <w:shd w:fill="CCEEFF" w:val="clear"/>
            <w:vAlign w:val="center"/>
          </w:tcPr>
          <w:p>
            <w:pPr>
              <w:pStyle w:val="TableContents"/>
              <w:bidi w:val="0"/>
              <w:spacing w:before="0" w:after="283"/>
              <w:ind w:left="0" w:right="0" w:hanging="0"/>
              <w:jc w:val="left"/>
            </w:pPr>
            <w:r>
              <w:t> </w:t>
            </w:r>
          </w:p>
        </w:tc>
        <w:tc>
          <w:tcPr>
            <w:tcW w:w="6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43,935</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81" w:type="dxa"/>
            <w:tcBorders/>
            <w:shd w:fill="CCEEFF" w:val="clear"/>
            <w:vAlign w:val="center"/>
          </w:tcPr>
          <w:p>
            <w:pPr>
              <w:pStyle w:val="TableContents"/>
              <w:bidi w:val="0"/>
              <w:spacing w:before="0" w:after="283"/>
              <w:ind w:left="0" w:right="0" w:hanging="0"/>
              <w:jc w:val="left"/>
            </w:pPr>
            <w:r>
              <w:t> </w:t>
            </w:r>
          </w:p>
        </w:tc>
        <w:tc>
          <w:tcPr>
            <w:tcW w:w="6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111,674</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254.2</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13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CATV</w:t>
            </w:r>
          </w:p>
        </w:tc>
        <w:tc>
          <w:tcPr>
            <w:tcW w:w="60" w:type="dxa"/>
            <w:tcBorders/>
            <w:shd w:fill="FFFFFF" w:val="clear"/>
            <w:vAlign w:val="center"/>
          </w:tcPr>
          <w:p>
            <w:pPr>
              <w:pStyle w:val="TableContents"/>
              <w:bidi w:val="0"/>
              <w:spacing w:before="0" w:after="283"/>
              <w:ind w:left="0" w:right="0" w:hanging="0"/>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110,879</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81" w:type="dxa"/>
            <w:tcBorders/>
            <w:shd w:fill="FFFFFF" w:val="clear"/>
            <w:vAlign w:val="center"/>
          </w:tcPr>
          <w:p>
            <w:pPr>
              <w:pStyle w:val="TableContents"/>
              <w:bidi w:val="0"/>
              <w:spacing w:before="0" w:after="283"/>
              <w:ind w:left="0" w:right="0" w:hanging="0"/>
              <w:jc w:val="left"/>
            </w:pPr>
            <w:r>
              <w:t> </w:t>
            </w:r>
          </w:p>
        </w:tc>
        <w:tc>
          <w:tcPr>
            <w:tcW w:w="6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41.1</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70,602</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81" w:type="dxa"/>
            <w:tcBorders/>
            <w:shd w:fill="FFFFFF" w:val="clear"/>
            <w:vAlign w:val="center"/>
          </w:tcPr>
          <w:p>
            <w:pPr>
              <w:pStyle w:val="TableContents"/>
              <w:bidi w:val="0"/>
              <w:spacing w:before="0" w:after="283"/>
              <w:ind w:left="0" w:right="0" w:hanging="0"/>
              <w:jc w:val="left"/>
            </w:pPr>
            <w:r>
              <w:t> </w:t>
            </w:r>
          </w:p>
        </w:tc>
        <w:tc>
          <w:tcPr>
            <w:tcW w:w="6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40,277</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57.0</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13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Telecom</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2,727</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81" w:type="dxa"/>
            <w:tcBorders/>
            <w:shd w:fill="CCEEFF" w:val="clear"/>
            <w:vAlign w:val="center"/>
          </w:tcPr>
          <w:p>
            <w:pPr>
              <w:pStyle w:val="TableContents"/>
              <w:bidi w:val="0"/>
              <w:spacing w:before="0" w:after="283"/>
              <w:ind w:left="0" w:right="0" w:hanging="0"/>
              <w:jc w:val="left"/>
            </w:pPr>
            <w:r>
              <w:t> </w:t>
            </w:r>
          </w:p>
        </w:tc>
        <w:tc>
          <w:tcPr>
            <w:tcW w:w="6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3,742</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81" w:type="dxa"/>
            <w:tcBorders/>
            <w:shd w:fill="CCEEFF" w:val="clear"/>
            <w:vAlign w:val="center"/>
          </w:tcPr>
          <w:p>
            <w:pPr>
              <w:pStyle w:val="TableContents"/>
              <w:bidi w:val="0"/>
              <w:spacing w:before="0" w:after="283"/>
              <w:ind w:left="0" w:right="0" w:hanging="0"/>
              <w:jc w:val="left"/>
            </w:pPr>
            <w:r>
              <w:t> </w:t>
            </w:r>
          </w:p>
        </w:tc>
        <w:tc>
          <w:tcPr>
            <w:tcW w:w="6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(27.1</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13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FTTH and Other</w:t>
            </w:r>
          </w:p>
        </w:tc>
        <w:tc>
          <w:tcPr>
            <w:tcW w:w="60" w:type="dxa"/>
            <w:tcBorders/>
            <w:shd w:fill="FFFFFF" w:val="clear"/>
            <w:vAlign w:val="center"/>
          </w:tcPr>
          <w:p>
            <w:pPr>
              <w:pStyle w:val="TableContents"/>
              <w:bidi w:val="0"/>
              <w:spacing w:before="0" w:after="283"/>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660</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6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351</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6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309</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88.0</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134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Revenue</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269,875</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8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pPr>
            <w:r>
              <w:t> </w:t>
            </w:r>
          </w:p>
        </w:tc>
        <w:tc>
          <w:tcPr>
            <w:tcW w:w="65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118,630</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8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pPr>
            <w:r>
              <w:t> </w:t>
            </w:r>
          </w:p>
        </w:tc>
        <w:tc>
          <w:tcPr>
            <w:tcW w:w="65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151,245</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pPr>
            <w:r>
              <w:t> </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127.5</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720"/>
        <w:jc w:val="left"/>
      </w:pPr>
      <w:r>
        <w:t> </w:t>
      </w:r>
    </w:p>
    <w:tbl>
      <w:tblPr>
        <w:tblW w:w="6980" w:type="dxa"/>
        <w:jc w:val="left"/>
        <w:tblInd w:w="0" w:type="dxa"/>
        <w:tblLayout w:type="fixed"/>
        <w:tblCellMar>
          <w:top w:w="0" w:type="dxa"/>
          <w:left w:w="0" w:type="dxa"/>
          <w:bottom w:w="0" w:type="dxa"/>
          <w:right w:w="0" w:type="dxa"/>
        </w:tblCellMar>
      </w:tblPr>
      <w:tblGrid>
        <w:gridCol w:w="1400"/>
        <w:gridCol w:w="60"/>
        <w:gridCol w:w="125"/>
        <w:gridCol w:w="695"/>
        <w:gridCol w:w="60"/>
        <w:gridCol w:w="60"/>
        <w:gridCol w:w="81"/>
        <w:gridCol w:w="659"/>
        <w:gridCol w:w="185"/>
        <w:gridCol w:w="60"/>
        <w:gridCol w:w="125"/>
        <w:gridCol w:w="695"/>
        <w:gridCol w:w="60"/>
        <w:gridCol w:w="60"/>
        <w:gridCol w:w="81"/>
        <w:gridCol w:w="659"/>
        <w:gridCol w:w="185"/>
        <w:gridCol w:w="60"/>
        <w:gridCol w:w="125"/>
        <w:gridCol w:w="695"/>
        <w:gridCol w:w="60"/>
        <w:gridCol w:w="60"/>
        <w:gridCol w:w="60"/>
        <w:gridCol w:w="485"/>
        <w:gridCol w:w="185"/>
      </w:tblGrid>
      <w:tr>
        <w:tc>
          <w:tcPr>
            <w:tcW w:w="140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3605"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 September 30,</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695" w:type="dxa"/>
            <w:tcBorders/>
            <w:shd w:fill="FFFFFF" w:val="clear"/>
            <w:vAlign w:val="center"/>
          </w:tcPr>
          <w:p>
            <w:pPr>
              <w:pStyle w:val="TableContents"/>
              <w:bidi w:val="0"/>
              <w:spacing w:before="0" w:after="283"/>
              <w:jc w:val="center"/>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485" w:type="dxa"/>
            <w:tcBorders/>
            <w:shd w:fill="FFFFFF" w:val="clear"/>
            <w:vAlign w:val="center"/>
          </w:tcPr>
          <w:p>
            <w:pPr>
              <w:pStyle w:val="TableContents"/>
              <w:bidi w:val="0"/>
              <w:spacing w:before="0" w:after="283"/>
              <w:jc w:val="center"/>
            </w:pPr>
            <w:r>
              <w:t> </w:t>
            </w:r>
          </w:p>
        </w:tc>
        <w:tc>
          <w:tcPr>
            <w:tcW w:w="185" w:type="dxa"/>
            <w:tcBorders/>
            <w:shd w:fill="FFFFFF" w:val="clear"/>
            <w:vAlign w:val="center"/>
          </w:tcPr>
          <w:p>
            <w:pPr>
              <w:pStyle w:val="TableContents"/>
              <w:bidi w:val="0"/>
              <w:spacing w:before="0" w:after="283"/>
              <w:jc w:val="left"/>
            </w:pPr>
            <w:r>
              <w:t> </w:t>
            </w:r>
          </w:p>
        </w:tc>
      </w:tr>
      <w:tr>
        <w:tc>
          <w:tcPr>
            <w:tcW w:w="140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68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68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48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185" w:type="dxa"/>
            <w:tcBorders/>
            <w:shd w:fill="FFFFFF" w:val="clear"/>
            <w:vAlign w:val="center"/>
          </w:tcPr>
          <w:p>
            <w:pPr>
              <w:pStyle w:val="TableContents"/>
              <w:bidi w:val="0"/>
              <w:spacing w:before="0" w:after="283"/>
              <w:jc w:val="left"/>
            </w:pPr>
            <w:r>
              <w:t> </w:t>
            </w:r>
          </w:p>
        </w:tc>
      </w:tr>
      <w:tr>
        <w:tc>
          <w:tcPr>
            <w:tcW w:w="140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695" w:type="dxa"/>
            <w:tcBorders/>
            <w:shd w:fill="FFFFFF" w:val="clear"/>
            <w:vAlign w:val="center"/>
          </w:tcPr>
          <w:p>
            <w:pPr>
              <w:pStyle w:val="TableContents"/>
              <w:bidi w:val="0"/>
              <w:spacing w:before="0" w:after="283"/>
              <w:jc w:val="center"/>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4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695" w:type="dxa"/>
            <w:tcBorders/>
            <w:shd w:fill="FFFFFF" w:val="clear"/>
            <w:vAlign w:val="center"/>
          </w:tcPr>
          <w:p>
            <w:pPr>
              <w:pStyle w:val="TableContents"/>
              <w:bidi w:val="0"/>
              <w:spacing w:before="0" w:after="283"/>
              <w:jc w:val="center"/>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4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820" w:type="dxa"/>
            <w:gridSpan w:val="2"/>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545" w:type="dxa"/>
            <w:gridSpan w:val="2"/>
            <w:tcBorders/>
            <w:shd w:fill="FFFFFF" w:val="clear"/>
            <w:vAlign w:val="center"/>
          </w:tcPr>
          <w:p>
            <w:pPr>
              <w:pStyle w:val="TableContents"/>
              <w:bidi w:val="0"/>
              <w:spacing w:before="0" w:after="283"/>
              <w:jc w:val="left"/>
            </w:pPr>
            <w:r>
              <w:t> </w:t>
            </w:r>
          </w:p>
        </w:tc>
        <w:tc>
          <w:tcPr>
            <w:tcW w:w="185" w:type="dxa"/>
            <w:tcBorders/>
            <w:shd w:fill="FFFFFF" w:val="clear"/>
            <w:vAlign w:val="center"/>
          </w:tcPr>
          <w:p>
            <w:pPr>
              <w:pStyle w:val="TableContents"/>
              <w:bidi w:val="0"/>
              <w:spacing w:before="0" w:after="283"/>
              <w:jc w:val="left"/>
            </w:pPr>
            <w:r>
              <w:t> </w:t>
            </w:r>
          </w:p>
        </w:tc>
      </w:tr>
      <w:tr>
        <w:tc>
          <w:tcPr>
            <w:tcW w:w="140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5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185" w:type="dxa"/>
            <w:tcBorders/>
            <w:shd w:fill="FFFFFF" w:val="clear"/>
            <w:vAlign w:val="center"/>
          </w:tcPr>
          <w:p>
            <w:pPr>
              <w:pStyle w:val="TableContents"/>
              <w:bidi w:val="0"/>
              <w:spacing w:before="0" w:after="283"/>
              <w:jc w:val="left"/>
            </w:pPr>
            <w:r>
              <w:t> </w:t>
            </w:r>
          </w:p>
        </w:tc>
      </w:tr>
      <w:tr>
        <w:tc>
          <w:tcPr>
            <w:tcW w:w="140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5335" w:type="dxa"/>
            <w:gridSpan w:val="2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 except percentages)</w:t>
            </w:r>
          </w:p>
        </w:tc>
        <w:tc>
          <w:tcPr>
            <w:tcW w:w="185" w:type="dxa"/>
            <w:tcBorders/>
            <w:shd w:fill="FFFFFF" w:val="clear"/>
            <w:vAlign w:val="center"/>
          </w:tcPr>
          <w:p>
            <w:pPr>
              <w:pStyle w:val="TableContents"/>
              <w:bidi w:val="0"/>
              <w:spacing w:before="0" w:after="283"/>
              <w:jc w:val="left"/>
            </w:pPr>
            <w:r>
              <w:t> </w:t>
            </w:r>
          </w:p>
        </w:tc>
      </w:tr>
      <w:tr>
        <w:tc>
          <w:tcPr>
            <w:tcW w:w="14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Data Center</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344,675</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81" w:type="dxa"/>
            <w:tcBorders/>
            <w:shd w:fill="CCEEFF" w:val="clear"/>
            <w:vAlign w:val="center"/>
          </w:tcPr>
          <w:p>
            <w:pPr>
              <w:pStyle w:val="TableContents"/>
              <w:bidi w:val="0"/>
              <w:spacing w:before="0" w:after="283"/>
              <w:ind w:left="0" w:right="0" w:hanging="0"/>
              <w:jc w:val="left"/>
            </w:pPr>
            <w:r>
              <w:t> </w:t>
            </w:r>
          </w:p>
        </w:tc>
        <w:tc>
          <w:tcPr>
            <w:tcW w:w="6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56.2</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120,775</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81" w:type="dxa"/>
            <w:tcBorders/>
            <w:shd w:fill="CCEEFF" w:val="clear"/>
            <w:vAlign w:val="center"/>
          </w:tcPr>
          <w:p>
            <w:pPr>
              <w:pStyle w:val="TableContents"/>
              <w:bidi w:val="0"/>
              <w:spacing w:before="0" w:after="283"/>
              <w:ind w:left="0" w:right="0" w:hanging="0"/>
              <w:jc w:val="left"/>
            </w:pPr>
            <w:r>
              <w:t> </w:t>
            </w:r>
          </w:p>
        </w:tc>
        <w:tc>
          <w:tcPr>
            <w:tcW w:w="6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223,900</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185.4</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14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CATV</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258,298</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81" w:type="dxa"/>
            <w:tcBorders/>
            <w:shd w:fill="FFFFFF" w:val="clear"/>
            <w:vAlign w:val="center"/>
          </w:tcPr>
          <w:p>
            <w:pPr>
              <w:pStyle w:val="TableContents"/>
              <w:bidi w:val="0"/>
              <w:spacing w:before="0" w:after="283"/>
              <w:ind w:left="0" w:right="0" w:hanging="0"/>
              <w:jc w:val="left"/>
            </w:pPr>
            <w:r>
              <w:t> </w:t>
            </w:r>
          </w:p>
        </w:tc>
        <w:tc>
          <w:tcPr>
            <w:tcW w:w="6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42.2</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191,123</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81" w:type="dxa"/>
            <w:tcBorders/>
            <w:shd w:fill="FFFFFF" w:val="clear"/>
            <w:vAlign w:val="center"/>
          </w:tcPr>
          <w:p>
            <w:pPr>
              <w:pStyle w:val="TableContents"/>
              <w:bidi w:val="0"/>
              <w:spacing w:before="0" w:after="283"/>
              <w:ind w:left="0" w:right="0" w:hanging="0"/>
              <w:jc w:val="left"/>
            </w:pPr>
            <w:r>
              <w:t> </w:t>
            </w:r>
          </w:p>
        </w:tc>
        <w:tc>
          <w:tcPr>
            <w:tcW w:w="6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67,175</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35.1</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14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Telecom</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8,698</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81" w:type="dxa"/>
            <w:tcBorders/>
            <w:shd w:fill="CCEEFF" w:val="clear"/>
            <w:vAlign w:val="center"/>
          </w:tcPr>
          <w:p>
            <w:pPr>
              <w:pStyle w:val="TableContents"/>
              <w:bidi w:val="0"/>
              <w:spacing w:before="0" w:after="283"/>
              <w:ind w:left="0" w:right="0" w:hanging="0"/>
              <w:jc w:val="left"/>
            </w:pPr>
            <w:r>
              <w:t> </w:t>
            </w:r>
          </w:p>
        </w:tc>
        <w:tc>
          <w:tcPr>
            <w:tcW w:w="6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8,618</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81" w:type="dxa"/>
            <w:tcBorders/>
            <w:shd w:fill="CCEEFF" w:val="clear"/>
            <w:vAlign w:val="center"/>
          </w:tcPr>
          <w:p>
            <w:pPr>
              <w:pStyle w:val="TableContents"/>
              <w:bidi w:val="0"/>
              <w:spacing w:before="0" w:after="283"/>
              <w:ind w:left="0" w:right="0" w:hanging="0"/>
              <w:jc w:val="left"/>
            </w:pPr>
            <w:r>
              <w:t> </w:t>
            </w:r>
          </w:p>
        </w:tc>
        <w:tc>
          <w:tcPr>
            <w:tcW w:w="6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0.9</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14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FTTH and Other</w:t>
            </w:r>
          </w:p>
        </w:tc>
        <w:tc>
          <w:tcPr>
            <w:tcW w:w="60" w:type="dxa"/>
            <w:tcBorders/>
            <w:shd w:fill="FFFFFF" w:val="clear"/>
            <w:vAlign w:val="center"/>
          </w:tcPr>
          <w:p>
            <w:pPr>
              <w:pStyle w:val="TableContents"/>
              <w:bidi w:val="0"/>
              <w:spacing w:before="0" w:after="283"/>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1,271</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6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925</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6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346</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37.4</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1400"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Revenue</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612,942</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8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pPr>
            <w:r>
              <w:t> </w:t>
            </w:r>
          </w:p>
        </w:tc>
        <w:tc>
          <w:tcPr>
            <w:tcW w:w="65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321,441</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8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pPr>
            <w:r>
              <w:t> </w:t>
            </w:r>
          </w:p>
        </w:tc>
        <w:tc>
          <w:tcPr>
            <w:tcW w:w="65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291,501</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pPr>
            <w:r>
              <w:t> </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720"/>
        <w:jc w:val="left"/>
      </w:pPr>
      <w: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Revenues for the three months ended September 30, 2026 increased by $151.2 million, or 127.5%, compared to the three months ended September 30, 2025. The increase was primarily driven by:</w:t>
      </w:r>
    </w:p>
    <w:tbl>
      <w:tblPr>
        <w:tblW w:w="10205" w:type="dxa"/>
        <w:jc w:val="left"/>
        <w:tblInd w:w="0" w:type="dxa"/>
        <w:tblLayout w:type="fixed"/>
        <w:tblCellMar>
          <w:top w:w="0" w:type="dxa"/>
          <w:left w:w="0" w:type="dxa"/>
          <w:bottom w:w="0" w:type="dxa"/>
          <w:right w:w="0" w:type="dxa"/>
        </w:tblCellMar>
      </w:tblPr>
      <w:tblGrid>
        <w:gridCol w:w="60"/>
        <w:gridCol w:w="170"/>
        <w:gridCol w:w="9975"/>
      </w:tblGrid>
      <w:tr>
        <w:tc>
          <w:tcPr>
            <w:tcW w:w="6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283"/>
              <w:jc w:val="left"/>
            </w:pPr>
            <w:r>
              <w:t>$111.7 million increase in data center product revenues, reflecting continued strong customer demand from hyperscale customers and increased demand for our high-speed connectivity products; and </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c>
          <w:tcPr>
            <w:tcW w:w="6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283"/>
              <w:jc w:val="left"/>
            </w:pPr>
            <w:r>
              <w:t>$40.3 million increase in CATV product revenues, primarily driven by higher sales volumes resulting from market share gains and continued deployment of our CATV products by our MSO customers. </w:t>
            </w:r>
          </w:p>
        </w:tc>
      </w:tr>
    </w:tbl>
    <w:p>
      <w:pPr>
        <w:pStyle w:val="TextBody"/>
        <w:bidi w:val="0"/>
        <w:spacing w:before="0" w:after="0"/>
        <w:ind w:left="0" w:right="0" w:firstLine="720"/>
        <w:jc w:val="left"/>
      </w:pPr>
      <w: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Revenues for the nine months ended September 30, 2026 increased by $291.5 million, or 90.7%, compared to the nine months ended September 30, 2025. The increase was primarily driven by:</w:t>
      </w:r>
    </w:p>
    <w:tbl>
      <w:tblPr>
        <w:tblW w:w="10205" w:type="dxa"/>
        <w:jc w:val="left"/>
        <w:tblInd w:w="0" w:type="dxa"/>
        <w:tblLayout w:type="fixed"/>
        <w:tblCellMar>
          <w:top w:w="0" w:type="dxa"/>
          <w:left w:w="0" w:type="dxa"/>
          <w:bottom w:w="0" w:type="dxa"/>
          <w:right w:w="0" w:type="dxa"/>
        </w:tblCellMar>
      </w:tblPr>
      <w:tblGrid>
        <w:gridCol w:w="60"/>
        <w:gridCol w:w="170"/>
        <w:gridCol w:w="9975"/>
      </w:tblGrid>
      <w:tr>
        <w:tc>
          <w:tcPr>
            <w:tcW w:w="6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283"/>
              <w:jc w:val="left"/>
            </w:pPr>
            <w:r>
              <w:t>$223.9 million increase in data center product revenues reflecting continued strong demand and increased deployments of our high-speed connectivity products; and</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c>
          <w:tcPr>
            <w:tcW w:w="6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283"/>
              <w:jc w:val="left"/>
            </w:pPr>
            <w:r>
              <w:t>$67.2 million increase in CATV product revenues primarily driven by higher sales volumes resulting from market share gains and continued deployment of our CATV products by our MSO customers.</w:t>
            </w:r>
          </w:p>
        </w:tc>
      </w:tr>
    </w:tbl>
    <w:p>
      <w:pPr>
        <w:pStyle w:val="TextBody"/>
        <w:bidi w:val="0"/>
        <w:spacing w:before="0" w:after="0"/>
        <w:ind w:left="0" w:right="0" w:firstLine="720"/>
        <w:jc w:val="left"/>
      </w:pPr>
      <w: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Future revenue trends are expected to depend on customer demand, customer deployment schedules, capital spending levels, competitive pricing, supply chain conditions and broader macroeconomic conditions.</w:t>
      </w:r>
    </w:p>
    <w:p>
      <w:pPr>
        <w:pStyle w:val="TextBody"/>
        <w:bidi w:val="0"/>
        <w:spacing w:before="0" w:after="0"/>
        <w:ind w:left="0" w:right="0" w:firstLine="720"/>
        <w:jc w:val="left"/>
      </w:pPr>
      <w: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For each of the three and nine months ended September 30, 2026 and 2025, our top ten customers represented 99% and 97% of our revenue, respectively. We believe that diversifying our customer base is critical for our future success, since reliance on a small number of key customers makes our ability to forecast future results dependent upon the accuracy of the forecasts we receive from those key customers. We continue to prioritize new customer acquisition and growth of diverse revenue streams.</w:t>
      </w:r>
    </w:p>
    <w:p>
      <w:pPr>
        <w:pStyle w:val="TextBody"/>
        <w:bidi w:val="0"/>
        <w:spacing w:before="0" w:after="0"/>
        <w:ind w:left="0" w:right="0" w:hanging="0"/>
        <w:jc w:val="left"/>
      </w:pPr>
      <w: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Cost of goods sold and gross margin</w:t>
      </w:r>
    </w:p>
    <w:p>
      <w:pPr>
        <w:pStyle w:val="TextBody"/>
        <w:bidi w:val="0"/>
        <w:spacing w:before="0" w:after="0"/>
        <w:ind w:left="0" w:right="0" w:hanging="0"/>
        <w:jc w:val="left"/>
      </w:pPr>
      <w:r>
        <w:t>​</w:t>
      </w:r>
    </w:p>
    <w:tbl>
      <w:tblPr>
        <w:tblW w:w="7057" w:type="dxa"/>
        <w:jc w:val="left"/>
        <w:tblInd w:w="0" w:type="dxa"/>
        <w:tblLayout w:type="fixed"/>
        <w:tblCellMar>
          <w:top w:w="0" w:type="dxa"/>
          <w:left w:w="0" w:type="dxa"/>
          <w:bottom w:w="0" w:type="dxa"/>
          <w:right w:w="0" w:type="dxa"/>
        </w:tblCellMar>
      </w:tblPr>
      <w:tblGrid>
        <w:gridCol w:w="1535"/>
        <w:gridCol w:w="60"/>
        <w:gridCol w:w="128"/>
        <w:gridCol w:w="712"/>
        <w:gridCol w:w="61"/>
        <w:gridCol w:w="61"/>
        <w:gridCol w:w="100"/>
        <w:gridCol w:w="640"/>
        <w:gridCol w:w="189"/>
        <w:gridCol w:w="61"/>
        <w:gridCol w:w="128"/>
        <w:gridCol w:w="605"/>
        <w:gridCol w:w="61"/>
        <w:gridCol w:w="61"/>
        <w:gridCol w:w="100"/>
        <w:gridCol w:w="640"/>
        <w:gridCol w:w="185"/>
        <w:gridCol w:w="60"/>
        <w:gridCol w:w="125"/>
        <w:gridCol w:w="695"/>
        <w:gridCol w:w="60"/>
        <w:gridCol w:w="60"/>
        <w:gridCol w:w="60"/>
        <w:gridCol w:w="485"/>
        <w:gridCol w:w="185"/>
      </w:tblGrid>
      <w:tr>
        <w:tc>
          <w:tcPr>
            <w:tcW w:w="153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3547"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September 30,</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820" w:type="dxa"/>
            <w:gridSpan w:val="2"/>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545" w:type="dxa"/>
            <w:gridSpan w:val="2"/>
            <w:tcBorders/>
            <w:shd w:fill="FFFFFF" w:val="clear"/>
            <w:vAlign w:val="center"/>
          </w:tcPr>
          <w:p>
            <w:pPr>
              <w:pStyle w:val="TableContents"/>
              <w:bidi w:val="0"/>
              <w:spacing w:before="0" w:after="283"/>
              <w:jc w:val="left"/>
            </w:pPr>
            <w:r>
              <w:t> </w:t>
            </w:r>
          </w:p>
        </w:tc>
        <w:tc>
          <w:tcPr>
            <w:tcW w:w="185" w:type="dxa"/>
            <w:tcBorders/>
            <w:shd w:fill="FFFFFF" w:val="clear"/>
            <w:vAlign w:val="center"/>
          </w:tcPr>
          <w:p>
            <w:pPr>
              <w:pStyle w:val="TableContents"/>
              <w:bidi w:val="0"/>
              <w:spacing w:before="0" w:after="283"/>
              <w:jc w:val="left"/>
            </w:pPr>
            <w:r>
              <w:t> </w:t>
            </w:r>
          </w:p>
        </w:tc>
      </w:tr>
      <w:tr>
        <w:tc>
          <w:tcPr>
            <w:tcW w:w="153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70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89" w:type="dxa"/>
            <w:tcBorders/>
            <w:shd w:fill="FFFFFF" w:val="clear"/>
            <w:vAlign w:val="center"/>
          </w:tcPr>
          <w:p>
            <w:pPr>
              <w:pStyle w:val="TableContents"/>
              <w:bidi w:val="0"/>
              <w:spacing w:before="0" w:after="283"/>
              <w:jc w:val="left"/>
            </w:pPr>
            <w:r>
              <w:t> </w:t>
            </w:r>
          </w:p>
        </w:tc>
        <w:tc>
          <w:tcPr>
            <w:tcW w:w="61" w:type="dxa"/>
            <w:tcBorders/>
            <w:shd w:fill="FFFFFF" w:val="clear"/>
            <w:vAlign w:val="center"/>
          </w:tcPr>
          <w:p>
            <w:pPr>
              <w:pStyle w:val="TableContents"/>
              <w:bidi w:val="0"/>
              <w:spacing w:before="0" w:after="283"/>
              <w:ind w:left="0" w:right="0" w:hanging="0"/>
              <w:jc w:val="left"/>
            </w:pPr>
            <w:r>
              <w:t> </w:t>
            </w:r>
          </w:p>
        </w:tc>
        <w:tc>
          <w:tcPr>
            <w:tcW w:w="159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48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185" w:type="dxa"/>
            <w:tcBorders/>
            <w:shd w:fill="FFFFFF" w:val="clear"/>
            <w:vAlign w:val="center"/>
          </w:tcPr>
          <w:p>
            <w:pPr>
              <w:pStyle w:val="TableContents"/>
              <w:bidi w:val="0"/>
              <w:spacing w:before="0" w:after="283"/>
              <w:jc w:val="left"/>
            </w:pPr>
            <w:r>
              <w:t> </w:t>
            </w:r>
          </w:p>
        </w:tc>
      </w:tr>
      <w:tr>
        <w:tc>
          <w:tcPr>
            <w:tcW w:w="153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8" w:type="dxa"/>
            <w:tcBorders/>
            <w:shd w:fill="FFFFFF" w:val="clear"/>
            <w:vAlign w:val="center"/>
          </w:tcPr>
          <w:p>
            <w:pPr>
              <w:pStyle w:val="TableContents"/>
              <w:bidi w:val="0"/>
              <w:spacing w:before="0" w:after="283"/>
              <w:jc w:val="left"/>
            </w:pPr>
            <w:r>
              <w:t> </w:t>
            </w:r>
          </w:p>
        </w:tc>
        <w:tc>
          <w:tcPr>
            <w:tcW w:w="712" w:type="dxa"/>
            <w:tcBorders/>
            <w:shd w:fill="FFFFFF" w:val="clear"/>
            <w:vAlign w:val="center"/>
          </w:tcPr>
          <w:p>
            <w:pPr>
              <w:pStyle w:val="TableContents"/>
              <w:bidi w:val="0"/>
              <w:spacing w:before="0" w:after="283"/>
              <w:jc w:val="center"/>
            </w:pPr>
            <w:r>
              <w:t> </w:t>
            </w:r>
          </w:p>
        </w:tc>
        <w:tc>
          <w:tcPr>
            <w:tcW w:w="61" w:type="dxa"/>
            <w:tcBorders/>
            <w:shd w:fill="FFFFFF" w:val="clear"/>
            <w:vAlign w:val="center"/>
          </w:tcPr>
          <w:p>
            <w:pPr>
              <w:pStyle w:val="TableContents"/>
              <w:bidi w:val="0"/>
              <w:spacing w:before="0" w:after="283"/>
              <w:jc w:val="left"/>
            </w:pPr>
            <w:r>
              <w:t> </w:t>
            </w:r>
          </w:p>
        </w:tc>
        <w:tc>
          <w:tcPr>
            <w:tcW w:w="61" w:type="dxa"/>
            <w:tcBorders/>
            <w:shd w:fill="FFFFFF" w:val="clear"/>
            <w:vAlign w:val="center"/>
          </w:tcPr>
          <w:p>
            <w:pPr>
              <w:pStyle w:val="TableContents"/>
              <w:bidi w:val="0"/>
              <w:spacing w:before="0" w:after="283"/>
              <w:ind w:left="0" w:right="0" w:hanging="0"/>
              <w:jc w:val="left"/>
            </w:pPr>
            <w:r>
              <w:t> </w:t>
            </w:r>
          </w:p>
        </w:tc>
        <w:tc>
          <w:tcPr>
            <w:tcW w:w="74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w:t>
            </w:r>
          </w:p>
        </w:tc>
        <w:tc>
          <w:tcPr>
            <w:tcW w:w="189" w:type="dxa"/>
            <w:tcBorders/>
            <w:shd w:fill="FFFFFF" w:val="clear"/>
            <w:vAlign w:val="center"/>
          </w:tcPr>
          <w:p>
            <w:pPr>
              <w:pStyle w:val="TableContents"/>
              <w:bidi w:val="0"/>
              <w:spacing w:before="0" w:after="283"/>
              <w:jc w:val="left"/>
            </w:pPr>
            <w:r>
              <w:t> </w:t>
            </w:r>
          </w:p>
        </w:tc>
        <w:tc>
          <w:tcPr>
            <w:tcW w:w="61" w:type="dxa"/>
            <w:tcBorders/>
            <w:shd w:fill="FFFFFF" w:val="clear"/>
            <w:vAlign w:val="center"/>
          </w:tcPr>
          <w:p>
            <w:pPr>
              <w:pStyle w:val="TableContents"/>
              <w:bidi w:val="0"/>
              <w:spacing w:before="0" w:after="283"/>
              <w:jc w:val="left"/>
            </w:pPr>
            <w:r>
              <w:t> </w:t>
            </w:r>
          </w:p>
        </w:tc>
        <w:tc>
          <w:tcPr>
            <w:tcW w:w="128" w:type="dxa"/>
            <w:tcBorders/>
            <w:shd w:fill="FFFFFF" w:val="clear"/>
            <w:vAlign w:val="center"/>
          </w:tcPr>
          <w:p>
            <w:pPr>
              <w:pStyle w:val="TableContents"/>
              <w:bidi w:val="0"/>
              <w:spacing w:before="0" w:after="283"/>
              <w:jc w:val="left"/>
            </w:pPr>
            <w:r>
              <w:t> </w:t>
            </w:r>
          </w:p>
        </w:tc>
        <w:tc>
          <w:tcPr>
            <w:tcW w:w="605" w:type="dxa"/>
            <w:tcBorders/>
            <w:shd w:fill="FFFFFF" w:val="clear"/>
            <w:vAlign w:val="center"/>
          </w:tcPr>
          <w:p>
            <w:pPr>
              <w:pStyle w:val="TableContents"/>
              <w:bidi w:val="0"/>
              <w:spacing w:before="0" w:after="283"/>
              <w:jc w:val="center"/>
            </w:pPr>
            <w:r>
              <w:t> </w:t>
            </w:r>
          </w:p>
        </w:tc>
        <w:tc>
          <w:tcPr>
            <w:tcW w:w="61" w:type="dxa"/>
            <w:tcBorders/>
            <w:shd w:fill="FFFFFF" w:val="clear"/>
            <w:vAlign w:val="center"/>
          </w:tcPr>
          <w:p>
            <w:pPr>
              <w:pStyle w:val="TableContents"/>
              <w:bidi w:val="0"/>
              <w:spacing w:before="0" w:after="283"/>
              <w:jc w:val="left"/>
            </w:pPr>
            <w:r>
              <w:t> </w:t>
            </w:r>
          </w:p>
        </w:tc>
        <w:tc>
          <w:tcPr>
            <w:tcW w:w="61" w:type="dxa"/>
            <w:tcBorders/>
            <w:shd w:fill="FFFFFF" w:val="clear"/>
            <w:vAlign w:val="center"/>
          </w:tcPr>
          <w:p>
            <w:pPr>
              <w:pStyle w:val="TableContents"/>
              <w:bidi w:val="0"/>
              <w:spacing w:before="0" w:after="283"/>
              <w:ind w:left="0" w:right="0" w:hanging="0"/>
              <w:jc w:val="left"/>
            </w:pPr>
            <w:r>
              <w:t> </w:t>
            </w:r>
          </w:p>
        </w:tc>
        <w:tc>
          <w:tcPr>
            <w:tcW w:w="74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69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545" w:type="dxa"/>
            <w:gridSpan w:val="2"/>
            <w:tcBorders/>
            <w:shd w:fill="FFFFFF" w:val="clear"/>
            <w:vAlign w:val="center"/>
          </w:tcPr>
          <w:p>
            <w:pPr>
              <w:pStyle w:val="TableContents"/>
              <w:bidi w:val="0"/>
              <w:spacing w:before="0" w:after="283"/>
              <w:jc w:val="left"/>
            </w:pPr>
            <w:r>
              <w:t> </w:t>
            </w:r>
          </w:p>
        </w:tc>
        <w:tc>
          <w:tcPr>
            <w:tcW w:w="185" w:type="dxa"/>
            <w:tcBorders/>
            <w:shd w:fill="FFFFFF" w:val="clear"/>
            <w:vAlign w:val="center"/>
          </w:tcPr>
          <w:p>
            <w:pPr>
              <w:pStyle w:val="TableContents"/>
              <w:bidi w:val="0"/>
              <w:spacing w:before="0" w:after="283"/>
              <w:jc w:val="left"/>
            </w:pPr>
            <w:r>
              <w:t> </w:t>
            </w:r>
          </w:p>
        </w:tc>
      </w:tr>
      <w:tr>
        <w:tc>
          <w:tcPr>
            <w:tcW w:w="153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8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1" w:type="dxa"/>
            <w:tcBorders/>
            <w:shd w:fill="FFFFFF" w:val="clear"/>
            <w:vAlign w:val="center"/>
          </w:tcPr>
          <w:p>
            <w:pPr>
              <w:pStyle w:val="TableContents"/>
              <w:bidi w:val="0"/>
              <w:spacing w:before="0" w:after="283"/>
              <w:jc w:val="left"/>
            </w:pPr>
            <w:r>
              <w:t> </w:t>
            </w:r>
          </w:p>
        </w:tc>
        <w:tc>
          <w:tcPr>
            <w:tcW w:w="61" w:type="dxa"/>
            <w:tcBorders/>
            <w:shd w:fill="FFFFFF" w:val="clear"/>
            <w:vAlign w:val="center"/>
          </w:tcPr>
          <w:p>
            <w:pPr>
              <w:pStyle w:val="TableContents"/>
              <w:bidi w:val="0"/>
              <w:spacing w:before="0" w:after="283"/>
              <w:ind w:left="0" w:right="0" w:hanging="0"/>
              <w:jc w:val="left"/>
            </w:pPr>
            <w:r>
              <w:t> </w:t>
            </w:r>
          </w:p>
        </w:tc>
        <w:tc>
          <w:tcPr>
            <w:tcW w:w="7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189" w:type="dxa"/>
            <w:tcBorders/>
            <w:shd w:fill="FFFFFF" w:val="clear"/>
            <w:vAlign w:val="center"/>
          </w:tcPr>
          <w:p>
            <w:pPr>
              <w:pStyle w:val="TableContents"/>
              <w:bidi w:val="0"/>
              <w:spacing w:before="0" w:after="283"/>
              <w:jc w:val="left"/>
            </w:pPr>
            <w:r>
              <w:t> </w:t>
            </w:r>
          </w:p>
        </w:tc>
        <w:tc>
          <w:tcPr>
            <w:tcW w:w="61" w:type="dxa"/>
            <w:tcBorders/>
            <w:shd w:fill="FFFFFF" w:val="clear"/>
            <w:vAlign w:val="center"/>
          </w:tcPr>
          <w:p>
            <w:pPr>
              <w:pStyle w:val="TableContents"/>
              <w:bidi w:val="0"/>
              <w:spacing w:before="0" w:after="283"/>
              <w:ind w:left="0" w:right="0" w:hanging="0"/>
              <w:jc w:val="left"/>
            </w:pPr>
            <w:r>
              <w:t> </w:t>
            </w:r>
          </w:p>
        </w:tc>
        <w:tc>
          <w:tcPr>
            <w:tcW w:w="73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1" w:type="dxa"/>
            <w:tcBorders/>
            <w:shd w:fill="FFFFFF" w:val="clear"/>
            <w:vAlign w:val="center"/>
          </w:tcPr>
          <w:p>
            <w:pPr>
              <w:pStyle w:val="TableContents"/>
              <w:bidi w:val="0"/>
              <w:spacing w:before="0" w:after="283"/>
              <w:jc w:val="left"/>
            </w:pPr>
            <w:r>
              <w:t> </w:t>
            </w:r>
          </w:p>
        </w:tc>
        <w:tc>
          <w:tcPr>
            <w:tcW w:w="61" w:type="dxa"/>
            <w:tcBorders/>
            <w:shd w:fill="FFFFFF" w:val="clear"/>
            <w:vAlign w:val="center"/>
          </w:tcPr>
          <w:p>
            <w:pPr>
              <w:pStyle w:val="TableContents"/>
              <w:bidi w:val="0"/>
              <w:spacing w:before="0" w:after="283"/>
              <w:ind w:left="0" w:right="0" w:hanging="0"/>
              <w:jc w:val="left"/>
            </w:pPr>
            <w:r>
              <w:t> </w:t>
            </w:r>
          </w:p>
        </w:tc>
        <w:tc>
          <w:tcPr>
            <w:tcW w:w="7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5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
            </w:r>
          </w:p>
        </w:tc>
        <w:tc>
          <w:tcPr>
            <w:tcW w:w="185" w:type="dxa"/>
            <w:tcBorders/>
            <w:shd w:fill="FFFFFF" w:val="clear"/>
            <w:vAlign w:val="center"/>
          </w:tcPr>
          <w:p>
            <w:pPr>
              <w:pStyle w:val="TableContents"/>
              <w:bidi w:val="0"/>
              <w:spacing w:before="0" w:after="283"/>
              <w:jc w:val="left"/>
            </w:pPr>
            <w:r>
              <w:t> </w:t>
            </w:r>
          </w:p>
        </w:tc>
      </w:tr>
      <w:tr>
        <w:tc>
          <w:tcPr>
            <w:tcW w:w="153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5277" w:type="dxa"/>
            <w:gridSpan w:val="2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 except percentages)</w:t>
            </w:r>
          </w:p>
        </w:tc>
        <w:tc>
          <w:tcPr>
            <w:tcW w:w="185" w:type="dxa"/>
            <w:tcBorders/>
            <w:shd w:fill="FFFFFF" w:val="clear"/>
            <w:vAlign w:val="center"/>
          </w:tcPr>
          <w:p>
            <w:pPr>
              <w:pStyle w:val="TableContents"/>
              <w:bidi w:val="0"/>
              <w:spacing w:before="0" w:after="283"/>
              <w:jc w:val="left"/>
            </w:pPr>
            <w:r>
              <w:t> </w:t>
            </w:r>
          </w:p>
        </w:tc>
      </w:tr>
      <w:tr>
        <w:tc>
          <w:tcPr>
            <w:tcW w:w="15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goods sold</w:t>
            </w:r>
          </w:p>
        </w:tc>
        <w:tc>
          <w:tcPr>
            <w:tcW w:w="60" w:type="dxa"/>
            <w:tcBorders/>
            <w:shd w:fill="CCEEFF" w:val="clear"/>
            <w:vAlign w:val="center"/>
          </w:tcPr>
          <w:p>
            <w:pPr>
              <w:pStyle w:val="TableContents"/>
              <w:bidi w:val="0"/>
              <w:spacing w:before="0" w:after="283"/>
              <w:ind w:left="0" w:right="0" w:hanging="0"/>
              <w:jc w:val="left"/>
            </w:pPr>
            <w:r>
              <w:t> </w:t>
            </w:r>
          </w:p>
        </w:tc>
        <w:tc>
          <w:tcPr>
            <w:tcW w:w="12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193,720</w:t>
            </w:r>
          </w:p>
        </w:tc>
        <w:tc>
          <w:tcPr>
            <w:tcW w:w="61" w:type="dxa"/>
            <w:tcBorders/>
            <w:shd w:fill="CCEEFF" w:val="clear"/>
            <w:vAlign w:val="center"/>
          </w:tcPr>
          <w:p>
            <w:pPr>
              <w:pStyle w:val="TableContents"/>
              <w:bidi w:val="0"/>
              <w:spacing w:before="0" w:after="283"/>
              <w:jc w:val="left"/>
            </w:pPr>
            <w:r>
              <w:t> </w:t>
            </w:r>
          </w:p>
        </w:tc>
        <w:tc>
          <w:tcPr>
            <w:tcW w:w="61" w:type="dxa"/>
            <w:tcBorders/>
            <w:shd w:fill="CCEEFF" w:val="clear"/>
            <w:vAlign w:val="center"/>
          </w:tcPr>
          <w:p>
            <w:pPr>
              <w:pStyle w:val="TableContents"/>
              <w:bidi w:val="0"/>
              <w:spacing w:before="0" w:after="283"/>
              <w:jc w:val="left"/>
            </w:pPr>
            <w:r>
              <w:t> </w:t>
            </w:r>
          </w:p>
        </w:tc>
        <w:tc>
          <w:tcPr>
            <w:tcW w:w="100" w:type="dxa"/>
            <w:tcBorders/>
            <w:shd w:fill="CCEEFF" w:val="clear"/>
            <w:vAlign w:val="center"/>
          </w:tcPr>
          <w:p>
            <w:pPr>
              <w:pStyle w:val="TableContents"/>
              <w:bidi w:val="0"/>
              <w:spacing w:before="0" w:after="283"/>
              <w:ind w:left="0" w:right="0" w:hanging="0"/>
              <w:jc w:val="left"/>
            </w:pPr>
            <w:r>
              <w:t> </w:t>
            </w:r>
          </w:p>
        </w:tc>
        <w:tc>
          <w:tcPr>
            <w:tcW w:w="6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71.8</w:t>
            </w:r>
          </w:p>
        </w:tc>
        <w:tc>
          <w:tcPr>
            <w:tcW w:w="1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CCEEFF" w:val="clear"/>
            <w:vAlign w:val="center"/>
          </w:tcPr>
          <w:p>
            <w:pPr>
              <w:pStyle w:val="TableContents"/>
              <w:bidi w:val="0"/>
              <w:spacing w:before="0" w:after="283"/>
              <w:ind w:left="0" w:right="0" w:hanging="0"/>
              <w:jc w:val="left"/>
            </w:pPr>
            <w:r>
              <w:t> </w:t>
            </w:r>
          </w:p>
        </w:tc>
        <w:tc>
          <w:tcPr>
            <w:tcW w:w="12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85,367</w:t>
            </w:r>
          </w:p>
        </w:tc>
        <w:tc>
          <w:tcPr>
            <w:tcW w:w="61" w:type="dxa"/>
            <w:tcBorders/>
            <w:shd w:fill="CCEEFF" w:val="clear"/>
            <w:vAlign w:val="center"/>
          </w:tcPr>
          <w:p>
            <w:pPr>
              <w:pStyle w:val="TableContents"/>
              <w:bidi w:val="0"/>
              <w:spacing w:before="0" w:after="283"/>
              <w:jc w:val="left"/>
            </w:pPr>
            <w:r>
              <w:t> </w:t>
            </w:r>
          </w:p>
        </w:tc>
        <w:tc>
          <w:tcPr>
            <w:tcW w:w="61" w:type="dxa"/>
            <w:tcBorders/>
            <w:shd w:fill="CCEEFF" w:val="clear"/>
            <w:vAlign w:val="center"/>
          </w:tcPr>
          <w:p>
            <w:pPr>
              <w:pStyle w:val="TableContents"/>
              <w:bidi w:val="0"/>
              <w:spacing w:before="0" w:after="283"/>
              <w:jc w:val="left"/>
            </w:pPr>
            <w:r>
              <w:t> </w:t>
            </w:r>
          </w:p>
        </w:tc>
        <w:tc>
          <w:tcPr>
            <w:tcW w:w="100" w:type="dxa"/>
            <w:tcBorders/>
            <w:shd w:fill="CCEEFF" w:val="clear"/>
            <w:vAlign w:val="center"/>
          </w:tcPr>
          <w:p>
            <w:pPr>
              <w:pStyle w:val="TableContents"/>
              <w:bidi w:val="0"/>
              <w:spacing w:before="0" w:after="283"/>
              <w:ind w:left="0" w:right="0" w:hanging="0"/>
              <w:jc w:val="left"/>
            </w:pPr>
            <w:r>
              <w:t> </w:t>
            </w:r>
          </w:p>
        </w:tc>
        <w:tc>
          <w:tcPr>
            <w:tcW w:w="6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108,353</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126.9</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15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FFFFFF" w:val="clear"/>
            <w:vAlign w:val="center"/>
          </w:tcPr>
          <w:p>
            <w:pPr>
              <w:pStyle w:val="TableContents"/>
              <w:bidi w:val="0"/>
              <w:spacing w:before="0" w:after="283"/>
              <w:jc w:val="left"/>
            </w:pPr>
            <w:r>
              <w:t> </w:t>
            </w:r>
          </w:p>
        </w:tc>
        <w:tc>
          <w:tcPr>
            <w:tcW w:w="128" w:type="dxa"/>
            <w:tcBorders/>
            <w:shd w:fill="FFFFFF" w:val="clear"/>
            <w:vAlign w:val="center"/>
          </w:tcPr>
          <w:p>
            <w:pPr>
              <w:pStyle w:val="TableContents"/>
              <w:bidi w:val="0"/>
              <w:spacing w:before="0" w:after="283"/>
              <w:ind w:left="0" w:right="0" w:hanging="0"/>
              <w:jc w:val="left"/>
            </w:pPr>
            <w:r>
              <w:t> </w:t>
            </w:r>
          </w:p>
        </w:tc>
        <w:tc>
          <w:tcPr>
            <w:tcW w:w="71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76,155</w:t>
            </w:r>
          </w:p>
        </w:tc>
        <w:tc>
          <w:tcPr>
            <w:tcW w:w="61" w:type="dxa"/>
            <w:tcBorders/>
            <w:shd w:fill="FFFFFF" w:val="clear"/>
            <w:vAlign w:val="center"/>
          </w:tcPr>
          <w:p>
            <w:pPr>
              <w:pStyle w:val="TableContents"/>
              <w:bidi w:val="0"/>
              <w:spacing w:before="0" w:after="283"/>
              <w:jc w:val="left"/>
            </w:pPr>
            <w:r>
              <w:t> </w:t>
            </w:r>
          </w:p>
        </w:tc>
        <w:tc>
          <w:tcPr>
            <w:tcW w:w="61" w:type="dxa"/>
            <w:tcBorders/>
            <w:shd w:fill="FFFFFF" w:val="clear"/>
            <w:vAlign w:val="center"/>
          </w:tcPr>
          <w:p>
            <w:pPr>
              <w:pStyle w:val="TableContents"/>
              <w:bidi w:val="0"/>
              <w:spacing w:before="0" w:after="283"/>
              <w:jc w:val="left"/>
            </w:pPr>
            <w:r>
              <w:t> </w:t>
            </w:r>
          </w:p>
        </w:tc>
        <w:tc>
          <w:tcPr>
            <w:tcW w:w="100" w:type="dxa"/>
            <w:tcBorders/>
            <w:shd w:fill="FFFFFF" w:val="clear"/>
            <w:vAlign w:val="center"/>
          </w:tcPr>
          <w:p>
            <w:pPr>
              <w:pStyle w:val="TableContents"/>
              <w:bidi w:val="0"/>
              <w:spacing w:before="0" w:after="283"/>
              <w:ind w:left="0" w:right="0" w:hanging="0"/>
              <w:jc w:val="left"/>
            </w:pPr>
            <w:r>
              <w:t> </w:t>
            </w:r>
          </w:p>
        </w:tc>
        <w:tc>
          <w:tcPr>
            <w:tcW w:w="6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28.2</w:t>
            </w:r>
          </w:p>
        </w:tc>
        <w:tc>
          <w:tcPr>
            <w:tcW w:w="18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FFFFFF" w:val="clear"/>
            <w:vAlign w:val="center"/>
          </w:tcPr>
          <w:p>
            <w:pPr>
              <w:pStyle w:val="TableContents"/>
              <w:bidi w:val="0"/>
              <w:spacing w:before="0" w:after="283"/>
              <w:jc w:val="left"/>
            </w:pPr>
            <w:r>
              <w:t> </w:t>
            </w:r>
          </w:p>
        </w:tc>
        <w:tc>
          <w:tcPr>
            <w:tcW w:w="128" w:type="dxa"/>
            <w:tcBorders/>
            <w:shd w:fill="FFFFFF" w:val="clear"/>
            <w:vAlign w:val="center"/>
          </w:tcPr>
          <w:p>
            <w:pPr>
              <w:pStyle w:val="TableContents"/>
              <w:bidi w:val="0"/>
              <w:spacing w:before="0" w:after="283"/>
              <w:ind w:left="0" w:right="0" w:hanging="0"/>
              <w:jc w:val="left"/>
            </w:pPr>
            <w: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33,263</w:t>
            </w:r>
          </w:p>
        </w:tc>
        <w:tc>
          <w:tcPr>
            <w:tcW w:w="61" w:type="dxa"/>
            <w:tcBorders/>
            <w:shd w:fill="FFFFFF" w:val="clear"/>
            <w:vAlign w:val="center"/>
          </w:tcPr>
          <w:p>
            <w:pPr>
              <w:pStyle w:val="TableContents"/>
              <w:bidi w:val="0"/>
              <w:spacing w:before="0" w:after="283"/>
              <w:jc w:val="left"/>
            </w:pPr>
            <w:r>
              <w:t> </w:t>
            </w:r>
          </w:p>
        </w:tc>
        <w:tc>
          <w:tcPr>
            <w:tcW w:w="61" w:type="dxa"/>
            <w:tcBorders/>
            <w:shd w:fill="FFFFFF" w:val="clear"/>
            <w:vAlign w:val="center"/>
          </w:tcPr>
          <w:p>
            <w:pPr>
              <w:pStyle w:val="TableContents"/>
              <w:bidi w:val="0"/>
              <w:spacing w:before="0" w:after="283"/>
              <w:jc w:val="left"/>
            </w:pPr>
            <w:r>
              <w:t> </w:t>
            </w:r>
          </w:p>
        </w:tc>
        <w:tc>
          <w:tcPr>
            <w:tcW w:w="100" w:type="dxa"/>
            <w:tcBorders/>
            <w:shd w:fill="FFFFFF" w:val="clear"/>
            <w:vAlign w:val="center"/>
          </w:tcPr>
          <w:p>
            <w:pPr>
              <w:pStyle w:val="TableContents"/>
              <w:bidi w:val="0"/>
              <w:spacing w:before="0" w:after="283"/>
              <w:ind w:left="0" w:right="0" w:hanging="0"/>
              <w:jc w:val="left"/>
            </w:pPr>
            <w:r>
              <w:t> </w:t>
            </w:r>
          </w:p>
        </w:tc>
        <w:tc>
          <w:tcPr>
            <w:tcW w:w="6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42,892</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128.9</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pPr>
      <w:r>
        <w:t> </w:t>
      </w:r>
    </w:p>
    <w:tbl>
      <w:tblPr>
        <w:tblW w:w="7010" w:type="dxa"/>
        <w:jc w:val="left"/>
        <w:tblInd w:w="0" w:type="dxa"/>
        <w:tblLayout w:type="fixed"/>
        <w:tblCellMar>
          <w:top w:w="0" w:type="dxa"/>
          <w:left w:w="0" w:type="dxa"/>
          <w:bottom w:w="0" w:type="dxa"/>
          <w:right w:w="0" w:type="dxa"/>
        </w:tblCellMar>
      </w:tblPr>
      <w:tblGrid>
        <w:gridCol w:w="1535"/>
        <w:gridCol w:w="60"/>
        <w:gridCol w:w="125"/>
        <w:gridCol w:w="695"/>
        <w:gridCol w:w="60"/>
        <w:gridCol w:w="60"/>
        <w:gridCol w:w="100"/>
        <w:gridCol w:w="640"/>
        <w:gridCol w:w="185"/>
        <w:gridCol w:w="60"/>
        <w:gridCol w:w="125"/>
        <w:gridCol w:w="695"/>
        <w:gridCol w:w="60"/>
        <w:gridCol w:w="60"/>
        <w:gridCol w:w="100"/>
        <w:gridCol w:w="640"/>
        <w:gridCol w:w="185"/>
        <w:gridCol w:w="60"/>
        <w:gridCol w:w="125"/>
        <w:gridCol w:w="695"/>
        <w:gridCol w:w="60"/>
        <w:gridCol w:w="60"/>
        <w:gridCol w:w="60"/>
        <w:gridCol w:w="380"/>
        <w:gridCol w:w="185"/>
      </w:tblGrid>
      <w:tr>
        <w:tc>
          <w:tcPr>
            <w:tcW w:w="1535"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3605"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 September 30,</w:t>
            </w:r>
          </w:p>
        </w:tc>
        <w:tc>
          <w:tcPr>
            <w:tcW w:w="185"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440" w:type="dxa"/>
            <w:gridSpan w:val="2"/>
            <w:tcBorders>
              <w:bottom w:val="single" w:sz="2" w:space="0" w:color="000000"/>
            </w:tcBorders>
            <w:tcMar>
              <w:bottom w:w="28"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185" w:type="dxa"/>
            <w:tcBorders/>
            <w:vAlign w:val="center"/>
          </w:tcPr>
          <w:p>
            <w:pPr>
              <w:pStyle w:val="TableContents"/>
              <w:bidi w:val="0"/>
              <w:spacing w:before="0" w:after="283"/>
              <w:jc w:val="left"/>
            </w:pPr>
            <w:r>
              <w:t> </w:t>
            </w:r>
          </w:p>
        </w:tc>
      </w:tr>
      <w:tr>
        <w:tc>
          <w:tcPr>
            <w:tcW w:w="153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ind w:left="0" w:right="0" w:hanging="0"/>
              <w:jc w:val="left"/>
            </w:pPr>
            <w:r>
              <w:t> </w:t>
            </w:r>
          </w:p>
        </w:tc>
        <w:tc>
          <w:tcPr>
            <w:tcW w:w="168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85"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168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85"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138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185" w:type="dxa"/>
            <w:tcBorders/>
            <w:vAlign w:val="center"/>
          </w:tcPr>
          <w:p>
            <w:pPr>
              <w:pStyle w:val="TableContents"/>
              <w:bidi w:val="0"/>
              <w:spacing w:before="0" w:after="283"/>
              <w:jc w:val="left"/>
            </w:pPr>
            <w:r>
              <w:t> </w:t>
            </w:r>
          </w:p>
        </w:tc>
      </w:tr>
      <w:tr>
        <w:tc>
          <w:tcPr>
            <w:tcW w:w="153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jc w:val="left"/>
            </w:pPr>
            <w:r>
              <w:t> </w:t>
            </w:r>
          </w:p>
        </w:tc>
        <w:tc>
          <w:tcPr>
            <w:tcW w:w="125" w:type="dxa"/>
            <w:tcBorders/>
            <w:vAlign w:val="center"/>
          </w:tcPr>
          <w:p>
            <w:pPr>
              <w:pStyle w:val="TableContents"/>
              <w:bidi w:val="0"/>
              <w:spacing w:before="0" w:after="283"/>
              <w:jc w:val="left"/>
            </w:pPr>
            <w:r>
              <w:t> </w:t>
            </w:r>
          </w:p>
        </w:tc>
        <w:tc>
          <w:tcPr>
            <w:tcW w:w="695" w:type="dxa"/>
            <w:tcBorders/>
            <w:vAlign w:val="center"/>
          </w:tcPr>
          <w:p>
            <w:pPr>
              <w:pStyle w:val="TableContents"/>
              <w:bidi w:val="0"/>
              <w:spacing w:before="0" w:after="283"/>
              <w:jc w:val="center"/>
            </w:pPr>
            <w:r>
              <w:t> </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74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w:t>
            </w:r>
          </w:p>
        </w:tc>
        <w:tc>
          <w:tcPr>
            <w:tcW w:w="185"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125" w:type="dxa"/>
            <w:tcBorders/>
            <w:vAlign w:val="center"/>
          </w:tcPr>
          <w:p>
            <w:pPr>
              <w:pStyle w:val="TableContents"/>
              <w:bidi w:val="0"/>
              <w:spacing w:before="0" w:after="283"/>
              <w:jc w:val="left"/>
            </w:pPr>
            <w:r>
              <w:t> </w:t>
            </w:r>
          </w:p>
        </w:tc>
        <w:tc>
          <w:tcPr>
            <w:tcW w:w="695" w:type="dxa"/>
            <w:tcBorders/>
            <w:vAlign w:val="center"/>
          </w:tcPr>
          <w:p>
            <w:pPr>
              <w:pStyle w:val="TableContents"/>
              <w:bidi w:val="0"/>
              <w:spacing w:before="0" w:after="283"/>
              <w:jc w:val="center"/>
            </w:pPr>
            <w:r>
              <w:t> </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74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w:t>
            </w:r>
          </w:p>
        </w:tc>
        <w:tc>
          <w:tcPr>
            <w:tcW w:w="185"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125" w:type="dxa"/>
            <w:tcBorders/>
            <w:vAlign w:val="center"/>
          </w:tcPr>
          <w:p>
            <w:pPr>
              <w:pStyle w:val="TableContents"/>
              <w:bidi w:val="0"/>
              <w:spacing w:before="0" w:after="283"/>
              <w:jc w:val="left"/>
            </w:pPr>
            <w:r>
              <w:t> </w:t>
            </w:r>
          </w:p>
        </w:tc>
        <w:tc>
          <w:tcPr>
            <w:tcW w:w="695"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440" w:type="dxa"/>
            <w:gridSpan w:val="2"/>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85" w:type="dxa"/>
            <w:tcBorders/>
            <w:vAlign w:val="center"/>
          </w:tcPr>
          <w:p>
            <w:pPr>
              <w:pStyle w:val="TableContents"/>
              <w:bidi w:val="0"/>
              <w:spacing w:before="0" w:after="283"/>
              <w:jc w:val="left"/>
            </w:pPr>
            <w:r>
              <w:t> </w:t>
            </w:r>
          </w:p>
        </w:tc>
      </w:tr>
      <w:tr>
        <w:tc>
          <w:tcPr>
            <w:tcW w:w="153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ind w:left="0" w:right="0" w:hanging="0"/>
              <w:jc w:val="left"/>
            </w:pPr>
            <w: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7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185"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7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185"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4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185" w:type="dxa"/>
            <w:tcBorders/>
            <w:vAlign w:val="center"/>
          </w:tcPr>
          <w:p>
            <w:pPr>
              <w:pStyle w:val="TableContents"/>
              <w:bidi w:val="0"/>
              <w:spacing w:before="0" w:after="283"/>
              <w:jc w:val="left"/>
            </w:pPr>
            <w:r>
              <w:t> </w:t>
            </w:r>
          </w:p>
        </w:tc>
      </w:tr>
      <w:tr>
        <w:tc>
          <w:tcPr>
            <w:tcW w:w="153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ind w:left="0" w:right="0" w:hanging="0"/>
              <w:jc w:val="left"/>
            </w:pPr>
            <w:r>
              <w:t> </w:t>
            </w:r>
          </w:p>
        </w:tc>
        <w:tc>
          <w:tcPr>
            <w:tcW w:w="5230" w:type="dxa"/>
            <w:gridSpan w:val="2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 except percentages)</w:t>
            </w:r>
          </w:p>
        </w:tc>
        <w:tc>
          <w:tcPr>
            <w:tcW w:w="185" w:type="dxa"/>
            <w:tcBorders/>
            <w:vAlign w:val="center"/>
          </w:tcPr>
          <w:p>
            <w:pPr>
              <w:pStyle w:val="TableContents"/>
              <w:bidi w:val="0"/>
              <w:spacing w:before="0" w:after="283"/>
              <w:jc w:val="left"/>
            </w:pPr>
            <w:r>
              <w:t> </w:t>
            </w:r>
          </w:p>
        </w:tc>
      </w:tr>
      <w:tr>
        <w:tc>
          <w:tcPr>
            <w:tcW w:w="15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goods sold</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439,664</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00" w:type="dxa"/>
            <w:tcBorders/>
            <w:shd w:fill="CCEEFF" w:val="clear"/>
            <w:vAlign w:val="center"/>
          </w:tcPr>
          <w:p>
            <w:pPr>
              <w:pStyle w:val="TableContents"/>
              <w:bidi w:val="0"/>
              <w:spacing w:before="0" w:after="283"/>
              <w:ind w:left="0" w:right="0" w:hanging="0"/>
              <w:jc w:val="left"/>
            </w:pPr>
            <w:r>
              <w:t> </w:t>
            </w:r>
          </w:p>
        </w:tc>
        <w:tc>
          <w:tcPr>
            <w:tcW w:w="6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226,472</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00" w:type="dxa"/>
            <w:tcBorders/>
            <w:shd w:fill="CCEEFF" w:val="clear"/>
            <w:vAlign w:val="center"/>
          </w:tcPr>
          <w:p>
            <w:pPr>
              <w:pStyle w:val="TableContents"/>
              <w:bidi w:val="0"/>
              <w:spacing w:before="0" w:after="283"/>
              <w:ind w:left="0" w:right="0" w:hanging="0"/>
              <w:jc w:val="left"/>
            </w:pPr>
            <w:r>
              <w:t> </w:t>
            </w:r>
          </w:p>
        </w:tc>
        <w:tc>
          <w:tcPr>
            <w:tcW w:w="6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213,192</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15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173,278</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00" w:type="dxa"/>
            <w:tcBorders/>
            <w:shd w:fill="FFFFFF" w:val="clear"/>
            <w:vAlign w:val="center"/>
          </w:tcPr>
          <w:p>
            <w:pPr>
              <w:pStyle w:val="TableContents"/>
              <w:bidi w:val="0"/>
              <w:spacing w:before="0" w:after="283"/>
              <w:ind w:left="0" w:right="0" w:hanging="0"/>
              <w:jc w:val="left"/>
            </w:pPr>
            <w:r>
              <w:t> </w:t>
            </w:r>
          </w:p>
        </w:tc>
        <w:tc>
          <w:tcPr>
            <w:tcW w:w="6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28.3</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94,969</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00" w:type="dxa"/>
            <w:tcBorders/>
            <w:shd w:fill="FFFFFF" w:val="clear"/>
            <w:vAlign w:val="center"/>
          </w:tcPr>
          <w:p>
            <w:pPr>
              <w:pStyle w:val="TableContents"/>
              <w:bidi w:val="0"/>
              <w:spacing w:before="0" w:after="283"/>
              <w:ind w:left="0" w:right="0" w:hanging="0"/>
              <w:jc w:val="left"/>
            </w:pPr>
            <w:r>
              <w:t> </w:t>
            </w:r>
          </w:p>
        </w:tc>
        <w:tc>
          <w:tcPr>
            <w:tcW w:w="6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78,309</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3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pPr>
      <w: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25 </w:t>
      </w:r>
    </w:p>
    <w:p>
      <w:pPr>
        <w:pStyle w:val="HorizontalLine"/>
        <w:pBdr>
          <w:bottom w:val="double" w:sz="2" w:space="0" w:color="808080"/>
        </w:pBdr>
        <w:bidi w:val="0"/>
        <w:spacing w:before="0" w:after="283"/>
        <w:jc w:val="left"/>
      </w:pPr>
      <w:r/>
    </w:p>
    <w:p>
      <w:pPr>
        <w:pStyle w:val="TextBody"/>
        <w:bidi w:val="0"/>
        <w:jc w:val="left"/>
      </w:pPr>
      <w:hyperlink w:anchor="toc">
        <w:r>
          <w:rPr>
            <w:rStyle w:val="InternetLink"/>
            <w:rFonts w:ascii="Times New Roman;Times;serif" w:hAnsi="Times New Roman;Times;serif"/>
            <w:sz w:val="20"/>
          </w:rPr>
          <w:t>Table of Contents</w:t>
        </w:r>
      </w:hyperlink>
      <w:r>
        <w:t xml:space="preserve"> </w:t>
      </w:r>
    </w:p>
    <w:p>
      <w:pPr>
        <w:pStyle w:val="TextBody"/>
        <w:bidi w:val="0"/>
        <w:spacing w:before="0" w:after="0"/>
        <w:ind w:left="0" w:right="0" w:hanging="0"/>
        <w:jc w:val="left"/>
      </w:pPr>
      <w: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Cost of goods sold increased by $108.4 million, or 126.9%, for the three months ended </w:t>
      </w:r>
      <w:r>
        <w:rPr>
          <w:rFonts w:ascii="Times New Roman;Times;serif" w:hAnsi="Times New Roman;Times;serif"/>
          <w:sz w:val="20"/>
        </w:rPr>
        <w:t>September 30, 2026</w:t>
      </w:r>
      <w:r>
        <w:rPr>
          <w:rFonts w:ascii="Times New Roman;Times;serif" w:hAnsi="Times New Roman;Times;serif"/>
          <w:sz w:val="20"/>
          <w:shd w:fill="FFFFFF" w:val="clear"/>
        </w:rPr>
        <w:t>, compared to the three months ended </w:t>
      </w:r>
      <w:r>
        <w:rPr>
          <w:rFonts w:ascii="Times New Roman;Times;serif" w:hAnsi="Times New Roman;Times;serif"/>
          <w:sz w:val="20"/>
        </w:rPr>
        <w:t>September 30, 2025</w:t>
      </w:r>
      <w:r>
        <w:rPr>
          <w:rFonts w:ascii="Times New Roman;Times;serif" w:hAnsi="Times New Roman;Times;serif"/>
          <w:sz w:val="20"/>
          <w:shd w:fill="FFFFFF" w:val="clear"/>
        </w:rPr>
        <w:t>. </w:t>
      </w:r>
      <w:r>
        <w:rPr>
          <w:rFonts w:ascii="Times New Roman;Times;serif" w:hAnsi="Times New Roman;Times;serif"/>
          <w:sz w:val="20"/>
        </w:rPr>
        <w:t>The increase was primarily attributable to:</w:t>
      </w:r>
    </w:p>
    <w:tbl>
      <w:tblPr>
        <w:tblW w:w="10205" w:type="dxa"/>
        <w:jc w:val="left"/>
        <w:tblInd w:w="0" w:type="dxa"/>
        <w:tblLayout w:type="fixed"/>
        <w:tblCellMar>
          <w:top w:w="0" w:type="dxa"/>
          <w:left w:w="0" w:type="dxa"/>
          <w:bottom w:w="0" w:type="dxa"/>
          <w:right w:w="0" w:type="dxa"/>
        </w:tblCellMar>
      </w:tblPr>
      <w:tblGrid>
        <w:gridCol w:w="60"/>
        <w:gridCol w:w="170"/>
        <w:gridCol w:w="9975"/>
      </w:tblGrid>
      <w:tr>
        <w:tc>
          <w:tcPr>
            <w:tcW w:w="6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$85.3 million increase in direct material costs, primarily driven by higher raw material consumption related to certain data center products;</w:t>
            </w:r>
          </w:p>
        </w:tc>
      </w:tr>
    </w:tbl>
    <w:tbl>
      <w:tblPr>
        <w:tblW w:w="7585" w:type="dxa"/>
        <w:jc w:val="left"/>
        <w:tblInd w:w="0" w:type="dxa"/>
        <w:tblLayout w:type="fixed"/>
        <w:tblCellMar>
          <w:top w:w="0" w:type="dxa"/>
          <w:left w:w="0" w:type="dxa"/>
          <w:bottom w:w="0" w:type="dxa"/>
          <w:right w:w="0" w:type="dxa"/>
        </w:tblCellMar>
      </w:tblPr>
      <w:tblGrid>
        <w:gridCol w:w="60"/>
        <w:gridCol w:w="170"/>
        <w:gridCol w:w="7355"/>
      </w:tblGrid>
      <w:tr>
        <w:tc>
          <w:tcPr>
            <w:tcW w:w="6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3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$13.0 million increase in direct labor costs, primarily due to increased production activity;</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c>
          <w:tcPr>
            <w:tcW w:w="6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 increase in other manufacturing and production related costs of approximately $17.0 million, associated with higher production levels; and</w:t>
            </w:r>
          </w:p>
        </w:tc>
      </w:tr>
      <w:tr>
        <w:tc>
          <w:tcPr>
            <w:tcW w:w="6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w:t>
            </w:r>
          </w:p>
        </w:tc>
        <w:tc>
          <w:tcPr>
            <w:tcW w:w="9975" w:type="dxa"/>
            <w:tcBorders/>
            <w:vAlign w:val="center"/>
          </w:tcPr>
          <w:p>
            <w:pPr>
              <w:pStyle w:val="TableContents"/>
              <w:bidi w:val="0"/>
              <w:spacing w:before="0" w:after="283"/>
              <w:jc w:val="left"/>
            </w:pPr>
            <w:r>
              <w:t>offset by $6.9 million decrease in inventory write-off and reserve adjustments.</w:t>
            </w:r>
          </w:p>
        </w:tc>
      </w:tr>
    </w:tbl>
    <w:p>
      <w:pPr>
        <w:pStyle w:val="TextBody"/>
        <w:bidi w:val="0"/>
        <w:spacing w:before="0" w:after="0"/>
        <w:ind w:left="0" w:right="0" w:hanging="0"/>
        <w:jc w:val="left"/>
      </w:pPr>
      <w: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Cost of goods sold increased by $213.2 million, or 94.1%, for the nine months ended </w:t>
      </w:r>
      <w:r>
        <w:rPr>
          <w:rFonts w:ascii="Times New Roman;Times;serif" w:hAnsi="Times New Roman;Times;serif"/>
          <w:sz w:val="20"/>
        </w:rPr>
        <w:t>September 30, 2026</w:t>
      </w:r>
      <w:r>
        <w:rPr>
          <w:rFonts w:ascii="Times New Roman;Times;serif" w:hAnsi="Times New Roman;Times;serif"/>
          <w:sz w:val="20"/>
          <w:shd w:fill="FFFFFF" w:val="clear"/>
        </w:rPr>
        <w:t>, compared to the nine months ended </w:t>
      </w:r>
      <w:r>
        <w:rPr>
          <w:rFonts w:ascii="Times New Roman;Times;serif" w:hAnsi="Times New Roman;Times;serif"/>
          <w:sz w:val="20"/>
        </w:rPr>
        <w:t>September 30, 2025</w:t>
      </w:r>
      <w:r>
        <w:rPr>
          <w:rFonts w:ascii="Times New Roman;Times;serif" w:hAnsi="Times New Roman;Times;serif"/>
          <w:sz w:val="20"/>
          <w:shd w:fill="FFFFFF" w:val="clear"/>
        </w:rPr>
        <w:t>. </w:t>
      </w:r>
      <w:r>
        <w:rPr>
          <w:rFonts w:ascii="Times New Roman;Times;serif" w:hAnsi="Times New Roman;Times;serif"/>
          <w:sz w:val="20"/>
        </w:rPr>
        <w:t>The increase was primarily attributable to:</w:t>
      </w:r>
    </w:p>
    <w:tbl>
      <w:tblPr>
        <w:tblW w:w="7300" w:type="dxa"/>
        <w:jc w:val="left"/>
        <w:tblInd w:w="0" w:type="dxa"/>
        <w:tblLayout w:type="fixed"/>
        <w:tblCellMar>
          <w:top w:w="0" w:type="dxa"/>
          <w:left w:w="0" w:type="dxa"/>
          <w:bottom w:w="0" w:type="dxa"/>
          <w:right w:w="0" w:type="dxa"/>
        </w:tblCellMar>
      </w:tblPr>
      <w:tblGrid>
        <w:gridCol w:w="60"/>
        <w:gridCol w:w="170"/>
        <w:gridCol w:w="7070"/>
      </w:tblGrid>
      <w:tr>
        <w:tc>
          <w:tcPr>
            <w:tcW w:w="6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0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$155.5 million increase in direct material, primarily due to higher production volumes;</w:t>
            </w:r>
          </w:p>
        </w:tc>
      </w:tr>
    </w:tbl>
    <w:tbl>
      <w:tblPr>
        <w:tblW w:w="8035" w:type="dxa"/>
        <w:jc w:val="left"/>
        <w:tblInd w:w="0" w:type="dxa"/>
        <w:tblLayout w:type="fixed"/>
        <w:tblCellMar>
          <w:top w:w="0" w:type="dxa"/>
          <w:left w:w="0" w:type="dxa"/>
          <w:bottom w:w="0" w:type="dxa"/>
          <w:right w:w="0" w:type="dxa"/>
        </w:tblCellMar>
      </w:tblPr>
      <w:tblGrid>
        <w:gridCol w:w="60"/>
        <w:gridCol w:w="170"/>
        <w:gridCol w:w="7805"/>
      </w:tblGrid>
      <w:tr>
        <w:tc>
          <w:tcPr>
            <w:tcW w:w="6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8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$27.1 million increase in direct labor costs, primarily due to increased production ramp activity;</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c>
          <w:tcPr>
            <w:tcW w:w="6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 increase in other manufacturing and production related costs of approximately $37.3 million, associated with changes in inventory demand forecasts; and </w:t>
            </w:r>
          </w:p>
        </w:tc>
      </w:tr>
      <w:tr>
        <w:tc>
          <w:tcPr>
            <w:tcW w:w="6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w:t>
            </w:r>
          </w:p>
        </w:tc>
        <w:tc>
          <w:tcPr>
            <w:tcW w:w="9975" w:type="dxa"/>
            <w:tcBorders/>
            <w:vAlign w:val="center"/>
          </w:tcPr>
          <w:p>
            <w:pPr>
              <w:pStyle w:val="TableContents"/>
              <w:bidi w:val="0"/>
              <w:spacing w:before="0" w:after="283"/>
              <w:jc w:val="left"/>
            </w:pPr>
            <w:r>
              <w:t>offset by $6.7 million decrease in inventory write-off and reserve adjustments.</w:t>
            </w:r>
          </w:p>
        </w:tc>
      </w:tr>
    </w:tbl>
    <w:p>
      <w:pPr>
        <w:pStyle w:val="TextBody"/>
        <w:bidi w:val="0"/>
        <w:spacing w:before="0" w:after="0"/>
        <w:ind w:left="0" w:right="0" w:firstLine="720"/>
        <w:jc w:val="left"/>
      </w:pPr>
      <w: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Gross margin increased to 28.2% for the three</w:t>
      </w:r>
      <w:r>
        <w:rPr>
          <w:rFonts w:ascii="Times New Roman;Times;serif" w:hAnsi="Times New Roman;Times;serif"/>
          <w:sz w:val="20"/>
          <w:shd w:fill="FFFFFF" w:val="clear"/>
        </w:rPr>
        <w:t> m</w:t>
      </w:r>
      <w:r>
        <w:rPr>
          <w:rFonts w:ascii="Times New Roman;Times;serif" w:hAnsi="Times New Roman;Times;serif"/>
          <w:sz w:val="20"/>
        </w:rPr>
        <w:t>onths ended</w:t>
      </w:r>
      <w:r>
        <w:rPr>
          <w:rFonts w:ascii="Times New Roman;Times;serif" w:hAnsi="Times New Roman;Times;serif"/>
          <w:sz w:val="20"/>
          <w:shd w:fill="FFFFFF" w:val="clear"/>
        </w:rPr>
        <w:t> </w:t>
      </w:r>
      <w:r>
        <w:rPr>
          <w:rFonts w:ascii="Times New Roman;Times;serif" w:hAnsi="Times New Roman;Times;serif"/>
          <w:sz w:val="20"/>
        </w:rPr>
        <w:t>September 30, 2026, compared to 28.0% for the three months ended September 30, 2025. The increase in gross margin was primarily attributable to:</w:t>
      </w:r>
    </w:p>
    <w:tbl>
      <w:tblPr>
        <w:tblW w:w="3730" w:type="dxa"/>
        <w:jc w:val="left"/>
        <w:tblInd w:w="0" w:type="dxa"/>
        <w:tblLayout w:type="fixed"/>
        <w:tblCellMar>
          <w:top w:w="0" w:type="dxa"/>
          <w:left w:w="0" w:type="dxa"/>
          <w:bottom w:w="0" w:type="dxa"/>
          <w:right w:w="0" w:type="dxa"/>
        </w:tblCellMar>
      </w:tblPr>
      <w:tblGrid>
        <w:gridCol w:w="60"/>
        <w:gridCol w:w="170"/>
        <w:gridCol w:w="3500"/>
      </w:tblGrid>
      <w:tr>
        <w:tc>
          <w:tcPr>
            <w:tcW w:w="6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500" w:type="dxa"/>
            <w:tcBorders/>
            <w:vAlign w:val="center"/>
          </w:tcPr>
          <w:p>
            <w:pPr>
              <w:pStyle w:val="TableContents"/>
              <w:bidi w:val="0"/>
              <w:spacing w:before="0" w:after="283"/>
              <w:jc w:val="left"/>
            </w:pPr>
            <w:r>
              <w:t>more high-margin products sold; and</w:t>
            </w:r>
          </w:p>
        </w:tc>
      </w:tr>
      <w:tr>
        <w:tc>
          <w:tcPr>
            <w:tcW w:w="6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w:t>
            </w:r>
          </w:p>
        </w:tc>
        <w:tc>
          <w:tcPr>
            <w:tcW w:w="3500" w:type="dxa"/>
            <w:tcBorders/>
            <w:vAlign w:val="center"/>
          </w:tcPr>
          <w:p>
            <w:pPr>
              <w:pStyle w:val="TableContents"/>
              <w:bidi w:val="0"/>
              <w:spacing w:before="0" w:after="283"/>
              <w:jc w:val="left"/>
            </w:pPr>
            <w:r>
              <w:t>a lower inventory write-off of 2.7%.</w:t>
            </w:r>
          </w:p>
        </w:tc>
      </w:tr>
    </w:tbl>
    <w:p>
      <w:pPr>
        <w:pStyle w:val="TextBody"/>
        <w:bidi w:val="0"/>
        <w:spacing w:before="0" w:after="0"/>
        <w:ind w:left="0" w:right="0" w:firstLine="720"/>
        <w:jc w:val="left"/>
      </w:pPr>
      <w: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Gross profit increased by $42.9 million, or 128.9% </w:t>
      </w:r>
      <w:r>
        <w:rPr>
          <w:rFonts w:ascii="Times New Roman;Times;serif" w:hAnsi="Times New Roman;Times;serif"/>
          <w:sz w:val="20"/>
          <w:shd w:fill="FFFFFF" w:val="clear"/>
        </w:rPr>
        <w:t>for the three months ended </w:t>
      </w:r>
      <w:r>
        <w:rPr>
          <w:rFonts w:ascii="Times New Roman;Times;serif" w:hAnsi="Times New Roman;Times;serif"/>
          <w:sz w:val="20"/>
        </w:rPr>
        <w:t>September 30, 2026</w:t>
      </w:r>
      <w:r>
        <w:rPr>
          <w:rFonts w:ascii="Times New Roman;Times;serif" w:hAnsi="Times New Roman;Times;serif"/>
          <w:sz w:val="20"/>
          <w:shd w:fill="FFFFFF" w:val="clear"/>
        </w:rPr>
        <w:t>, compared to the three months ended </w:t>
      </w:r>
      <w:r>
        <w:rPr>
          <w:rFonts w:ascii="Times New Roman;Times;serif" w:hAnsi="Times New Roman;Times;serif"/>
          <w:sz w:val="20"/>
        </w:rPr>
        <w:t>September 30, 2025. The increase in gross profit was primarily attributable to:</w:t>
      </w:r>
    </w:p>
    <w:tbl>
      <w:tblPr>
        <w:tblW w:w="8275" w:type="dxa"/>
        <w:jc w:val="left"/>
        <w:tblInd w:w="0" w:type="dxa"/>
        <w:tblLayout w:type="fixed"/>
        <w:tblCellMar>
          <w:top w:w="0" w:type="dxa"/>
          <w:left w:w="0" w:type="dxa"/>
          <w:bottom w:w="0" w:type="dxa"/>
          <w:right w:w="0" w:type="dxa"/>
        </w:tblCellMar>
      </w:tblPr>
      <w:tblGrid>
        <w:gridCol w:w="60"/>
        <w:gridCol w:w="170"/>
        <w:gridCol w:w="8045"/>
      </w:tblGrid>
      <w:tr>
        <w:tc>
          <w:tcPr>
            <w:tcW w:w="6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0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higher revenues, which contributed approximately $42.4 million to the increase in gross profit, and</w:t>
            </w:r>
          </w:p>
        </w:tc>
      </w:tr>
    </w:tbl>
    <w:tbl>
      <w:tblPr>
        <w:tblW w:w="5680" w:type="dxa"/>
        <w:jc w:val="left"/>
        <w:tblInd w:w="0" w:type="dxa"/>
        <w:tblLayout w:type="fixed"/>
        <w:tblCellMar>
          <w:top w:w="0" w:type="dxa"/>
          <w:left w:w="0" w:type="dxa"/>
          <w:bottom w:w="0" w:type="dxa"/>
          <w:right w:w="0" w:type="dxa"/>
        </w:tblCellMar>
      </w:tblPr>
      <w:tblGrid>
        <w:gridCol w:w="60"/>
        <w:gridCol w:w="170"/>
        <w:gridCol w:w="5450"/>
      </w:tblGrid>
      <w:tr>
        <w:tc>
          <w:tcPr>
            <w:tcW w:w="6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450" w:type="dxa"/>
            <w:tcBorders/>
            <w:vAlign w:val="center"/>
          </w:tcPr>
          <w:p>
            <w:pPr>
              <w:pStyle w:val="TableContents"/>
              <w:bidi w:val="0"/>
              <w:spacing w:before="0" w:after="283"/>
              <w:jc w:val="left"/>
            </w:pPr>
            <w:r>
              <w:t>a decrease in inventory write-off and reserve adjustments.</w:t>
            </w:r>
          </w:p>
        </w:tc>
      </w:tr>
    </w:tbl>
    <w:p>
      <w:pPr>
        <w:pStyle w:val="TextBody"/>
        <w:bidi w:val="0"/>
        <w:spacing w:before="0" w:after="0"/>
        <w:ind w:left="0" w:right="0" w:hanging="0"/>
        <w:jc w:val="left"/>
      </w:pPr>
      <w: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Gross margin decreased to 28.3% for the nine </w:t>
      </w:r>
      <w:r>
        <w:rPr>
          <w:rFonts w:ascii="Times New Roman" w:hAnsi="Times New Roman"/>
          <w:caps w:val="false"/>
          <w:smallCaps w:val="false"/>
          <w:sz w:val="20"/>
          <w:shd w:fill="FFFFFF" w:val="clear"/>
        </w:rPr>
        <w:t> m</w:t>
      </w:r>
      <w:r>
        <w:rPr>
          <w:rFonts w:ascii="Times New Roman" w:hAnsi="Times New Roman"/>
          <w:caps w:val="false"/>
          <w:smallCaps w:val="false"/>
          <w:sz w:val="20"/>
        </w:rPr>
        <w:t xml:space="preserve">onths ended </w:t>
      </w:r>
      <w:r>
        <w:rPr>
          <w:rFonts w:ascii="Times New Roman" w:hAnsi="Times New Roman"/>
          <w:caps w:val="false"/>
          <w:smallCaps w:val="false"/>
          <w:sz w:val="20"/>
          <w:shd w:fill="FFFFFF" w:val="clear"/>
        </w:rPr>
        <w:t> </w:t>
      </w:r>
      <w:r>
        <w:rPr>
          <w:rFonts w:ascii="Times New Roman" w:hAnsi="Times New Roman"/>
          <w:caps w:val="false"/>
          <w:smallCaps w:val="false"/>
          <w:sz w:val="20"/>
        </w:rPr>
        <w:t xml:space="preserve"> September 30, 2026, compared to 29.5% for the nine months ended September 30, 2025. Despite the decrease in gross margin percentage, gross profit increased by $78.3 million, or 82.5%, driven by higher revenues. The decrease in gross margin was primarily attributable to:  </w:t>
      </w:r>
    </w:p>
    <w:tbl>
      <w:tblPr>
        <w:tblW w:w="10205" w:type="dxa"/>
        <w:jc w:val="left"/>
        <w:tblInd w:w="0" w:type="dxa"/>
        <w:tblLayout w:type="fixed"/>
        <w:tblCellMar>
          <w:top w:w="0" w:type="dxa"/>
          <w:left w:w="0" w:type="dxa"/>
          <w:bottom w:w="0" w:type="dxa"/>
          <w:right w:w="0" w:type="dxa"/>
        </w:tblCellMar>
      </w:tblPr>
      <w:tblGrid>
        <w:gridCol w:w="60"/>
        <w:gridCol w:w="170"/>
        <w:gridCol w:w="9975"/>
      </w:tblGrid>
      <w:tr>
        <w:tc>
          <w:tcPr>
            <w:tcW w:w="6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Unfavorable product mix along with increased inventory-related costs, partially offset by improved absorption of manufacturing costs associated with higher production volumes.</w:t>
            </w:r>
          </w:p>
        </w:tc>
      </w:tr>
    </w:tbl>
    <w:p>
      <w:pPr>
        <w:pStyle w:val="TextBody"/>
        <w:bidi w:val="0"/>
        <w:ind w:left="0" w:right="0" w:firstLine="720"/>
        <w:jc w:val="left"/>
        <w:rPr>
          <w:caps w:val="false"/>
          <w:smallCaps w:val="false"/>
        </w:rPr>
      </w:pPr>
      <w:r>
        <w:rPr>
          <w:caps w:val="false"/>
          <w:smallCaps w:val="false"/>
        </w:rPr>
        <w:t xml:space="preserve">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Gross profit increased by $78.3 million, or 82.5% for the nine months ended</w:t>
      </w:r>
      <w:r>
        <w:rPr>
          <w:rFonts w:ascii="Times New Roman" w:hAnsi="Times New Roman"/>
          <w:caps w:val="false"/>
          <w:smallCaps w:val="false"/>
          <w:sz w:val="20"/>
          <w:shd w:fill="FFFFFF" w:val="clear"/>
        </w:rPr>
        <w:t> </w:t>
      </w:r>
      <w:r>
        <w:rPr>
          <w:rFonts w:ascii="Times New Roman" w:hAnsi="Times New Roman"/>
          <w:caps w:val="false"/>
          <w:smallCaps w:val="false"/>
          <w:sz w:val="20"/>
        </w:rPr>
        <w:t>September 30, 2026, compared to the nine months ended September 30, 2025. The increase in gross profit was primarily attributable to:</w:t>
      </w:r>
    </w:p>
    <w:tbl>
      <w:tblPr>
        <w:tblW w:w="9430" w:type="dxa"/>
        <w:jc w:val="left"/>
        <w:tblInd w:w="0" w:type="dxa"/>
        <w:tblLayout w:type="fixed"/>
        <w:tblCellMar>
          <w:top w:w="0" w:type="dxa"/>
          <w:left w:w="0" w:type="dxa"/>
          <w:bottom w:w="0" w:type="dxa"/>
          <w:right w:w="0" w:type="dxa"/>
        </w:tblCellMar>
      </w:tblPr>
      <w:tblGrid>
        <w:gridCol w:w="60"/>
        <w:gridCol w:w="170"/>
        <w:gridCol w:w="9200"/>
      </w:tblGrid>
      <w:tr>
        <w:tc>
          <w:tcPr>
            <w:tcW w:w="6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2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higher revenues, which contributed approximately $86.1 million to the increase in gross profit; partially offset by</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c>
          <w:tcPr>
            <w:tcW w:w="6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283"/>
              <w:jc w:val="left"/>
            </w:pPr>
            <w:r>
              <w:t>increased costs associated with certain data center products, which negatively impacted gross profit by approximately $7.8 million; and</w:t>
            </w:r>
          </w:p>
        </w:tc>
      </w:tr>
    </w:tbl>
    <w:tbl>
      <w:tblPr>
        <w:tblW w:w="5680" w:type="dxa"/>
        <w:jc w:val="left"/>
        <w:tblInd w:w="0" w:type="dxa"/>
        <w:tblLayout w:type="fixed"/>
        <w:tblCellMar>
          <w:top w:w="0" w:type="dxa"/>
          <w:left w:w="0" w:type="dxa"/>
          <w:bottom w:w="0" w:type="dxa"/>
          <w:right w:w="0" w:type="dxa"/>
        </w:tblCellMar>
      </w:tblPr>
      <w:tblGrid>
        <w:gridCol w:w="60"/>
        <w:gridCol w:w="170"/>
        <w:gridCol w:w="5450"/>
      </w:tblGrid>
      <w:tr>
        <w:tc>
          <w:tcPr>
            <w:tcW w:w="6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450" w:type="dxa"/>
            <w:tcBorders/>
            <w:vAlign w:val="center"/>
          </w:tcPr>
          <w:p>
            <w:pPr>
              <w:pStyle w:val="TableContents"/>
              <w:bidi w:val="0"/>
              <w:spacing w:before="0" w:after="283"/>
              <w:jc w:val="left"/>
            </w:pPr>
            <w:r>
              <w:t>a decrease in inventory write-off and reserve adjustments.</w:t>
            </w:r>
          </w:p>
        </w:tc>
      </w:tr>
    </w:tbl>
    <w:p>
      <w:pPr>
        <w:pStyle w:val="TextBody"/>
        <w:bidi w:val="0"/>
        <w:spacing w:before="0" w:after="0"/>
        <w:ind w:left="0" w:right="0" w:firstLine="720"/>
        <w:jc w:val="left"/>
        <w:rPr>
          <w:caps w:val="false"/>
          <w:smallCaps w:val="false"/>
        </w:rPr>
      </w:pPr>
      <w:r>
        <w:rPr>
          <w:caps w:val="false"/>
          <w:smallCaps w:val="false"/>
        </w:rPr>
        <w:t xml:space="preserve">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Management expects gross margin to increase in future periods as a result of product mix, cost optimization initiatives, and production efficiencies. </w:t>
      </w:r>
    </w:p>
    <w:p>
      <w:pPr>
        <w:pStyle w:val="TextBody"/>
        <w:bidi w:val="0"/>
        <w:spacing w:before="0" w:after="0"/>
        <w:jc w:val="left"/>
      </w:pPr>
      <w:r>
        <w:t xml:space="preserve">  </w:t>
      </w:r>
    </w:p>
    <w:p>
      <w:pPr>
        <w:pStyle w:val="TextBody"/>
        <w:bidi w:val="0"/>
        <w:jc w:val="left"/>
        <w:rPr>
          <w:sz w:val="20"/>
        </w:rPr>
      </w:pPr>
      <w:r>
        <w:rPr>
          <w:i/>
          <w:sz w:val="20"/>
        </w:rPr>
        <w:t>Operating Expenses</w:t>
      </w:r>
      <w:r>
        <w:rPr>
          <w:sz w:val="20"/>
        </w:rPr>
        <w:t xml:space="preserve"> </w:t>
      </w:r>
    </w:p>
    <w:p>
      <w:pPr>
        <w:pStyle w:val="TextBody"/>
        <w:bidi w:val="0"/>
        <w:spacing w:before="0" w:after="0"/>
        <w:ind w:left="0" w:right="0" w:hanging="0"/>
        <w:jc w:val="left"/>
      </w:pPr>
      <w:r>
        <w:t> </w:t>
      </w:r>
    </w:p>
    <w:tbl>
      <w:tblPr>
        <w:tblW w:w="7536" w:type="dxa"/>
        <w:jc w:val="left"/>
        <w:tblInd w:w="0" w:type="dxa"/>
        <w:tblLayout w:type="fixed"/>
        <w:tblCellMar>
          <w:top w:w="0" w:type="dxa"/>
          <w:left w:w="0" w:type="dxa"/>
          <w:bottom w:w="0" w:type="dxa"/>
          <w:right w:w="0" w:type="dxa"/>
        </w:tblCellMar>
      </w:tblPr>
      <w:tblGrid>
        <w:gridCol w:w="2210"/>
        <w:gridCol w:w="60"/>
        <w:gridCol w:w="133"/>
        <w:gridCol w:w="627"/>
        <w:gridCol w:w="63"/>
        <w:gridCol w:w="63"/>
        <w:gridCol w:w="94"/>
        <w:gridCol w:w="601"/>
        <w:gridCol w:w="196"/>
        <w:gridCol w:w="63"/>
        <w:gridCol w:w="133"/>
        <w:gridCol w:w="627"/>
        <w:gridCol w:w="63"/>
        <w:gridCol w:w="63"/>
        <w:gridCol w:w="94"/>
        <w:gridCol w:w="601"/>
        <w:gridCol w:w="185"/>
        <w:gridCol w:w="60"/>
        <w:gridCol w:w="125"/>
        <w:gridCol w:w="590"/>
        <w:gridCol w:w="80"/>
        <w:gridCol w:w="60"/>
        <w:gridCol w:w="60"/>
        <w:gridCol w:w="440"/>
        <w:gridCol w:w="245"/>
      </w:tblGrid>
      <w:tr>
        <w:tc>
          <w:tcPr>
            <w:tcW w:w="221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3421"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September 30,</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15" w:type="dxa"/>
            <w:gridSpan w:val="2"/>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500" w:type="dxa"/>
            <w:gridSpan w:val="2"/>
            <w:tcBorders/>
            <w:shd w:fill="FFFFFF" w:val="clear"/>
            <w:vAlign w:val="center"/>
          </w:tcPr>
          <w:p>
            <w:pPr>
              <w:pStyle w:val="TableContents"/>
              <w:bidi w:val="0"/>
              <w:spacing w:before="0" w:after="283"/>
              <w:jc w:val="left"/>
            </w:pPr>
            <w:r>
              <w:t> </w:t>
            </w:r>
          </w:p>
        </w:tc>
        <w:tc>
          <w:tcPr>
            <w:tcW w:w="245" w:type="dxa"/>
            <w:tcBorders/>
            <w:shd w:fill="FFFFFF" w:val="clear"/>
            <w:vAlign w:val="center"/>
          </w:tcPr>
          <w:p>
            <w:pPr>
              <w:pStyle w:val="TableContents"/>
              <w:bidi w:val="0"/>
              <w:spacing w:before="0" w:after="283"/>
              <w:jc w:val="left"/>
            </w:pPr>
            <w:r>
              <w:t> </w:t>
            </w:r>
          </w:p>
        </w:tc>
      </w:tr>
      <w:tr>
        <w:tc>
          <w:tcPr>
            <w:tcW w:w="221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58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96" w:type="dxa"/>
            <w:tcBorders/>
            <w:shd w:fill="FFFFFF" w:val="clear"/>
            <w:vAlign w:val="center"/>
          </w:tcPr>
          <w:p>
            <w:pPr>
              <w:pStyle w:val="TableContents"/>
              <w:bidi w:val="0"/>
              <w:spacing w:before="0" w:after="283"/>
              <w:jc w:val="left"/>
            </w:pPr>
            <w:r>
              <w:t> </w:t>
            </w:r>
          </w:p>
        </w:tc>
        <w:tc>
          <w:tcPr>
            <w:tcW w:w="63" w:type="dxa"/>
            <w:tcBorders/>
            <w:shd w:fill="FFFFFF" w:val="clear"/>
            <w:vAlign w:val="center"/>
          </w:tcPr>
          <w:p>
            <w:pPr>
              <w:pStyle w:val="TableContents"/>
              <w:bidi w:val="0"/>
              <w:spacing w:before="0" w:after="283"/>
              <w:ind w:left="0" w:right="0" w:hanging="0"/>
              <w:jc w:val="left"/>
            </w:pPr>
            <w:r>
              <w:t> </w:t>
            </w:r>
          </w:p>
        </w:tc>
        <w:tc>
          <w:tcPr>
            <w:tcW w:w="158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35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245" w:type="dxa"/>
            <w:tcBorders/>
            <w:shd w:fill="FFFFFF" w:val="clear"/>
            <w:vAlign w:val="center"/>
          </w:tcPr>
          <w:p>
            <w:pPr>
              <w:pStyle w:val="TableContents"/>
              <w:bidi w:val="0"/>
              <w:spacing w:before="0" w:after="283"/>
              <w:jc w:val="left"/>
            </w:pPr>
            <w:r>
              <w:t> </w:t>
            </w:r>
          </w:p>
        </w:tc>
      </w:tr>
      <w:tr>
        <w:tc>
          <w:tcPr>
            <w:tcW w:w="221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60" w:type="dxa"/>
            <w:gridSpan w:val="2"/>
            <w:tcBorders/>
            <w:shd w:fill="FFFFFF" w:val="clear"/>
            <w:vAlign w:val="center"/>
          </w:tcPr>
          <w:p>
            <w:pPr>
              <w:pStyle w:val="TableContents"/>
              <w:bidi w:val="0"/>
              <w:spacing w:before="0" w:after="283"/>
              <w:jc w:val="left"/>
            </w:pPr>
            <w:r>
              <w:t> </w:t>
            </w:r>
          </w:p>
        </w:tc>
        <w:tc>
          <w:tcPr>
            <w:tcW w:w="63" w:type="dxa"/>
            <w:tcBorders/>
            <w:shd w:fill="FFFFFF" w:val="clear"/>
            <w:vAlign w:val="center"/>
          </w:tcPr>
          <w:p>
            <w:pPr>
              <w:pStyle w:val="TableContents"/>
              <w:bidi w:val="0"/>
              <w:spacing w:before="0" w:after="283"/>
              <w:jc w:val="left"/>
            </w:pPr>
            <w:r>
              <w:t> </w:t>
            </w:r>
          </w:p>
        </w:tc>
        <w:tc>
          <w:tcPr>
            <w:tcW w:w="63" w:type="dxa"/>
            <w:tcBorders/>
            <w:shd w:fill="FFFFFF" w:val="clear"/>
            <w:vAlign w:val="center"/>
          </w:tcPr>
          <w:p>
            <w:pPr>
              <w:pStyle w:val="TableContents"/>
              <w:bidi w:val="0"/>
              <w:spacing w:before="0" w:after="283"/>
              <w:ind w:left="0" w:right="0" w:hanging="0"/>
              <w:jc w:val="left"/>
            </w:pPr>
            <w:r>
              <w:t> </w:t>
            </w:r>
          </w:p>
        </w:tc>
        <w:tc>
          <w:tcPr>
            <w:tcW w:w="69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w:t>
            </w:r>
          </w:p>
        </w:tc>
        <w:tc>
          <w:tcPr>
            <w:tcW w:w="196" w:type="dxa"/>
            <w:tcBorders/>
            <w:shd w:fill="FFFFFF" w:val="clear"/>
            <w:vAlign w:val="center"/>
          </w:tcPr>
          <w:p>
            <w:pPr>
              <w:pStyle w:val="TableContents"/>
              <w:bidi w:val="0"/>
              <w:spacing w:before="0" w:after="283"/>
              <w:jc w:val="left"/>
            </w:pPr>
            <w:r>
              <w:t> </w:t>
            </w:r>
          </w:p>
        </w:tc>
        <w:tc>
          <w:tcPr>
            <w:tcW w:w="63" w:type="dxa"/>
            <w:tcBorders/>
            <w:shd w:fill="FFFFFF" w:val="clear"/>
            <w:vAlign w:val="center"/>
          </w:tcPr>
          <w:p>
            <w:pPr>
              <w:pStyle w:val="TableContents"/>
              <w:bidi w:val="0"/>
              <w:spacing w:before="0" w:after="283"/>
              <w:ind w:left="0" w:right="0" w:hanging="0"/>
              <w:jc w:val="left"/>
            </w:pPr>
            <w:r>
              <w:t> </w:t>
            </w:r>
          </w:p>
        </w:tc>
        <w:tc>
          <w:tcPr>
            <w:tcW w:w="760" w:type="dxa"/>
            <w:gridSpan w:val="2"/>
            <w:tcBorders/>
            <w:shd w:fill="FFFFFF" w:val="clear"/>
            <w:vAlign w:val="center"/>
          </w:tcPr>
          <w:p>
            <w:pPr>
              <w:pStyle w:val="TableContents"/>
              <w:bidi w:val="0"/>
              <w:spacing w:before="0" w:after="283"/>
              <w:jc w:val="left"/>
            </w:pPr>
            <w:r>
              <w:t> </w:t>
            </w:r>
          </w:p>
        </w:tc>
        <w:tc>
          <w:tcPr>
            <w:tcW w:w="63" w:type="dxa"/>
            <w:tcBorders/>
            <w:shd w:fill="FFFFFF" w:val="clear"/>
            <w:vAlign w:val="center"/>
          </w:tcPr>
          <w:p>
            <w:pPr>
              <w:pStyle w:val="TableContents"/>
              <w:bidi w:val="0"/>
              <w:spacing w:before="0" w:after="283"/>
              <w:jc w:val="left"/>
            </w:pPr>
            <w:r>
              <w:t> </w:t>
            </w:r>
          </w:p>
        </w:tc>
        <w:tc>
          <w:tcPr>
            <w:tcW w:w="63" w:type="dxa"/>
            <w:tcBorders/>
            <w:shd w:fill="FFFFFF" w:val="clear"/>
            <w:vAlign w:val="center"/>
          </w:tcPr>
          <w:p>
            <w:pPr>
              <w:pStyle w:val="TableContents"/>
              <w:bidi w:val="0"/>
              <w:spacing w:before="0" w:after="283"/>
              <w:ind w:left="0" w:right="0" w:hanging="0"/>
              <w:jc w:val="left"/>
            </w:pPr>
            <w:r>
              <w:t> </w:t>
            </w:r>
          </w:p>
        </w:tc>
        <w:tc>
          <w:tcPr>
            <w:tcW w:w="69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15" w:type="dxa"/>
            <w:gridSpan w:val="2"/>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500" w:type="dxa"/>
            <w:gridSpan w:val="2"/>
            <w:tcBorders/>
            <w:shd w:fill="FFFFFF" w:val="clear"/>
            <w:vAlign w:val="center"/>
          </w:tcPr>
          <w:p>
            <w:pPr>
              <w:pStyle w:val="TableContents"/>
              <w:bidi w:val="0"/>
              <w:spacing w:before="0" w:after="283"/>
              <w:jc w:val="left"/>
            </w:pPr>
            <w:r>
              <w:t> </w:t>
            </w:r>
          </w:p>
        </w:tc>
        <w:tc>
          <w:tcPr>
            <w:tcW w:w="245" w:type="dxa"/>
            <w:tcBorders/>
            <w:shd w:fill="FFFFFF" w:val="clear"/>
            <w:vAlign w:val="center"/>
          </w:tcPr>
          <w:p>
            <w:pPr>
              <w:pStyle w:val="TableContents"/>
              <w:bidi w:val="0"/>
              <w:spacing w:before="0" w:after="283"/>
              <w:jc w:val="left"/>
            </w:pPr>
            <w:r>
              <w:t> </w:t>
            </w:r>
          </w:p>
        </w:tc>
      </w:tr>
      <w:tr>
        <w:tc>
          <w:tcPr>
            <w:tcW w:w="221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3" w:type="dxa"/>
            <w:tcBorders/>
            <w:shd w:fill="FFFFFF" w:val="clear"/>
            <w:vAlign w:val="center"/>
          </w:tcPr>
          <w:p>
            <w:pPr>
              <w:pStyle w:val="TableContents"/>
              <w:bidi w:val="0"/>
              <w:spacing w:before="0" w:after="283"/>
              <w:jc w:val="left"/>
            </w:pPr>
            <w:r>
              <w:t> </w:t>
            </w:r>
          </w:p>
        </w:tc>
        <w:tc>
          <w:tcPr>
            <w:tcW w:w="63" w:type="dxa"/>
            <w:tcBorders/>
            <w:shd w:fill="FFFFFF" w:val="clear"/>
            <w:vAlign w:val="center"/>
          </w:tcPr>
          <w:p>
            <w:pPr>
              <w:pStyle w:val="TableContents"/>
              <w:bidi w:val="0"/>
              <w:spacing w:before="0" w:after="283"/>
              <w:ind w:left="0" w:right="0" w:hanging="0"/>
              <w:jc w:val="left"/>
            </w:pPr>
            <w: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196" w:type="dxa"/>
            <w:tcBorders/>
            <w:shd w:fill="FFFFFF" w:val="clear"/>
            <w:vAlign w:val="center"/>
          </w:tcPr>
          <w:p>
            <w:pPr>
              <w:pStyle w:val="TableContents"/>
              <w:bidi w:val="0"/>
              <w:spacing w:before="0" w:after="283"/>
              <w:jc w:val="left"/>
            </w:pPr>
            <w:r>
              <w:t> </w:t>
            </w:r>
          </w:p>
        </w:tc>
        <w:tc>
          <w:tcPr>
            <w:tcW w:w="63" w:type="dxa"/>
            <w:tcBorders/>
            <w:shd w:fill="FFFFFF" w:val="clear"/>
            <w:vAlign w:val="center"/>
          </w:tcPr>
          <w:p>
            <w:pPr>
              <w:pStyle w:val="TableContents"/>
              <w:bidi w:val="0"/>
              <w:spacing w:before="0" w:after="283"/>
              <w:ind w:left="0" w:right="0" w:hanging="0"/>
              <w:jc w:val="left"/>
            </w:pPr>
            <w:r>
              <w:t> </w:t>
            </w:r>
          </w:p>
        </w:tc>
        <w:tc>
          <w:tcPr>
            <w:tcW w:w="7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3" w:type="dxa"/>
            <w:tcBorders/>
            <w:shd w:fill="FFFFFF" w:val="clear"/>
            <w:vAlign w:val="center"/>
          </w:tcPr>
          <w:p>
            <w:pPr>
              <w:pStyle w:val="TableContents"/>
              <w:bidi w:val="0"/>
              <w:spacing w:before="0" w:after="283"/>
              <w:jc w:val="left"/>
            </w:pPr>
            <w:r>
              <w:t> </w:t>
            </w:r>
          </w:p>
        </w:tc>
        <w:tc>
          <w:tcPr>
            <w:tcW w:w="63" w:type="dxa"/>
            <w:tcBorders/>
            <w:shd w:fill="FFFFFF" w:val="clear"/>
            <w:vAlign w:val="center"/>
          </w:tcPr>
          <w:p>
            <w:pPr>
              <w:pStyle w:val="TableContents"/>
              <w:bidi w:val="0"/>
              <w:spacing w:before="0" w:after="283"/>
              <w:ind w:left="0" w:right="0" w:hanging="0"/>
              <w:jc w:val="left"/>
            </w:pPr>
            <w: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5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
            </w:r>
          </w:p>
        </w:tc>
        <w:tc>
          <w:tcPr>
            <w:tcW w:w="245" w:type="dxa"/>
            <w:tcBorders/>
            <w:shd w:fill="FFFFFF" w:val="clear"/>
            <w:vAlign w:val="center"/>
          </w:tcPr>
          <w:p>
            <w:pPr>
              <w:pStyle w:val="TableContents"/>
              <w:bidi w:val="0"/>
              <w:spacing w:before="0" w:after="283"/>
              <w:jc w:val="left"/>
            </w:pPr>
            <w:r>
              <w:t> </w:t>
            </w:r>
          </w:p>
        </w:tc>
      </w:tr>
      <w:tr>
        <w:tc>
          <w:tcPr>
            <w:tcW w:w="221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5021" w:type="dxa"/>
            <w:gridSpan w:val="2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 except percentages)</w:t>
            </w:r>
          </w:p>
        </w:tc>
        <w:tc>
          <w:tcPr>
            <w:tcW w:w="245" w:type="dxa"/>
            <w:tcBorders/>
            <w:shd w:fill="FFFFFF" w:val="clear"/>
            <w:vAlign w:val="center"/>
          </w:tcPr>
          <w:p>
            <w:pPr>
              <w:pStyle w:val="TableContents"/>
              <w:bidi w:val="0"/>
              <w:spacing w:before="0" w:after="283"/>
              <w:jc w:val="left"/>
            </w:pPr>
            <w:r>
              <w:t> </w:t>
            </w:r>
          </w:p>
        </w:tc>
      </w:tr>
      <w:tr>
        <w:tc>
          <w:tcPr>
            <w:tcW w:w="22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CCEEFF" w:val="clear"/>
            <w:vAlign w:val="center"/>
          </w:tcPr>
          <w:p>
            <w:pPr>
              <w:pStyle w:val="TableContents"/>
              <w:bidi w:val="0"/>
              <w:spacing w:before="0" w:after="283"/>
              <w:ind w:left="0" w:right="0" w:hanging="0"/>
              <w:jc w:val="left"/>
            </w:pPr>
            <w:r>
              <w:t> </w:t>
            </w:r>
          </w:p>
        </w:tc>
        <w:tc>
          <w:tcPr>
            <w:tcW w:w="13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38,109</w:t>
            </w:r>
          </w:p>
        </w:tc>
        <w:tc>
          <w:tcPr>
            <w:tcW w:w="63" w:type="dxa"/>
            <w:tcBorders/>
            <w:shd w:fill="CCEEFF" w:val="clear"/>
            <w:vAlign w:val="center"/>
          </w:tcPr>
          <w:p>
            <w:pPr>
              <w:pStyle w:val="TableContents"/>
              <w:bidi w:val="0"/>
              <w:spacing w:before="0" w:after="283"/>
              <w:jc w:val="left"/>
            </w:pPr>
            <w:r>
              <w:t> </w:t>
            </w:r>
          </w:p>
        </w:tc>
        <w:tc>
          <w:tcPr>
            <w:tcW w:w="63" w:type="dxa"/>
            <w:tcBorders/>
            <w:shd w:fill="CCEEFF" w:val="clear"/>
            <w:vAlign w:val="center"/>
          </w:tcPr>
          <w:p>
            <w:pPr>
              <w:pStyle w:val="TableContents"/>
              <w:bidi w:val="0"/>
              <w:spacing w:before="0" w:after="283"/>
              <w:jc w:val="left"/>
            </w:pPr>
            <w:r>
              <w:t> </w:t>
            </w:r>
          </w:p>
        </w:tc>
        <w:tc>
          <w:tcPr>
            <w:tcW w:w="94" w:type="dxa"/>
            <w:tcBorders/>
            <w:shd w:fill="CCEEFF" w:val="clear"/>
            <w:vAlign w:val="center"/>
          </w:tcPr>
          <w:p>
            <w:pPr>
              <w:pStyle w:val="TableContents"/>
              <w:bidi w:val="0"/>
              <w:spacing w:before="0" w:after="283"/>
              <w:ind w:left="0" w:right="0" w:hanging="0"/>
              <w:jc w:val="left"/>
            </w:pPr>
            <w:r>
              <w:t> </w:t>
            </w:r>
          </w:p>
        </w:tc>
        <w:tc>
          <w:tcPr>
            <w:tcW w:w="6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w:t>
            </w:r>
          </w:p>
        </w:tc>
        <w:tc>
          <w:tcPr>
            <w:tcW w:w="19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3" w:type="dxa"/>
            <w:tcBorders/>
            <w:shd w:fill="CCEEFF" w:val="clear"/>
            <w:vAlign w:val="center"/>
          </w:tcPr>
          <w:p>
            <w:pPr>
              <w:pStyle w:val="TableContents"/>
              <w:bidi w:val="0"/>
              <w:spacing w:before="0" w:after="283"/>
              <w:ind w:left="0" w:right="0" w:hanging="0"/>
              <w:jc w:val="left"/>
            </w:pPr>
            <w:r>
              <w:t> </w:t>
            </w:r>
          </w:p>
        </w:tc>
        <w:tc>
          <w:tcPr>
            <w:tcW w:w="13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21,265</w:t>
            </w:r>
          </w:p>
        </w:tc>
        <w:tc>
          <w:tcPr>
            <w:tcW w:w="63" w:type="dxa"/>
            <w:tcBorders/>
            <w:shd w:fill="CCEEFF" w:val="clear"/>
            <w:vAlign w:val="center"/>
          </w:tcPr>
          <w:p>
            <w:pPr>
              <w:pStyle w:val="TableContents"/>
              <w:bidi w:val="0"/>
              <w:spacing w:before="0" w:after="283"/>
              <w:jc w:val="left"/>
            </w:pPr>
            <w:r>
              <w:t> </w:t>
            </w:r>
          </w:p>
        </w:tc>
        <w:tc>
          <w:tcPr>
            <w:tcW w:w="63" w:type="dxa"/>
            <w:tcBorders/>
            <w:shd w:fill="CCEEFF" w:val="clear"/>
            <w:vAlign w:val="center"/>
          </w:tcPr>
          <w:p>
            <w:pPr>
              <w:pStyle w:val="TableContents"/>
              <w:bidi w:val="0"/>
              <w:spacing w:before="0" w:after="283"/>
              <w:jc w:val="left"/>
            </w:pPr>
            <w:r>
              <w:t> </w:t>
            </w:r>
          </w:p>
        </w:tc>
        <w:tc>
          <w:tcPr>
            <w:tcW w:w="94" w:type="dxa"/>
            <w:tcBorders/>
            <w:shd w:fill="CCEEFF" w:val="clear"/>
            <w:vAlign w:val="center"/>
          </w:tcPr>
          <w:p>
            <w:pPr>
              <w:pStyle w:val="TableContents"/>
              <w:bidi w:val="0"/>
              <w:spacing w:before="0" w:after="283"/>
              <w:ind w:left="0" w:right="0" w:hanging="0"/>
              <w:jc w:val="left"/>
            </w:pPr>
            <w:r>
              <w:t> </w:t>
            </w:r>
          </w:p>
        </w:tc>
        <w:tc>
          <w:tcPr>
            <w:tcW w:w="6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16,844</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4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79.2</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22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and marketing</w:t>
            </w:r>
          </w:p>
        </w:tc>
        <w:tc>
          <w:tcPr>
            <w:tcW w:w="60" w:type="dxa"/>
            <w:tcBorders/>
            <w:shd w:fill="FFFFFF" w:val="clear"/>
            <w:vAlign w:val="center"/>
          </w:tcPr>
          <w:p>
            <w:pPr>
              <w:pStyle w:val="TableContents"/>
              <w:bidi w:val="0"/>
              <w:spacing w:before="0" w:after="283"/>
              <w:jc w:val="left"/>
            </w:pPr>
            <w:r>
              <w:t> </w:t>
            </w:r>
          </w:p>
        </w:tc>
        <w:tc>
          <w:tcPr>
            <w:tcW w:w="133" w:type="dxa"/>
            <w:tcBorders/>
            <w:shd w:fill="FFFFFF" w:val="clear"/>
            <w:vAlign w:val="center"/>
          </w:tcPr>
          <w:p>
            <w:pPr>
              <w:pStyle w:val="TableContents"/>
              <w:bidi w:val="0"/>
              <w:spacing w:before="0" w:after="283"/>
              <w:ind w:left="0" w:right="0" w:hanging="0"/>
              <w:jc w:val="left"/>
            </w:pPr>
            <w:r>
              <w:t> </w:t>
            </w:r>
          </w:p>
        </w:tc>
        <w:tc>
          <w:tcPr>
            <w:tcW w:w="62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7,875</w:t>
            </w:r>
          </w:p>
        </w:tc>
        <w:tc>
          <w:tcPr>
            <w:tcW w:w="63" w:type="dxa"/>
            <w:tcBorders/>
            <w:shd w:fill="FFFFFF" w:val="clear"/>
            <w:vAlign w:val="center"/>
          </w:tcPr>
          <w:p>
            <w:pPr>
              <w:pStyle w:val="TableContents"/>
              <w:bidi w:val="0"/>
              <w:spacing w:before="0" w:after="283"/>
              <w:jc w:val="left"/>
            </w:pPr>
            <w:r>
              <w:t> </w:t>
            </w:r>
          </w:p>
        </w:tc>
        <w:tc>
          <w:tcPr>
            <w:tcW w:w="63" w:type="dxa"/>
            <w:tcBorders/>
            <w:shd w:fill="FFFFFF" w:val="clear"/>
            <w:vAlign w:val="center"/>
          </w:tcPr>
          <w:p>
            <w:pPr>
              <w:pStyle w:val="TableContents"/>
              <w:bidi w:val="0"/>
              <w:spacing w:before="0" w:after="283"/>
              <w:jc w:val="left"/>
            </w:pPr>
            <w:r>
              <w:t> </w:t>
            </w:r>
          </w:p>
        </w:tc>
        <w:tc>
          <w:tcPr>
            <w:tcW w:w="94" w:type="dxa"/>
            <w:tcBorders/>
            <w:shd w:fill="FFFFFF" w:val="clear"/>
            <w:vAlign w:val="center"/>
          </w:tcPr>
          <w:p>
            <w:pPr>
              <w:pStyle w:val="TableContents"/>
              <w:bidi w:val="0"/>
              <w:spacing w:before="0" w:after="283"/>
              <w:ind w:left="0" w:right="0" w:hanging="0"/>
              <w:jc w:val="left"/>
            </w:pPr>
            <w:r>
              <w:t> </w:t>
            </w:r>
          </w:p>
        </w:tc>
        <w:tc>
          <w:tcPr>
            <w:tcW w:w="6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w:t>
            </w:r>
          </w:p>
        </w:tc>
        <w:tc>
          <w:tcPr>
            <w:tcW w:w="19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3" w:type="dxa"/>
            <w:tcBorders/>
            <w:shd w:fill="FFFFFF" w:val="clear"/>
            <w:vAlign w:val="center"/>
          </w:tcPr>
          <w:p>
            <w:pPr>
              <w:pStyle w:val="TableContents"/>
              <w:bidi w:val="0"/>
              <w:spacing w:before="0" w:after="283"/>
              <w:jc w:val="left"/>
            </w:pPr>
            <w:r>
              <w:t> </w:t>
            </w:r>
          </w:p>
        </w:tc>
        <w:tc>
          <w:tcPr>
            <w:tcW w:w="133" w:type="dxa"/>
            <w:tcBorders/>
            <w:shd w:fill="FFFFFF" w:val="clear"/>
            <w:vAlign w:val="center"/>
          </w:tcPr>
          <w:p>
            <w:pPr>
              <w:pStyle w:val="TableContents"/>
              <w:bidi w:val="0"/>
              <w:spacing w:before="0" w:after="283"/>
              <w:ind w:left="0" w:right="0" w:hanging="0"/>
              <w:jc w:val="left"/>
            </w:pPr>
            <w:r>
              <w:t> </w:t>
            </w:r>
          </w:p>
        </w:tc>
        <w:tc>
          <w:tcPr>
            <w:tcW w:w="62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9,871</w:t>
            </w:r>
          </w:p>
        </w:tc>
        <w:tc>
          <w:tcPr>
            <w:tcW w:w="63" w:type="dxa"/>
            <w:tcBorders/>
            <w:shd w:fill="FFFFFF" w:val="clear"/>
            <w:vAlign w:val="center"/>
          </w:tcPr>
          <w:p>
            <w:pPr>
              <w:pStyle w:val="TableContents"/>
              <w:bidi w:val="0"/>
              <w:spacing w:before="0" w:after="283"/>
              <w:jc w:val="left"/>
            </w:pPr>
            <w:r>
              <w:t> </w:t>
            </w:r>
          </w:p>
        </w:tc>
        <w:tc>
          <w:tcPr>
            <w:tcW w:w="63" w:type="dxa"/>
            <w:tcBorders/>
            <w:shd w:fill="FFFFFF" w:val="clear"/>
            <w:vAlign w:val="center"/>
          </w:tcPr>
          <w:p>
            <w:pPr>
              <w:pStyle w:val="TableContents"/>
              <w:bidi w:val="0"/>
              <w:spacing w:before="0" w:after="283"/>
              <w:jc w:val="left"/>
            </w:pPr>
            <w:r>
              <w:t> </w:t>
            </w:r>
          </w:p>
        </w:tc>
        <w:tc>
          <w:tcPr>
            <w:tcW w:w="94" w:type="dxa"/>
            <w:tcBorders/>
            <w:shd w:fill="FFFFFF" w:val="clear"/>
            <w:vAlign w:val="center"/>
          </w:tcPr>
          <w:p>
            <w:pPr>
              <w:pStyle w:val="TableContents"/>
              <w:bidi w:val="0"/>
              <w:spacing w:before="0" w:after="283"/>
              <w:ind w:left="0" w:right="0" w:hanging="0"/>
              <w:jc w:val="left"/>
            </w:pPr>
            <w:r>
              <w:t> </w:t>
            </w:r>
          </w:p>
        </w:tc>
        <w:tc>
          <w:tcPr>
            <w:tcW w:w="6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4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22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p>
        </w:tc>
        <w:tc>
          <w:tcPr>
            <w:tcW w:w="60" w:type="dxa"/>
            <w:tcBorders/>
            <w:shd w:fill="CCEEFF" w:val="clear"/>
            <w:vAlign w:val="center"/>
          </w:tcPr>
          <w:p>
            <w:pPr>
              <w:pStyle w:val="TableContents"/>
              <w:bidi w:val="0"/>
              <w:spacing w:before="0" w:after="283"/>
              <w:jc w:val="left"/>
            </w:pPr>
            <w: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62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31,613</w:t>
            </w:r>
          </w:p>
        </w:tc>
        <w:tc>
          <w:tcPr>
            <w:tcW w:w="63" w:type="dxa"/>
            <w:tcBorders/>
            <w:shd w:fill="CCEEFF" w:val="clear"/>
            <w:vAlign w:val="center"/>
          </w:tcPr>
          <w:p>
            <w:pPr>
              <w:pStyle w:val="TableContents"/>
              <w:bidi w:val="0"/>
              <w:spacing w:before="0" w:after="283"/>
              <w:jc w:val="left"/>
            </w:pPr>
            <w:r>
              <w:t> </w:t>
            </w:r>
          </w:p>
        </w:tc>
        <w:tc>
          <w:tcPr>
            <w:tcW w:w="63" w:type="dxa"/>
            <w:tcBorders/>
            <w:shd w:fill="CCEEFF" w:val="clear"/>
            <w:vAlign w:val="center"/>
          </w:tcPr>
          <w:p>
            <w:pPr>
              <w:pStyle w:val="TableContents"/>
              <w:bidi w:val="0"/>
              <w:spacing w:before="0" w:after="283"/>
              <w:jc w:val="left"/>
            </w:pPr>
            <w:r>
              <w:t> </w:t>
            </w:r>
          </w:p>
        </w:tc>
        <w:tc>
          <w:tcPr>
            <w:tcW w:w="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60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w:t>
            </w:r>
          </w:p>
        </w:tc>
        <w:tc>
          <w:tcPr>
            <w:tcW w:w="19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3" w:type="dxa"/>
            <w:tcBorders/>
            <w:shd w:fill="CCEEFF" w:val="clear"/>
            <w:vAlign w:val="center"/>
          </w:tcPr>
          <w:p>
            <w:pPr>
              <w:pStyle w:val="TableContents"/>
              <w:bidi w:val="0"/>
              <w:spacing w:before="0" w:after="283"/>
              <w:jc w:val="left"/>
            </w:pPr>
            <w: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62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20,314</w:t>
            </w:r>
          </w:p>
        </w:tc>
        <w:tc>
          <w:tcPr>
            <w:tcW w:w="63" w:type="dxa"/>
            <w:tcBorders/>
            <w:shd w:fill="CCEEFF" w:val="clear"/>
            <w:vAlign w:val="center"/>
          </w:tcPr>
          <w:p>
            <w:pPr>
              <w:pStyle w:val="TableContents"/>
              <w:bidi w:val="0"/>
              <w:spacing w:before="0" w:after="283"/>
              <w:jc w:val="left"/>
            </w:pPr>
            <w:r>
              <w:t> </w:t>
            </w:r>
          </w:p>
        </w:tc>
        <w:tc>
          <w:tcPr>
            <w:tcW w:w="63" w:type="dxa"/>
            <w:tcBorders/>
            <w:shd w:fill="CCEEFF" w:val="clear"/>
            <w:vAlign w:val="center"/>
          </w:tcPr>
          <w:p>
            <w:pPr>
              <w:pStyle w:val="TableContents"/>
              <w:bidi w:val="0"/>
              <w:spacing w:before="0" w:after="283"/>
              <w:jc w:val="left"/>
            </w:pPr>
            <w:r>
              <w:t> </w:t>
            </w:r>
          </w:p>
        </w:tc>
        <w:tc>
          <w:tcPr>
            <w:tcW w:w="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60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11,299</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4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55.6</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22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p>
        </w:tc>
        <w:tc>
          <w:tcPr>
            <w:tcW w:w="60" w:type="dxa"/>
            <w:tcBorders/>
            <w:shd w:fill="FFFFFF" w:val="clear"/>
            <w:vAlign w:val="center"/>
          </w:tcPr>
          <w:p>
            <w:pPr>
              <w:pStyle w:val="TableContents"/>
              <w:bidi w:val="0"/>
              <w:spacing w:before="0" w:after="283"/>
              <w:ind w:left="0" w:right="0" w:hanging="0"/>
              <w:jc w:val="left"/>
            </w:pPr>
            <w:r>
              <w:t> </w:t>
            </w:r>
          </w:p>
        </w:tc>
        <w:tc>
          <w:tcPr>
            <w:tcW w:w="13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77,597</w:t>
            </w:r>
          </w:p>
        </w:tc>
        <w:tc>
          <w:tcPr>
            <w:tcW w:w="63" w:type="dxa"/>
            <w:tcBorders/>
            <w:shd w:fill="FFFFFF" w:val="clear"/>
            <w:vAlign w:val="center"/>
          </w:tcPr>
          <w:p>
            <w:pPr>
              <w:pStyle w:val="TableContents"/>
              <w:bidi w:val="0"/>
              <w:spacing w:before="0" w:after="283"/>
              <w:jc w:val="left"/>
            </w:pPr>
            <w:r>
              <w:t> </w:t>
            </w:r>
          </w:p>
        </w:tc>
        <w:tc>
          <w:tcPr>
            <w:tcW w:w="63" w:type="dxa"/>
            <w:tcBorders/>
            <w:shd w:fill="FFFFFF" w:val="clear"/>
            <w:vAlign w:val="center"/>
          </w:tcPr>
          <w:p>
            <w:pPr>
              <w:pStyle w:val="TableContents"/>
              <w:bidi w:val="0"/>
              <w:spacing w:before="0" w:after="283"/>
              <w:jc w:val="left"/>
            </w:pPr>
            <w:r>
              <w:t> </w:t>
            </w:r>
          </w:p>
        </w:tc>
        <w:tc>
          <w:tcPr>
            <w:tcW w:w="9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pPr>
            <w:r>
              <w:t> </w:t>
            </w:r>
          </w:p>
        </w:tc>
        <w:tc>
          <w:tcPr>
            <w:tcW w:w="60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28.7</w:t>
            </w:r>
          </w:p>
        </w:tc>
        <w:tc>
          <w:tcPr>
            <w:tcW w:w="19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3" w:type="dxa"/>
            <w:tcBorders/>
            <w:shd w:fill="FFFFFF" w:val="clear"/>
            <w:vAlign w:val="center"/>
          </w:tcPr>
          <w:p>
            <w:pPr>
              <w:pStyle w:val="TableContents"/>
              <w:bidi w:val="0"/>
              <w:spacing w:before="0" w:after="283"/>
              <w:ind w:left="0" w:right="0" w:hanging="0"/>
              <w:jc w:val="left"/>
            </w:pPr>
            <w:r>
              <w:t> </w:t>
            </w:r>
          </w:p>
        </w:tc>
        <w:tc>
          <w:tcPr>
            <w:tcW w:w="13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51,450</w:t>
            </w:r>
          </w:p>
        </w:tc>
        <w:tc>
          <w:tcPr>
            <w:tcW w:w="63" w:type="dxa"/>
            <w:tcBorders/>
            <w:shd w:fill="FFFFFF" w:val="clear"/>
            <w:vAlign w:val="center"/>
          </w:tcPr>
          <w:p>
            <w:pPr>
              <w:pStyle w:val="TableContents"/>
              <w:bidi w:val="0"/>
              <w:spacing w:before="0" w:after="283"/>
              <w:jc w:val="left"/>
            </w:pPr>
            <w:r>
              <w:t> </w:t>
            </w:r>
          </w:p>
        </w:tc>
        <w:tc>
          <w:tcPr>
            <w:tcW w:w="63" w:type="dxa"/>
            <w:tcBorders/>
            <w:shd w:fill="FFFFFF" w:val="clear"/>
            <w:vAlign w:val="center"/>
          </w:tcPr>
          <w:p>
            <w:pPr>
              <w:pStyle w:val="TableContents"/>
              <w:bidi w:val="0"/>
              <w:spacing w:before="0" w:after="283"/>
              <w:jc w:val="left"/>
            </w:pPr>
            <w:r>
              <w:t> </w:t>
            </w:r>
          </w:p>
        </w:tc>
        <w:tc>
          <w:tcPr>
            <w:tcW w:w="9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pPr>
            <w:r>
              <w:t> </w:t>
            </w:r>
          </w:p>
        </w:tc>
        <w:tc>
          <w:tcPr>
            <w:tcW w:w="60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43.3</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26,147</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pPr>
            <w:r>
              <w:t> </w:t>
            </w:r>
          </w:p>
        </w:tc>
        <w:tc>
          <w:tcPr>
            <w:tcW w:w="4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50.8</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pPr>
      <w:r>
        <w:t> </w:t>
      </w:r>
    </w:p>
    <w:tbl>
      <w:tblPr>
        <w:tblW w:w="7520" w:type="dxa"/>
        <w:jc w:val="left"/>
        <w:tblInd w:w="0" w:type="dxa"/>
        <w:tblLayout w:type="fixed"/>
        <w:tblCellMar>
          <w:top w:w="0" w:type="dxa"/>
          <w:left w:w="0" w:type="dxa"/>
          <w:bottom w:w="0" w:type="dxa"/>
          <w:right w:w="0" w:type="dxa"/>
        </w:tblCellMar>
      </w:tblPr>
      <w:tblGrid>
        <w:gridCol w:w="2240"/>
        <w:gridCol w:w="60"/>
        <w:gridCol w:w="125"/>
        <w:gridCol w:w="695"/>
        <w:gridCol w:w="60"/>
        <w:gridCol w:w="60"/>
        <w:gridCol w:w="94"/>
        <w:gridCol w:w="601"/>
        <w:gridCol w:w="185"/>
        <w:gridCol w:w="60"/>
        <w:gridCol w:w="125"/>
        <w:gridCol w:w="695"/>
        <w:gridCol w:w="60"/>
        <w:gridCol w:w="60"/>
        <w:gridCol w:w="94"/>
        <w:gridCol w:w="601"/>
        <w:gridCol w:w="185"/>
        <w:gridCol w:w="60"/>
        <w:gridCol w:w="125"/>
        <w:gridCol w:w="590"/>
        <w:gridCol w:w="60"/>
        <w:gridCol w:w="60"/>
        <w:gridCol w:w="60"/>
        <w:gridCol w:w="380"/>
        <w:gridCol w:w="185"/>
      </w:tblGrid>
      <w:tr>
        <w:tc>
          <w:tcPr>
            <w:tcW w:w="224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3515"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 September 30,</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590" w:type="dxa"/>
            <w:tcBorders/>
            <w:shd w:fill="FFFFFF" w:val="clear"/>
            <w:vAlign w:val="center"/>
          </w:tcPr>
          <w:p>
            <w:pPr>
              <w:pStyle w:val="TableContents"/>
              <w:bidi w:val="0"/>
              <w:spacing w:before="0" w:after="283"/>
              <w:jc w:val="center"/>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380" w:type="dxa"/>
            <w:tcBorders/>
            <w:shd w:fill="FFFFFF" w:val="clear"/>
            <w:vAlign w:val="center"/>
          </w:tcPr>
          <w:p>
            <w:pPr>
              <w:pStyle w:val="TableContents"/>
              <w:bidi w:val="0"/>
              <w:spacing w:before="0" w:after="283"/>
              <w:jc w:val="center"/>
            </w:pPr>
            <w:r>
              <w:t> </w:t>
            </w:r>
          </w:p>
        </w:tc>
        <w:tc>
          <w:tcPr>
            <w:tcW w:w="185" w:type="dxa"/>
            <w:tcBorders/>
            <w:shd w:fill="FFFFFF" w:val="clear"/>
            <w:vAlign w:val="center"/>
          </w:tcPr>
          <w:p>
            <w:pPr>
              <w:pStyle w:val="TableContents"/>
              <w:bidi w:val="0"/>
              <w:spacing w:before="0" w:after="283"/>
              <w:jc w:val="left"/>
            </w:pPr>
            <w:r>
              <w:t> </w:t>
            </w:r>
          </w:p>
        </w:tc>
      </w:tr>
      <w:tr>
        <w:tc>
          <w:tcPr>
            <w:tcW w:w="224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63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63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7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185" w:type="dxa"/>
            <w:tcBorders/>
            <w:shd w:fill="FFFFFF" w:val="clear"/>
            <w:vAlign w:val="center"/>
          </w:tcPr>
          <w:p>
            <w:pPr>
              <w:pStyle w:val="TableContents"/>
              <w:bidi w:val="0"/>
              <w:spacing w:before="0" w:after="283"/>
              <w:jc w:val="left"/>
            </w:pPr>
            <w:r>
              <w:t> </w:t>
            </w:r>
          </w:p>
        </w:tc>
      </w:tr>
      <w:tr>
        <w:tc>
          <w:tcPr>
            <w:tcW w:w="224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695" w:type="dxa"/>
            <w:tcBorders/>
            <w:shd w:fill="FFFFFF" w:val="clear"/>
            <w:vAlign w:val="center"/>
          </w:tcPr>
          <w:p>
            <w:pPr>
              <w:pStyle w:val="TableContents"/>
              <w:bidi w:val="0"/>
              <w:spacing w:before="0" w:after="283"/>
              <w:jc w:val="center"/>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69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695" w:type="dxa"/>
            <w:tcBorders/>
            <w:shd w:fill="FFFFFF" w:val="clear"/>
            <w:vAlign w:val="center"/>
          </w:tcPr>
          <w:p>
            <w:pPr>
              <w:pStyle w:val="TableContents"/>
              <w:bidi w:val="0"/>
              <w:spacing w:before="0" w:after="283"/>
              <w:jc w:val="center"/>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69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590" w:type="dxa"/>
            <w:tcBorders/>
            <w:shd w:fill="FFFFFF" w:val="clear"/>
            <w:vAlign w:val="center"/>
          </w:tcPr>
          <w:p>
            <w:pPr>
              <w:pStyle w:val="TableContents"/>
              <w:bidi w:val="0"/>
              <w:spacing w:before="0" w:after="283"/>
              <w:jc w:val="center"/>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380" w:type="dxa"/>
            <w:tcBorders/>
            <w:shd w:fill="FFFFFF" w:val="clear"/>
            <w:vAlign w:val="center"/>
          </w:tcPr>
          <w:p>
            <w:pPr>
              <w:pStyle w:val="TableContents"/>
              <w:bidi w:val="0"/>
              <w:spacing w:before="0" w:after="283"/>
              <w:jc w:val="center"/>
            </w:pPr>
            <w:r>
              <w:t> </w:t>
            </w:r>
          </w:p>
        </w:tc>
        <w:tc>
          <w:tcPr>
            <w:tcW w:w="185" w:type="dxa"/>
            <w:tcBorders/>
            <w:shd w:fill="FFFFFF" w:val="clear"/>
            <w:vAlign w:val="center"/>
          </w:tcPr>
          <w:p>
            <w:pPr>
              <w:pStyle w:val="TableContents"/>
              <w:bidi w:val="0"/>
              <w:spacing w:before="0" w:after="283"/>
              <w:jc w:val="left"/>
            </w:pPr>
            <w:r>
              <w:t> </w:t>
            </w:r>
          </w:p>
        </w:tc>
      </w:tr>
      <w:tr>
        <w:tc>
          <w:tcPr>
            <w:tcW w:w="224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4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
            </w:r>
          </w:p>
        </w:tc>
        <w:tc>
          <w:tcPr>
            <w:tcW w:w="185" w:type="dxa"/>
            <w:tcBorders/>
            <w:shd w:fill="FFFFFF" w:val="clear"/>
            <w:vAlign w:val="center"/>
          </w:tcPr>
          <w:p>
            <w:pPr>
              <w:pStyle w:val="TableContents"/>
              <w:bidi w:val="0"/>
              <w:spacing w:before="0" w:after="283"/>
              <w:jc w:val="left"/>
            </w:pPr>
            <w:r>
              <w:t> </w:t>
            </w:r>
          </w:p>
        </w:tc>
      </w:tr>
      <w:tr>
        <w:tc>
          <w:tcPr>
            <w:tcW w:w="224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5035" w:type="dxa"/>
            <w:gridSpan w:val="2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 except percentages)</w:t>
            </w:r>
          </w:p>
        </w:tc>
        <w:tc>
          <w:tcPr>
            <w:tcW w:w="185" w:type="dxa"/>
            <w:tcBorders/>
            <w:shd w:fill="FFFFFF" w:val="clear"/>
            <w:vAlign w:val="center"/>
          </w:tcPr>
          <w:p>
            <w:pPr>
              <w:pStyle w:val="TableContents"/>
              <w:bidi w:val="0"/>
              <w:spacing w:before="0" w:after="283"/>
              <w:jc w:val="left"/>
            </w:pPr>
            <w:r>
              <w:t> </w:t>
            </w:r>
          </w:p>
        </w:tc>
      </w:tr>
      <w:tr>
        <w:tc>
          <w:tcPr>
            <w:tcW w:w="22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98,636</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94" w:type="dxa"/>
            <w:tcBorders/>
            <w:shd w:fill="CCEEFF" w:val="clear"/>
            <w:vAlign w:val="center"/>
          </w:tcPr>
          <w:p>
            <w:pPr>
              <w:pStyle w:val="TableContents"/>
              <w:bidi w:val="0"/>
              <w:spacing w:before="0" w:after="283"/>
              <w:ind w:left="0" w:right="0" w:hanging="0"/>
              <w:jc w:val="left"/>
            </w:pPr>
            <w:r>
              <w:t> </w:t>
            </w:r>
          </w:p>
        </w:tc>
        <w:tc>
          <w:tcPr>
            <w:tcW w:w="6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59,687</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94" w:type="dxa"/>
            <w:tcBorders/>
            <w:shd w:fill="CCEEFF" w:val="clear"/>
            <w:vAlign w:val="center"/>
          </w:tcPr>
          <w:p>
            <w:pPr>
              <w:pStyle w:val="TableContents"/>
              <w:bidi w:val="0"/>
              <w:spacing w:before="0" w:after="283"/>
              <w:ind w:left="0" w:right="0" w:hanging="0"/>
              <w:jc w:val="left"/>
            </w:pPr>
            <w:r>
              <w:t> </w:t>
            </w:r>
          </w:p>
        </w:tc>
        <w:tc>
          <w:tcPr>
            <w:tcW w:w="6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38,949</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65.3</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22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and marketing</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25,712</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94" w:type="dxa"/>
            <w:tcBorders/>
            <w:shd w:fill="FFFFFF" w:val="clear"/>
            <w:vAlign w:val="center"/>
          </w:tcPr>
          <w:p>
            <w:pPr>
              <w:pStyle w:val="TableContents"/>
              <w:bidi w:val="0"/>
              <w:spacing w:before="0" w:after="283"/>
              <w:ind w:left="0" w:right="0" w:hanging="0"/>
              <w:jc w:val="left"/>
            </w:pPr>
            <w:r>
              <w:t> </w:t>
            </w:r>
          </w:p>
        </w:tc>
        <w:tc>
          <w:tcPr>
            <w:tcW w:w="6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23,363</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94" w:type="dxa"/>
            <w:tcBorders/>
            <w:shd w:fill="FFFFFF" w:val="clear"/>
            <w:vAlign w:val="center"/>
          </w:tcPr>
          <w:p>
            <w:pPr>
              <w:pStyle w:val="TableContents"/>
              <w:bidi w:val="0"/>
              <w:spacing w:before="0" w:after="283"/>
              <w:ind w:left="0" w:right="0" w:hanging="0"/>
              <w:jc w:val="left"/>
            </w:pPr>
            <w:r>
              <w:t> </w:t>
            </w:r>
          </w:p>
        </w:tc>
        <w:tc>
          <w:tcPr>
            <w:tcW w:w="6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pPr>
            <w: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2,349</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3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22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p>
        </w:tc>
        <w:tc>
          <w:tcPr>
            <w:tcW w:w="60" w:type="dxa"/>
            <w:tcBorders/>
            <w:shd w:fill="CCEEFF" w:val="clear"/>
            <w:vAlign w:val="center"/>
          </w:tcPr>
          <w:p>
            <w:pPr>
              <w:pStyle w:val="TableContents"/>
              <w:bidi w:val="0"/>
              <w:spacing w:before="0" w:after="283"/>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88,090</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60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55,020</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60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33,070</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3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2240"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p>
        </w:tc>
        <w:tc>
          <w:tcPr>
            <w:tcW w:w="60" w:type="dxa"/>
            <w:tcBorders/>
            <w:shd w:fill="FFFF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212,438</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9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pPr>
            <w:r>
              <w:t> </w:t>
            </w:r>
          </w:p>
        </w:tc>
        <w:tc>
          <w:tcPr>
            <w:tcW w:w="60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34.7</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138,070</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9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pPr>
            <w:r>
              <w:t> </w:t>
            </w:r>
          </w:p>
        </w:tc>
        <w:tc>
          <w:tcPr>
            <w:tcW w:w="60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74,368</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pPr>
            <w:r>
              <w:t> </w:t>
            </w:r>
          </w:p>
        </w:tc>
        <w:tc>
          <w:tcPr>
            <w:tcW w:w="38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53.9</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pPr>
      <w:r>
        <w:t> </w:t>
      </w:r>
    </w:p>
    <w:p>
      <w:pPr>
        <w:pStyle w:val="TextBody"/>
        <w:bidi w:val="0"/>
        <w:spacing w:before="0" w:after="0"/>
        <w:ind w:left="0" w:right="0" w:hanging="0"/>
        <w:jc w:val="left"/>
        <w:rPr>
          <w:rFonts w:ascii="Times New Roman;Times;serif" w:hAnsi="Times New Roman;Times;serif"/>
          <w:i/>
          <w:sz w:val="20"/>
          <w:shd w:fill="FFFFFF" w:val="clear"/>
        </w:rPr>
      </w:pPr>
      <w:r>
        <w:rPr>
          <w:rFonts w:ascii="Times New Roman;Times;serif" w:hAnsi="Times New Roman;Times;serif"/>
          <w:i/>
          <w:sz w:val="20"/>
          <w:shd w:fill="FFFFFF" w:val="clear"/>
        </w:rPr>
        <w:t>Research and Development Expense</w:t>
      </w:r>
    </w:p>
    <w:p>
      <w:pPr>
        <w:pStyle w:val="TextBody"/>
        <w:bidi w:val="0"/>
        <w:spacing w:before="0" w:after="0"/>
        <w:ind w:left="0" w:right="0" w:hanging="0"/>
        <w:jc w:val="left"/>
        <w:rPr>
          <w:shd w:fill="FFFFFF" w:val="clear"/>
        </w:rPr>
      </w:pPr>
      <w:r>
        <w:rPr>
          <w:shd w:fill="FFFFFF" w:val="clea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Research and development expense increased by $16.8 million, or 79.2%, for the three months ended September 30, 2026 compared to the three months ended September 30, 2025. The increase was primarily attributable to:</w:t>
      </w:r>
    </w:p>
    <w:tbl>
      <w:tblPr>
        <w:tblW w:w="6925" w:type="dxa"/>
        <w:jc w:val="left"/>
        <w:tblInd w:w="0" w:type="dxa"/>
        <w:tblLayout w:type="fixed"/>
        <w:tblCellMar>
          <w:top w:w="0" w:type="dxa"/>
          <w:left w:w="0" w:type="dxa"/>
          <w:bottom w:w="0" w:type="dxa"/>
          <w:right w:w="0" w:type="dxa"/>
        </w:tblCellMar>
      </w:tblPr>
      <w:tblGrid>
        <w:gridCol w:w="60"/>
        <w:gridCol w:w="170"/>
        <w:gridCol w:w="6695"/>
      </w:tblGrid>
      <w:tr>
        <w:tc>
          <w:tcPr>
            <w:tcW w:w="6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6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higher personnel-related expenses supporting product development activities; and</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c>
          <w:tcPr>
            <w:tcW w:w="6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283"/>
              <w:jc w:val="left"/>
            </w:pPr>
            <w:r>
              <w:t>increased engineering and development costs associated with data center products and other new product development initiatives to support anticipated demand from certain customers.</w:t>
            </w:r>
          </w:p>
        </w:tc>
      </w:tr>
    </w:tbl>
    <w:p>
      <w:pPr>
        <w:pStyle w:val="TextBody"/>
        <w:bidi w:val="0"/>
        <w:spacing w:before="0" w:after="0"/>
        <w:ind w:left="0" w:right="0" w:firstLine="720"/>
        <w:jc w:val="left"/>
      </w:pPr>
      <w: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Research and development expense increased by $38.9 million, or 65.3%, for the </w:t>
      </w:r>
      <w:r>
        <w:rPr>
          <w:rFonts w:ascii="Times New Roman;Times;serif" w:hAnsi="Times New Roman;Times;serif"/>
          <w:sz w:val="20"/>
          <w:shd w:fill="FFFFFF" w:val="clear"/>
        </w:rPr>
        <w:t>nine</w:t>
      </w:r>
      <w:r>
        <w:rPr>
          <w:rFonts w:ascii="Times New Roman;Times;serif" w:hAnsi="Times New Roman;Times;serif"/>
          <w:sz w:val="20"/>
        </w:rPr>
        <w:t xml:space="preserve"> months ended September 30, 2026 compared to the </w:t>
      </w:r>
      <w:r>
        <w:rPr>
          <w:rFonts w:ascii="Times New Roman;Times;serif" w:hAnsi="Times New Roman;Times;serif"/>
          <w:sz w:val="20"/>
          <w:shd w:fill="FFFFFF" w:val="clear"/>
        </w:rPr>
        <w:t>nine</w:t>
      </w:r>
      <w:r>
        <w:rPr>
          <w:rFonts w:ascii="Times New Roman;Times;serif" w:hAnsi="Times New Roman;Times;serif"/>
          <w:sz w:val="20"/>
        </w:rPr>
        <w:t xml:space="preserve"> months ended September 30, 2025. The increase was primarily attributable to:</w:t>
      </w:r>
    </w:p>
    <w:tbl>
      <w:tblPr>
        <w:tblW w:w="10205" w:type="dxa"/>
        <w:jc w:val="left"/>
        <w:tblInd w:w="0" w:type="dxa"/>
        <w:tblLayout w:type="fixed"/>
        <w:tblCellMar>
          <w:top w:w="0" w:type="dxa"/>
          <w:left w:w="0" w:type="dxa"/>
          <w:bottom w:w="0" w:type="dxa"/>
          <w:right w:w="0" w:type="dxa"/>
        </w:tblCellMar>
      </w:tblPr>
      <w:tblGrid>
        <w:gridCol w:w="60"/>
        <w:gridCol w:w="170"/>
        <w:gridCol w:w="9975"/>
      </w:tblGrid>
      <w:tr>
        <w:tc>
          <w:tcPr>
            <w:tcW w:w="6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increased personnel-related expenses and increased R&amp;D related project costs associated with new product development activities; and</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c>
          <w:tcPr>
            <w:tcW w:w="6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increased investment in data center products and other new product development initiatives to support anticipated demand from certain customers.</w:t>
            </w:r>
          </w:p>
        </w:tc>
      </w:tr>
    </w:tbl>
    <w:p>
      <w:pPr>
        <w:pStyle w:val="TextBody"/>
        <w:bidi w:val="0"/>
        <w:spacing w:before="0" w:after="0"/>
        <w:ind w:left="0" w:right="0" w:firstLine="720"/>
        <w:jc w:val="left"/>
      </w:pPr>
      <w:r>
        <w:t> </w:t>
      </w:r>
    </w:p>
    <w:p>
      <w:pPr>
        <w:pStyle w:val="TextBody"/>
        <w:bidi w:val="0"/>
        <w:spacing w:before="0" w:after="0"/>
        <w:ind w:left="0" w:right="0" w:firstLine="720"/>
        <w:jc w:val="left"/>
      </w:pPr>
      <w: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26 </w:t>
      </w:r>
    </w:p>
    <w:p>
      <w:pPr>
        <w:pStyle w:val="HorizontalLine"/>
        <w:pBdr>
          <w:bottom w:val="double" w:sz="2" w:space="0" w:color="808080"/>
        </w:pBdr>
        <w:bidi w:val="0"/>
        <w:spacing w:before="0" w:after="283"/>
        <w:jc w:val="left"/>
      </w:pPr>
      <w:r/>
    </w:p>
    <w:p>
      <w:pPr>
        <w:pStyle w:val="TextBody"/>
        <w:bidi w:val="0"/>
        <w:jc w:val="left"/>
      </w:pPr>
      <w:hyperlink w:anchor="toc">
        <w:r>
          <w:rPr>
            <w:rStyle w:val="InternetLink"/>
            <w:rFonts w:ascii="Times New Roman;Times;serif" w:hAnsi="Times New Roman;Times;serif"/>
            <w:sz w:val="20"/>
          </w:rPr>
          <w:t>Table of Contents</w:t>
        </w:r>
      </w:hyperlink>
      <w:r>
        <w:t xml:space="preserve"> </w:t>
      </w:r>
    </w:p>
    <w:p>
      <w:pPr>
        <w:pStyle w:val="TextBody"/>
        <w:bidi w:val="0"/>
        <w:spacing w:before="0" w:after="0"/>
        <w:ind w:left="0" w:right="0" w:hanging="0"/>
        <w:jc w:val="left"/>
      </w:pPr>
      <w: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Sales and Marketing Expense </w:t>
      </w:r>
    </w:p>
    <w:p>
      <w:pPr>
        <w:pStyle w:val="TextBody"/>
        <w:bidi w:val="0"/>
        <w:spacing w:before="0" w:after="0"/>
        <w:ind w:left="0" w:right="0" w:hanging="0"/>
        <w:jc w:val="left"/>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Sales and marketing expense decreased by $2.0 million, or 20.2%, for the three months ended September 30, 2026 compared to the three months ended September 30, 2025. The decrease was primarily attributable to:</w:t>
      </w:r>
    </w:p>
    <w:tbl>
      <w:tblPr>
        <w:tblW w:w="8695" w:type="dxa"/>
        <w:jc w:val="left"/>
        <w:tblInd w:w="0" w:type="dxa"/>
        <w:tblLayout w:type="fixed"/>
        <w:tblCellMar>
          <w:top w:w="0" w:type="dxa"/>
          <w:left w:w="0" w:type="dxa"/>
          <w:bottom w:w="0" w:type="dxa"/>
          <w:right w:w="0" w:type="dxa"/>
        </w:tblCellMar>
      </w:tblPr>
      <w:tblGrid>
        <w:gridCol w:w="60"/>
        <w:gridCol w:w="170"/>
        <w:gridCol w:w="8465"/>
      </w:tblGrid>
      <w:tr>
        <w:tc>
          <w:tcPr>
            <w:tcW w:w="6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4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lower shipping and logistics expenses of $1.8 million and reduced trade show spending of $1.2 million; </w:t>
            </w:r>
          </w:p>
        </w:tc>
      </w:tr>
    </w:tbl>
    <w:tbl>
      <w:tblPr>
        <w:tblW w:w="6490" w:type="dxa"/>
        <w:jc w:val="left"/>
        <w:tblInd w:w="0" w:type="dxa"/>
        <w:tblLayout w:type="fixed"/>
        <w:tblCellMar>
          <w:top w:w="0" w:type="dxa"/>
          <w:left w:w="0" w:type="dxa"/>
          <w:bottom w:w="0" w:type="dxa"/>
          <w:right w:w="0" w:type="dxa"/>
        </w:tblCellMar>
      </w:tblPr>
      <w:tblGrid>
        <w:gridCol w:w="60"/>
        <w:gridCol w:w="170"/>
        <w:gridCol w:w="6260"/>
      </w:tblGrid>
      <w:tr>
        <w:tc>
          <w:tcPr>
            <w:tcW w:w="6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2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partially offset by higher facility-related costs of approximately $</w:t>
            </w:r>
            <w:r>
              <w:rPr>
                <w:rFonts w:ascii="Times New Roman" w:hAnsi="Times New Roman"/>
                <w:caps w:val="false"/>
                <w:smallCaps w:val="false"/>
                <w:color w:val="444444"/>
                <w:sz w:val="20"/>
              </w:rPr>
              <w:t>1.0</w:t>
            </w:r>
            <w:r>
              <w:rPr>
                <w:rFonts w:ascii="Times New Roman" w:hAnsi="Times New Roman"/>
                <w:caps w:val="false"/>
                <w:smallCaps w:val="false"/>
                <w:sz w:val="20"/>
              </w:rPr>
              <w:t> million.</w:t>
            </w:r>
          </w:p>
        </w:tc>
      </w:tr>
    </w:tbl>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160" w:right="0" w:firstLine="540"/>
        <w:jc w:val="left"/>
        <w:rPr>
          <w:rFonts w:ascii="Times New Roman" w:hAnsi="Times New Roman"/>
          <w:caps w:val="false"/>
          <w:smallCaps w:val="false"/>
          <w:sz w:val="20"/>
        </w:rPr>
      </w:pPr>
      <w:r>
        <w:rPr>
          <w:rFonts w:ascii="Times New Roman" w:hAnsi="Times New Roman"/>
          <w:caps w:val="false"/>
          <w:smallCaps w:val="false"/>
          <w:sz w:val="20"/>
        </w:rPr>
        <w:t xml:space="preserve">Sales and marketing expense increased by $2.3 million, or 10.1%, for the </w:t>
      </w:r>
      <w:r>
        <w:rPr>
          <w:rFonts w:ascii="Times New Roman" w:hAnsi="Times New Roman"/>
          <w:caps w:val="false"/>
          <w:smallCaps w:val="false"/>
          <w:sz w:val="20"/>
          <w:shd w:fill="FFFFFF" w:val="clear"/>
        </w:rPr>
        <w:t>nine</w:t>
      </w:r>
      <w:r>
        <w:rPr>
          <w:rFonts w:ascii="Times New Roman" w:hAnsi="Times New Roman"/>
          <w:caps w:val="false"/>
          <w:smallCaps w:val="false"/>
          <w:sz w:val="20"/>
        </w:rPr>
        <w:t xml:space="preserve"> months ended September 30, 2026 compared to the </w:t>
      </w:r>
      <w:r>
        <w:rPr>
          <w:rFonts w:ascii="Times New Roman" w:hAnsi="Times New Roman"/>
          <w:caps w:val="false"/>
          <w:smallCaps w:val="false"/>
          <w:sz w:val="20"/>
          <w:shd w:fill="FFFFFF" w:val="clear"/>
        </w:rPr>
        <w:t>nine</w:t>
      </w:r>
      <w:r>
        <w:rPr>
          <w:rFonts w:ascii="Times New Roman" w:hAnsi="Times New Roman"/>
          <w:caps w:val="false"/>
          <w:smallCaps w:val="false"/>
          <w:sz w:val="20"/>
        </w:rPr>
        <w:t xml:space="preserve"> months ended September 30, 2025. The increase was primarily attributable to:</w:t>
      </w:r>
    </w:p>
    <w:tbl>
      <w:tblPr>
        <w:tblW w:w="10205" w:type="dxa"/>
        <w:jc w:val="left"/>
        <w:tblInd w:w="0" w:type="dxa"/>
        <w:tblLayout w:type="fixed"/>
        <w:tblCellMar>
          <w:top w:w="0" w:type="dxa"/>
          <w:left w:w="0" w:type="dxa"/>
          <w:bottom w:w="0" w:type="dxa"/>
          <w:right w:w="0" w:type="dxa"/>
        </w:tblCellMar>
      </w:tblPr>
      <w:tblGrid>
        <w:gridCol w:w="60"/>
        <w:gridCol w:w="170"/>
        <w:gridCol w:w="9975"/>
      </w:tblGrid>
      <w:tr>
        <w:tc>
          <w:tcPr>
            <w:tcW w:w="6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283"/>
              <w:jc w:val="left"/>
            </w:pPr>
            <w:r>
              <w:t>higher shipping and logistics expenses of approximately $3.8 million associated with increased sales volumes and commercial activities, as well as increased facility-related costs of $1.3 million;   </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c>
          <w:tcPr>
            <w:tcW w:w="6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283"/>
              <w:jc w:val="left"/>
            </w:pPr>
            <w:r>
              <w:t>partially offset by lower trade show spending of approximately $1.5 million and lower personnel-related costs.</w:t>
            </w:r>
          </w:p>
        </w:tc>
      </w:tr>
    </w:tbl>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firstLine="180"/>
        <w:jc w:val="left"/>
        <w:rPr>
          <w:caps w:val="false"/>
          <w:smallCaps w:val="false"/>
        </w:rPr>
      </w:pPr>
      <w:r>
        <w:rPr>
          <w:caps w:val="false"/>
          <w:smallCaps w:val="false"/>
        </w:rPr>
        <w:t xml:space="preserve">          </w:t>
      </w:r>
      <w:r>
        <w:rPr>
          <w:rFonts w:ascii="Times New Roman" w:hAnsi="Times New Roman"/>
          <w:caps w:val="false"/>
          <w:smallCaps w:val="false"/>
          <w:sz w:val="20"/>
        </w:rPr>
        <w:t>Management continues to monitor tariff developments and their potential impact on its cost structure and pricing strategy. Based on current conditions, management expects shipping costs and tariff-related impacts to continue through the remainder of 2026, although at a reduced level compared to 2025. Following the termination of tariffs imposed under IEEPA, the Administration implemented replacement measures under other provisions of federal law, including new tariffs under Section 301 of the Trade Act of 1974 that became effective July 24, 2026, subject to applicable exemptions. The trade environment remains uncertain, and additional tariff measures or changes to existing tariffs could affect our costs and pricing strategy. Accordingly, management cannot currently predict whether the reduction in tariff-related impacts will continue or the extent to which future tariff developments may affect our results of operations.</w:t>
      </w:r>
    </w:p>
    <w:p>
      <w:pPr>
        <w:pStyle w:val="TextBody"/>
        <w:bidi w:val="0"/>
        <w:spacing w:before="0" w:after="0"/>
        <w:ind w:left="0" w:right="0" w:firstLine="72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i/>
          <w:sz w:val="20"/>
          <w:shd w:fill="FFFFFF" w:val="clear"/>
        </w:rPr>
      </w:pPr>
      <w:r>
        <w:rPr>
          <w:rFonts w:ascii="Times New Roman;Times;serif" w:hAnsi="Times New Roman;Times;serif"/>
          <w:i/>
          <w:sz w:val="20"/>
          <w:shd w:fill="FFFFFF" w:val="clear"/>
        </w:rPr>
        <w:t>General and Administrative Expense</w:t>
      </w:r>
    </w:p>
    <w:p>
      <w:pPr>
        <w:pStyle w:val="TextBody"/>
        <w:bidi w:val="0"/>
        <w:spacing w:before="0" w:after="0"/>
        <w:ind w:left="0" w:right="0" w:hanging="0"/>
        <w:jc w:val="left"/>
        <w:rPr>
          <w:shd w:fill="FFFFFF" w:val="clear"/>
        </w:rPr>
      </w:pPr>
      <w:r>
        <w:rPr>
          <w:shd w:fill="FFFFFF" w:val="clea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General and administrative expense increased by $11.3 million, or 55.6%, for the three months ended </w:t>
      </w:r>
      <w:r>
        <w:rPr>
          <w:rFonts w:ascii="Times New Roman;Times;serif" w:hAnsi="Times New Roman;Times;serif"/>
          <w:sz w:val="20"/>
        </w:rPr>
        <w:t>September 30, 2026</w:t>
      </w:r>
      <w:r>
        <w:rPr>
          <w:rFonts w:ascii="Times New Roman;Times;serif" w:hAnsi="Times New Roman;Times;serif"/>
          <w:sz w:val="20"/>
          <w:shd w:fill="FFFFFF" w:val="clear"/>
        </w:rPr>
        <w:t xml:space="preserve"> compared to the three months ended </w:t>
      </w:r>
      <w:r>
        <w:rPr>
          <w:rFonts w:ascii="Times New Roman;Times;serif" w:hAnsi="Times New Roman;Times;serif"/>
          <w:sz w:val="20"/>
        </w:rPr>
        <w:t>September 30, 2025</w:t>
      </w:r>
      <w:r>
        <w:rPr>
          <w:rFonts w:ascii="Times New Roman;Times;serif" w:hAnsi="Times New Roman;Times;serif"/>
          <w:sz w:val="20"/>
          <w:shd w:fill="FFFFFF" w:val="clear"/>
        </w:rPr>
        <w:t>. General and administrative expense increased by $33.1 million, or 60.1%, for the nine months ended </w:t>
      </w:r>
      <w:r>
        <w:rPr>
          <w:rFonts w:ascii="Times New Roman;Times;serif" w:hAnsi="Times New Roman;Times;serif"/>
          <w:sz w:val="20"/>
        </w:rPr>
        <w:t>September 30, 2026</w:t>
      </w:r>
      <w:r>
        <w:rPr>
          <w:rFonts w:ascii="Times New Roman;Times;serif" w:hAnsi="Times New Roman;Times;serif"/>
          <w:sz w:val="20"/>
          <w:shd w:fill="FFFFFF" w:val="clear"/>
        </w:rPr>
        <w:t xml:space="preserve"> compared to the nine months ended </w:t>
      </w:r>
      <w:r>
        <w:rPr>
          <w:rFonts w:ascii="Times New Roman;Times;serif" w:hAnsi="Times New Roman;Times;serif"/>
          <w:sz w:val="20"/>
        </w:rPr>
        <w:t>September 30, 2025</w:t>
      </w:r>
      <w:r>
        <w:rPr>
          <w:rFonts w:ascii="Times New Roman;Times;serif" w:hAnsi="Times New Roman;Times;serif"/>
          <w:sz w:val="20"/>
          <w:shd w:fill="FFFFFF" w:val="clear"/>
        </w:rPr>
        <w:t>. The increase was primarily due to increased personnel-related costs, including increased share-based compensation expense, as well as </w:t>
      </w:r>
      <w:r>
        <w:rPr>
          <w:rFonts w:ascii="Times New Roman;Times;serif" w:hAnsi="Times New Roman;Times;serif"/>
          <w:sz w:val="20"/>
        </w:rPr>
        <w:t>expanded corporate infrastructure to support the Company's growth</w:t>
      </w:r>
      <w:r>
        <w:rPr>
          <w:rFonts w:ascii="Times New Roman;Times;serif" w:hAnsi="Times New Roman;Times;serif"/>
          <w:sz w:val="20"/>
          <w:shd w:fill="FFFFFF" w:val="clear"/>
        </w:rPr>
        <w:t>. </w:t>
      </w:r>
    </w:p>
    <w:p>
      <w:pPr>
        <w:pStyle w:val="TextBody"/>
        <w:bidi w:val="0"/>
        <w:spacing w:before="0" w:after="0"/>
        <w:ind w:left="0" w:right="0" w:firstLine="720"/>
        <w:jc w:val="left"/>
      </w:pPr>
      <w: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Other Income (Expense), Net </w:t>
      </w:r>
    </w:p>
    <w:p>
      <w:pPr>
        <w:pStyle w:val="TextBody"/>
        <w:bidi w:val="0"/>
        <w:spacing w:before="0" w:after="0"/>
        <w:ind w:left="0" w:right="0" w:hanging="0"/>
        <w:jc w:val="left"/>
      </w:pPr>
      <w:r>
        <w:t>​</w:t>
      </w:r>
    </w:p>
    <w:tbl>
      <w:tblPr>
        <w:tblW w:w="8379" w:type="dxa"/>
        <w:jc w:val="left"/>
        <w:tblInd w:w="0" w:type="dxa"/>
        <w:tblLayout w:type="fixed"/>
        <w:tblCellMar>
          <w:top w:w="0" w:type="dxa"/>
          <w:left w:w="0" w:type="dxa"/>
          <w:bottom w:w="0" w:type="dxa"/>
          <w:right w:w="0" w:type="dxa"/>
        </w:tblCellMar>
      </w:tblPr>
      <w:tblGrid>
        <w:gridCol w:w="2735"/>
        <w:gridCol w:w="60"/>
        <w:gridCol w:w="142"/>
        <w:gridCol w:w="672"/>
        <w:gridCol w:w="91"/>
        <w:gridCol w:w="68"/>
        <w:gridCol w:w="111"/>
        <w:gridCol w:w="584"/>
        <w:gridCol w:w="279"/>
        <w:gridCol w:w="68"/>
        <w:gridCol w:w="167"/>
        <w:gridCol w:w="528"/>
        <w:gridCol w:w="91"/>
        <w:gridCol w:w="68"/>
        <w:gridCol w:w="111"/>
        <w:gridCol w:w="584"/>
        <w:gridCol w:w="245"/>
        <w:gridCol w:w="60"/>
        <w:gridCol w:w="142"/>
        <w:gridCol w:w="553"/>
        <w:gridCol w:w="80"/>
        <w:gridCol w:w="60"/>
        <w:gridCol w:w="60"/>
        <w:gridCol w:w="635"/>
        <w:gridCol w:w="185"/>
      </w:tblGrid>
      <w:tr>
        <w:tc>
          <w:tcPr>
            <w:tcW w:w="273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3564" w:type="dxa"/>
            <w:gridSpan w:val="14"/>
            <w:tcBorders>
              <w:bottom w:val="single" w:sz="2" w:space="0" w:color="000000"/>
            </w:tcBorders>
            <w:shd w:fill="FFFFFF" w:val="clear"/>
            <w:tcMar>
              <w:bottom w:w="28" w:type="dxa"/>
            </w:tcMar>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Three months ended September 30,</w:t>
            </w:r>
          </w:p>
        </w:tc>
        <w:tc>
          <w:tcPr>
            <w:tcW w:w="305" w:type="dxa"/>
            <w:gridSpan w:val="2"/>
            <w:tcBorders/>
            <w:shd w:fill="FFFFFF" w:val="clear"/>
            <w:vAlign w:val="center"/>
          </w:tcPr>
          <w:p>
            <w:pPr>
              <w:pStyle w:val="TableContents"/>
              <w:bidi w:val="0"/>
              <w:spacing w:before="0" w:after="283"/>
              <w:jc w:val="center"/>
            </w:pPr>
            <w:r>
              <w:t> </w:t>
            </w:r>
          </w:p>
        </w:tc>
        <w:tc>
          <w:tcPr>
            <w:tcW w:w="1530" w:type="dxa"/>
            <w:gridSpan w:val="6"/>
            <w:tcBorders/>
            <w:shd w:fill="FFFFFF" w:val="clear"/>
            <w:vAlign w:val="center"/>
          </w:tcPr>
          <w:p>
            <w:pPr>
              <w:pStyle w:val="TableContents"/>
              <w:bidi w:val="0"/>
              <w:spacing w:before="0" w:after="283"/>
              <w:jc w:val="center"/>
            </w:pPr>
            <w:r>
              <w:t> </w:t>
            </w:r>
          </w:p>
        </w:tc>
        <w:tc>
          <w:tcPr>
            <w:tcW w:w="185" w:type="dxa"/>
            <w:tcBorders/>
            <w:shd w:fill="FFFFFF" w:val="clear"/>
            <w:vAlign w:val="center"/>
          </w:tcPr>
          <w:p>
            <w:pPr>
              <w:pStyle w:val="TableContents"/>
              <w:bidi w:val="0"/>
              <w:spacing w:before="0" w:after="283"/>
              <w:jc w:val="left"/>
            </w:pPr>
            <w:r>
              <w:t> </w:t>
            </w:r>
          </w:p>
        </w:tc>
      </w:tr>
      <w:tr>
        <w:tc>
          <w:tcPr>
            <w:tcW w:w="273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668" w:type="dxa"/>
            <w:gridSpan w:val="6"/>
            <w:tcBorders>
              <w:bottom w:val="single" w:sz="2" w:space="0" w:color="000000"/>
            </w:tcBorders>
            <w:shd w:fill="FFFFFF" w:val="clear"/>
            <w:tcMar>
              <w:bottom w:w="28" w:type="dxa"/>
            </w:tcMar>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2026</w:t>
            </w:r>
          </w:p>
        </w:tc>
        <w:tc>
          <w:tcPr>
            <w:tcW w:w="279" w:type="dxa"/>
            <w:tcBorders/>
            <w:shd w:fill="FFFFFF" w:val="clear"/>
            <w:vAlign w:val="center"/>
          </w:tcPr>
          <w:p>
            <w:pPr>
              <w:pStyle w:val="TableContents"/>
              <w:bidi w:val="0"/>
              <w:spacing w:before="0" w:after="283"/>
              <w:jc w:val="left"/>
            </w:pPr>
            <w:r>
              <w:t> </w:t>
            </w:r>
          </w:p>
        </w:tc>
        <w:tc>
          <w:tcPr>
            <w:tcW w:w="68" w:type="dxa"/>
            <w:tcBorders/>
            <w:shd w:fill="FFFFFF" w:val="clear"/>
            <w:vAlign w:val="center"/>
          </w:tcPr>
          <w:p>
            <w:pPr>
              <w:pStyle w:val="TableContents"/>
              <w:bidi w:val="0"/>
              <w:spacing w:before="0" w:after="283"/>
              <w:ind w:left="0" w:right="0" w:hanging="0"/>
              <w:jc w:val="left"/>
            </w:pPr>
            <w:r>
              <w:t> </w:t>
            </w:r>
          </w:p>
        </w:tc>
        <w:tc>
          <w:tcPr>
            <w:tcW w:w="1549" w:type="dxa"/>
            <w:gridSpan w:val="6"/>
            <w:tcBorders>
              <w:bottom w:val="single" w:sz="2" w:space="0" w:color="000000"/>
            </w:tcBorders>
            <w:shd w:fill="FFFFFF" w:val="clear"/>
            <w:tcMar>
              <w:bottom w:w="28" w:type="dxa"/>
            </w:tcMar>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2025</w:t>
            </w:r>
          </w:p>
        </w:tc>
        <w:tc>
          <w:tcPr>
            <w:tcW w:w="24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530" w:type="dxa"/>
            <w:gridSpan w:val="6"/>
            <w:tcBorders>
              <w:bottom w:val="single" w:sz="2" w:space="0" w:color="000000"/>
            </w:tcBorders>
            <w:shd w:fill="FFFFFF" w:val="clear"/>
            <w:tcMar>
              <w:bottom w:w="28" w:type="dxa"/>
            </w:tcMar>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Change</w:t>
            </w:r>
          </w:p>
        </w:tc>
        <w:tc>
          <w:tcPr>
            <w:tcW w:w="185" w:type="dxa"/>
            <w:tcBorders/>
            <w:shd w:fill="FFFFFF" w:val="clear"/>
            <w:vAlign w:val="center"/>
          </w:tcPr>
          <w:p>
            <w:pPr>
              <w:pStyle w:val="TableContents"/>
              <w:bidi w:val="0"/>
              <w:spacing w:before="0" w:after="283"/>
              <w:jc w:val="left"/>
            </w:pPr>
            <w:r>
              <w:t> </w:t>
            </w:r>
          </w:p>
        </w:tc>
      </w:tr>
      <w:tr>
        <w:tc>
          <w:tcPr>
            <w:tcW w:w="273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814" w:type="dxa"/>
            <w:gridSpan w:val="2"/>
            <w:tcBorders/>
            <w:shd w:fill="FFFFFF" w:val="clear"/>
            <w:vAlign w:val="center"/>
          </w:tcPr>
          <w:p>
            <w:pPr>
              <w:pStyle w:val="TableContents"/>
              <w:bidi w:val="0"/>
              <w:spacing w:before="0" w:after="283"/>
              <w:jc w:val="left"/>
            </w:pPr>
            <w:r>
              <w:t> </w:t>
            </w:r>
          </w:p>
        </w:tc>
        <w:tc>
          <w:tcPr>
            <w:tcW w:w="91" w:type="dxa"/>
            <w:tcBorders/>
            <w:shd w:fill="FFFFFF" w:val="clear"/>
            <w:vAlign w:val="center"/>
          </w:tcPr>
          <w:p>
            <w:pPr>
              <w:pStyle w:val="TableContents"/>
              <w:bidi w:val="0"/>
              <w:spacing w:before="0" w:after="283"/>
              <w:jc w:val="left"/>
            </w:pPr>
            <w:r>
              <w:t> </w:t>
            </w:r>
          </w:p>
        </w:tc>
        <w:tc>
          <w:tcPr>
            <w:tcW w:w="68" w:type="dxa"/>
            <w:tcBorders/>
            <w:shd w:fill="FFFFFF" w:val="clear"/>
            <w:vAlign w:val="center"/>
          </w:tcPr>
          <w:p>
            <w:pPr>
              <w:pStyle w:val="TableContents"/>
              <w:bidi w:val="0"/>
              <w:spacing w:before="0" w:after="283"/>
              <w:ind w:left="0" w:right="0" w:hanging="0"/>
              <w:jc w:val="left"/>
            </w:pPr>
            <w:r>
              <w:t> </w:t>
            </w:r>
          </w:p>
        </w:tc>
        <w:tc>
          <w:tcPr>
            <w:tcW w:w="69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w:t>
            </w:r>
          </w:p>
        </w:tc>
        <w:tc>
          <w:tcPr>
            <w:tcW w:w="279" w:type="dxa"/>
            <w:tcBorders/>
            <w:shd w:fill="FFFFFF" w:val="clear"/>
            <w:vAlign w:val="center"/>
          </w:tcPr>
          <w:p>
            <w:pPr>
              <w:pStyle w:val="TableContents"/>
              <w:bidi w:val="0"/>
              <w:spacing w:before="0" w:after="283"/>
              <w:jc w:val="left"/>
            </w:pPr>
            <w:r>
              <w:t> </w:t>
            </w:r>
          </w:p>
        </w:tc>
        <w:tc>
          <w:tcPr>
            <w:tcW w:w="68" w:type="dxa"/>
            <w:tcBorders/>
            <w:shd w:fill="FFFFFF" w:val="clear"/>
            <w:vAlign w:val="center"/>
          </w:tcPr>
          <w:p>
            <w:pPr>
              <w:pStyle w:val="TableContents"/>
              <w:bidi w:val="0"/>
              <w:spacing w:before="0" w:after="283"/>
              <w:jc w:val="left"/>
            </w:pPr>
            <w:r>
              <w:t> </w:t>
            </w:r>
          </w:p>
        </w:tc>
        <w:tc>
          <w:tcPr>
            <w:tcW w:w="167" w:type="dxa"/>
            <w:tcBorders/>
            <w:shd w:fill="FFFFFF" w:val="clear"/>
            <w:vAlign w:val="center"/>
          </w:tcPr>
          <w:p>
            <w:pPr>
              <w:pStyle w:val="TableContents"/>
              <w:bidi w:val="0"/>
              <w:spacing w:before="0" w:after="283"/>
              <w:jc w:val="left"/>
            </w:pPr>
            <w:r>
              <w:t> </w:t>
            </w:r>
          </w:p>
        </w:tc>
        <w:tc>
          <w:tcPr>
            <w:tcW w:w="528" w:type="dxa"/>
            <w:tcBorders/>
            <w:shd w:fill="FFFFFF" w:val="clear"/>
            <w:vAlign w:val="center"/>
          </w:tcPr>
          <w:p>
            <w:pPr>
              <w:pStyle w:val="TableContents"/>
              <w:bidi w:val="0"/>
              <w:spacing w:before="0" w:after="283"/>
              <w:jc w:val="center"/>
            </w:pPr>
            <w:r>
              <w:t> </w:t>
            </w:r>
          </w:p>
        </w:tc>
        <w:tc>
          <w:tcPr>
            <w:tcW w:w="91" w:type="dxa"/>
            <w:tcBorders/>
            <w:shd w:fill="FFFFFF" w:val="clear"/>
            <w:vAlign w:val="center"/>
          </w:tcPr>
          <w:p>
            <w:pPr>
              <w:pStyle w:val="TableContents"/>
              <w:bidi w:val="0"/>
              <w:spacing w:before="0" w:after="283"/>
              <w:jc w:val="left"/>
            </w:pPr>
            <w:r>
              <w:t> </w:t>
            </w:r>
          </w:p>
        </w:tc>
        <w:tc>
          <w:tcPr>
            <w:tcW w:w="68" w:type="dxa"/>
            <w:tcBorders/>
            <w:shd w:fill="FFFFFF" w:val="clear"/>
            <w:vAlign w:val="center"/>
          </w:tcPr>
          <w:p>
            <w:pPr>
              <w:pStyle w:val="TableContents"/>
              <w:bidi w:val="0"/>
              <w:spacing w:before="0" w:after="283"/>
              <w:ind w:left="0" w:right="0" w:hanging="0"/>
              <w:jc w:val="left"/>
            </w:pPr>
            <w:r>
              <w:t> </w:t>
            </w:r>
          </w:p>
        </w:tc>
        <w:tc>
          <w:tcPr>
            <w:tcW w:w="69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w:t>
            </w:r>
          </w:p>
        </w:tc>
        <w:tc>
          <w:tcPr>
            <w:tcW w:w="24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695" w:type="dxa"/>
            <w:gridSpan w:val="2"/>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35" w:type="dxa"/>
            <w:tcBorders/>
            <w:shd w:fill="FFFFFF" w:val="clear"/>
            <w:vAlign w:val="center"/>
          </w:tcPr>
          <w:p>
            <w:pPr>
              <w:pStyle w:val="TableContents"/>
              <w:bidi w:val="0"/>
              <w:spacing w:before="0" w:after="283"/>
              <w:jc w:val="left"/>
            </w:pPr>
            <w:r>
              <w:t> </w:t>
            </w:r>
          </w:p>
        </w:tc>
        <w:tc>
          <w:tcPr>
            <w:tcW w:w="185" w:type="dxa"/>
            <w:tcBorders/>
            <w:shd w:fill="FFFFFF" w:val="clear"/>
            <w:vAlign w:val="center"/>
          </w:tcPr>
          <w:p>
            <w:pPr>
              <w:pStyle w:val="TableContents"/>
              <w:bidi w:val="0"/>
              <w:spacing w:before="0" w:after="283"/>
              <w:jc w:val="left"/>
            </w:pPr>
            <w:r>
              <w:t> </w:t>
            </w:r>
          </w:p>
        </w:tc>
      </w:tr>
      <w:tr>
        <w:tc>
          <w:tcPr>
            <w:tcW w:w="273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81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91" w:type="dxa"/>
            <w:tcBorders/>
            <w:shd w:fill="FFFFFF" w:val="clear"/>
            <w:vAlign w:val="center"/>
          </w:tcPr>
          <w:p>
            <w:pPr>
              <w:pStyle w:val="TableContents"/>
              <w:bidi w:val="0"/>
              <w:spacing w:before="0" w:after="283"/>
              <w:jc w:val="left"/>
            </w:pPr>
            <w:r>
              <w:t> </w:t>
            </w:r>
          </w:p>
        </w:tc>
        <w:tc>
          <w:tcPr>
            <w:tcW w:w="68" w:type="dxa"/>
            <w:tcBorders/>
            <w:shd w:fill="FFFFFF" w:val="clear"/>
            <w:vAlign w:val="center"/>
          </w:tcPr>
          <w:p>
            <w:pPr>
              <w:pStyle w:val="TableContents"/>
              <w:bidi w:val="0"/>
              <w:spacing w:before="0" w:after="283"/>
              <w:ind w:left="0" w:right="0" w:hanging="0"/>
              <w:jc w:val="left"/>
            </w:pPr>
            <w: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279" w:type="dxa"/>
            <w:tcBorders/>
            <w:shd w:fill="FFFFFF" w:val="clear"/>
            <w:vAlign w:val="center"/>
          </w:tcPr>
          <w:p>
            <w:pPr>
              <w:pStyle w:val="TableContents"/>
              <w:bidi w:val="0"/>
              <w:spacing w:before="0" w:after="283"/>
              <w:jc w:val="left"/>
            </w:pPr>
            <w:r>
              <w:t> </w:t>
            </w:r>
          </w:p>
        </w:tc>
        <w:tc>
          <w:tcPr>
            <w:tcW w:w="68" w:type="dxa"/>
            <w:tcBorders/>
            <w:shd w:fill="FFFFFF" w:val="clear"/>
            <w:vAlign w:val="center"/>
          </w:tcPr>
          <w:p>
            <w:pPr>
              <w:pStyle w:val="TableContents"/>
              <w:bidi w:val="0"/>
              <w:spacing w:before="0" w:after="283"/>
              <w:ind w:left="0" w:right="0" w:hanging="0"/>
              <w:jc w:val="left"/>
            </w:pPr>
            <w: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91" w:type="dxa"/>
            <w:tcBorders/>
            <w:shd w:fill="FFFFFF" w:val="clear"/>
            <w:vAlign w:val="center"/>
          </w:tcPr>
          <w:p>
            <w:pPr>
              <w:pStyle w:val="TableContents"/>
              <w:bidi w:val="0"/>
              <w:spacing w:before="0" w:after="283"/>
              <w:jc w:val="left"/>
            </w:pPr>
            <w:r>
              <w:t> </w:t>
            </w:r>
          </w:p>
        </w:tc>
        <w:tc>
          <w:tcPr>
            <w:tcW w:w="68" w:type="dxa"/>
            <w:tcBorders/>
            <w:shd w:fill="FFFFFF" w:val="clear"/>
            <w:vAlign w:val="center"/>
          </w:tcPr>
          <w:p>
            <w:pPr>
              <w:pStyle w:val="TableContents"/>
              <w:bidi w:val="0"/>
              <w:spacing w:before="0" w:after="283"/>
              <w:ind w:left="0" w:right="0" w:hanging="0"/>
              <w:jc w:val="left"/>
            </w:pPr>
            <w: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24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
            </w:r>
          </w:p>
        </w:tc>
        <w:tc>
          <w:tcPr>
            <w:tcW w:w="185" w:type="dxa"/>
            <w:tcBorders/>
            <w:shd w:fill="FFFFFF" w:val="clear"/>
            <w:vAlign w:val="center"/>
          </w:tcPr>
          <w:p>
            <w:pPr>
              <w:pStyle w:val="TableContents"/>
              <w:bidi w:val="0"/>
              <w:spacing w:before="0" w:after="283"/>
              <w:jc w:val="left"/>
            </w:pPr>
            <w:r>
              <w:t> </w:t>
            </w:r>
          </w:p>
        </w:tc>
      </w:tr>
      <w:tr>
        <w:tc>
          <w:tcPr>
            <w:tcW w:w="273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5399" w:type="dxa"/>
            <w:gridSpan w:val="2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 except percentages)</w:t>
            </w:r>
          </w:p>
        </w:tc>
        <w:tc>
          <w:tcPr>
            <w:tcW w:w="185" w:type="dxa"/>
            <w:tcBorders/>
            <w:shd w:fill="FFFFFF" w:val="clear"/>
            <w:vAlign w:val="center"/>
          </w:tcPr>
          <w:p>
            <w:pPr>
              <w:pStyle w:val="TableContents"/>
              <w:bidi w:val="0"/>
              <w:spacing w:before="0" w:after="283"/>
              <w:jc w:val="left"/>
            </w:pPr>
            <w:r>
              <w:t> </w:t>
            </w:r>
          </w:p>
        </w:tc>
      </w:tr>
      <w:tr>
        <w:tc>
          <w:tcPr>
            <w:tcW w:w="27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CCEEFF" w:val="clear"/>
            <w:vAlign w:val="center"/>
          </w:tcPr>
          <w:p>
            <w:pPr>
              <w:pStyle w:val="TableContents"/>
              <w:bidi w:val="0"/>
              <w:spacing w:before="0" w:after="283"/>
              <w:ind w:left="0" w:right="0" w:hanging="0"/>
              <w:jc w:val="left"/>
            </w:pPr>
            <w:r>
              <w:t> </w:t>
            </w:r>
          </w:p>
        </w:tc>
        <w:tc>
          <w:tcPr>
            <w:tcW w:w="14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3,094</w:t>
            </w:r>
          </w:p>
        </w:tc>
        <w:tc>
          <w:tcPr>
            <w:tcW w:w="91" w:type="dxa"/>
            <w:tcBorders/>
            <w:shd w:fill="CCEEFF" w:val="clear"/>
            <w:vAlign w:val="center"/>
          </w:tcPr>
          <w:p>
            <w:pPr>
              <w:pStyle w:val="TableContents"/>
              <w:bidi w:val="0"/>
              <w:spacing w:before="0" w:after="283"/>
              <w:jc w:val="left"/>
            </w:pPr>
            <w:r>
              <w:t> </w:t>
            </w:r>
          </w:p>
        </w:tc>
        <w:tc>
          <w:tcPr>
            <w:tcW w:w="68" w:type="dxa"/>
            <w:tcBorders/>
            <w:shd w:fill="CCEEFF" w:val="clear"/>
            <w:vAlign w:val="center"/>
          </w:tcPr>
          <w:p>
            <w:pPr>
              <w:pStyle w:val="TableContents"/>
              <w:bidi w:val="0"/>
              <w:spacing w:before="0" w:after="283"/>
              <w:jc w:val="left"/>
            </w:pPr>
            <w:r>
              <w:t> </w:t>
            </w:r>
          </w:p>
        </w:tc>
        <w:tc>
          <w:tcPr>
            <w:tcW w:w="111" w:type="dxa"/>
            <w:tcBorders/>
            <w:shd w:fill="CCEEFF" w:val="clear"/>
            <w:vAlign w:val="center"/>
          </w:tcPr>
          <w:p>
            <w:pPr>
              <w:pStyle w:val="TableContents"/>
              <w:bidi w:val="0"/>
              <w:spacing w:before="0" w:after="283"/>
              <w:ind w:left="0" w:right="0" w:hanging="0"/>
              <w:jc w:val="left"/>
            </w:pPr>
            <w:r>
              <w:t> </w:t>
            </w:r>
          </w:p>
        </w:tc>
        <w:tc>
          <w:tcPr>
            <w:tcW w:w="5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27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8" w:type="dxa"/>
            <w:tcBorders/>
            <w:shd w:fill="CCEEFF" w:val="clear"/>
            <w:vAlign w:val="center"/>
          </w:tcPr>
          <w:p>
            <w:pPr>
              <w:pStyle w:val="TableContents"/>
              <w:bidi w:val="0"/>
              <w:spacing w:before="0" w:after="283"/>
              <w:ind w:left="0" w:right="0" w:hanging="0"/>
              <w:jc w:val="left"/>
            </w:pPr>
            <w:r>
              <w:t> </w:t>
            </w:r>
          </w:p>
        </w:tc>
        <w:tc>
          <w:tcPr>
            <w:tcW w:w="16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451</w:t>
            </w:r>
          </w:p>
        </w:tc>
        <w:tc>
          <w:tcPr>
            <w:tcW w:w="91" w:type="dxa"/>
            <w:tcBorders/>
            <w:shd w:fill="CCEEFF" w:val="clear"/>
            <w:vAlign w:val="center"/>
          </w:tcPr>
          <w:p>
            <w:pPr>
              <w:pStyle w:val="TableContents"/>
              <w:bidi w:val="0"/>
              <w:spacing w:before="0" w:after="283"/>
              <w:jc w:val="left"/>
            </w:pPr>
            <w:r>
              <w:t> </w:t>
            </w:r>
          </w:p>
        </w:tc>
        <w:tc>
          <w:tcPr>
            <w:tcW w:w="68" w:type="dxa"/>
            <w:tcBorders/>
            <w:shd w:fill="CCEEFF" w:val="clear"/>
            <w:vAlign w:val="center"/>
          </w:tcPr>
          <w:p>
            <w:pPr>
              <w:pStyle w:val="TableContents"/>
              <w:bidi w:val="0"/>
              <w:spacing w:before="0" w:after="283"/>
              <w:jc w:val="left"/>
            </w:pPr>
            <w:r>
              <w:t> </w:t>
            </w:r>
          </w:p>
        </w:tc>
        <w:tc>
          <w:tcPr>
            <w:tcW w:w="111" w:type="dxa"/>
            <w:tcBorders/>
            <w:shd w:fill="CCEEFF" w:val="clear"/>
            <w:vAlign w:val="center"/>
          </w:tcPr>
          <w:p>
            <w:pPr>
              <w:pStyle w:val="TableContents"/>
              <w:bidi w:val="0"/>
              <w:spacing w:before="0" w:after="283"/>
              <w:ind w:left="0" w:right="0" w:hanging="0"/>
              <w:jc w:val="left"/>
            </w:pPr>
            <w:r>
              <w:t> </w:t>
            </w:r>
          </w:p>
        </w:tc>
        <w:tc>
          <w:tcPr>
            <w:tcW w:w="5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pPr>
            <w:r>
              <w:t> </w:t>
            </w:r>
          </w:p>
        </w:tc>
        <w:tc>
          <w:tcPr>
            <w:tcW w:w="14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2,643</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586.0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27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FFFFFF" w:val="clear"/>
            <w:vAlign w:val="center"/>
          </w:tcPr>
          <w:p>
            <w:pPr>
              <w:pStyle w:val="TableContents"/>
              <w:bidi w:val="0"/>
              <w:spacing w:before="0" w:after="283"/>
              <w:jc w:val="left"/>
            </w:pPr>
            <w:r>
              <w:t> </w:t>
            </w:r>
          </w:p>
        </w:tc>
        <w:tc>
          <w:tcPr>
            <w:tcW w:w="142" w:type="dxa"/>
            <w:tcBorders/>
            <w:shd w:fill="FFFFFF" w:val="clear"/>
            <w:vAlign w:val="center"/>
          </w:tcPr>
          <w:p>
            <w:pPr>
              <w:pStyle w:val="TableContents"/>
              <w:bidi w:val="0"/>
              <w:spacing w:before="0" w:after="283"/>
              <w:ind w:left="0" w:right="0" w:hanging="0"/>
              <w:jc w:val="left"/>
            </w:pPr>
            <w:r>
              <w:t> </w:t>
            </w:r>
          </w:p>
        </w:tc>
        <w:tc>
          <w:tcPr>
            <w:tcW w:w="6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(1,221</w:t>
            </w:r>
          </w:p>
        </w:tc>
        <w:tc>
          <w:tcPr>
            <w:tcW w:w="9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8" w:type="dxa"/>
            <w:tcBorders/>
            <w:shd w:fill="FFFFFF" w:val="clear"/>
            <w:vAlign w:val="center"/>
          </w:tcPr>
          <w:p>
            <w:pPr>
              <w:pStyle w:val="TableContents"/>
              <w:bidi w:val="0"/>
              <w:spacing w:before="0" w:after="283"/>
              <w:jc w:val="left"/>
            </w:pPr>
            <w:r>
              <w:t> </w:t>
            </w:r>
          </w:p>
        </w:tc>
        <w:tc>
          <w:tcPr>
            <w:tcW w:w="111" w:type="dxa"/>
            <w:tcBorders/>
            <w:shd w:fill="FFFFFF" w:val="clear"/>
            <w:vAlign w:val="center"/>
          </w:tcPr>
          <w:p>
            <w:pPr>
              <w:pStyle w:val="TableContents"/>
              <w:bidi w:val="0"/>
              <w:spacing w:before="0" w:after="283"/>
              <w:ind w:left="0" w:right="0" w:hanging="0"/>
              <w:jc w:val="left"/>
            </w:pPr>
            <w:r>
              <w:t> </w:t>
            </w:r>
          </w:p>
        </w:tc>
        <w:tc>
          <w:tcPr>
            <w:tcW w:w="5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w:t>
            </w:r>
          </w:p>
        </w:tc>
        <w:tc>
          <w:tcPr>
            <w:tcW w:w="27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8" w:type="dxa"/>
            <w:tcBorders/>
            <w:shd w:fill="FFFFFF" w:val="clear"/>
            <w:vAlign w:val="center"/>
          </w:tcPr>
          <w:p>
            <w:pPr>
              <w:pStyle w:val="TableContents"/>
              <w:bidi w:val="0"/>
              <w:spacing w:before="0" w:after="283"/>
              <w:jc w:val="left"/>
            </w:pPr>
            <w:r>
              <w:t> </w:t>
            </w:r>
          </w:p>
        </w:tc>
        <w:tc>
          <w:tcPr>
            <w:tcW w:w="167" w:type="dxa"/>
            <w:tcBorders/>
            <w:shd w:fill="FFFFFF" w:val="clear"/>
            <w:vAlign w:val="center"/>
          </w:tcPr>
          <w:p>
            <w:pPr>
              <w:pStyle w:val="TableContents"/>
              <w:bidi w:val="0"/>
              <w:spacing w:before="0" w:after="283"/>
              <w:ind w:left="0" w:right="0" w:hanging="0"/>
              <w:jc w:val="left"/>
            </w:pPr>
            <w:r>
              <w:t> </w:t>
            </w:r>
          </w:p>
        </w:tc>
        <w:tc>
          <w:tcPr>
            <w:tcW w:w="5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(902</w:t>
            </w:r>
          </w:p>
        </w:tc>
        <w:tc>
          <w:tcPr>
            <w:tcW w:w="9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8" w:type="dxa"/>
            <w:tcBorders/>
            <w:shd w:fill="FFFFFF" w:val="clear"/>
            <w:vAlign w:val="center"/>
          </w:tcPr>
          <w:p>
            <w:pPr>
              <w:pStyle w:val="TableContents"/>
              <w:bidi w:val="0"/>
              <w:spacing w:before="0" w:after="283"/>
              <w:jc w:val="left"/>
            </w:pPr>
            <w:r>
              <w:t> </w:t>
            </w:r>
          </w:p>
        </w:tc>
        <w:tc>
          <w:tcPr>
            <w:tcW w:w="111" w:type="dxa"/>
            <w:tcBorders/>
            <w:shd w:fill="FFFFFF" w:val="clear"/>
            <w:vAlign w:val="center"/>
          </w:tcPr>
          <w:p>
            <w:pPr>
              <w:pStyle w:val="TableContents"/>
              <w:bidi w:val="0"/>
              <w:spacing w:before="0" w:after="283"/>
              <w:ind w:left="0" w:right="0" w:hanging="0"/>
              <w:jc w:val="left"/>
            </w:pPr>
            <w:r>
              <w:t> </w:t>
            </w:r>
          </w:p>
        </w:tc>
        <w:tc>
          <w:tcPr>
            <w:tcW w:w="5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(0.8</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42" w:type="dxa"/>
            <w:tcBorders/>
            <w:shd w:fill="FFFFFF" w:val="clear"/>
            <w:vAlign w:val="center"/>
          </w:tcPr>
          <w:p>
            <w:pPr>
              <w:pStyle w:val="TableContents"/>
              <w:bidi w:val="0"/>
              <w:spacing w:before="0" w:after="283"/>
              <w:ind w:left="0" w:right="0" w:hanging="0"/>
              <w:jc w:val="left"/>
            </w:pPr>
            <w:r>
              <w:t> </w:t>
            </w:r>
          </w:p>
        </w:tc>
        <w:tc>
          <w:tcPr>
            <w:tcW w:w="5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35.4</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27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net</w:t>
            </w:r>
          </w:p>
        </w:tc>
        <w:tc>
          <w:tcPr>
            <w:tcW w:w="60" w:type="dxa"/>
            <w:tcBorders/>
            <w:shd w:fill="CCEEFF" w:val="clear"/>
            <w:vAlign w:val="center"/>
          </w:tcPr>
          <w:p>
            <w:pPr>
              <w:pStyle w:val="TableContents"/>
              <w:bidi w:val="0"/>
              <w:spacing w:before="0" w:after="283"/>
              <w:jc w:val="left"/>
            </w:pPr>
            <w:r>
              <w:t> </w:t>
            </w:r>
          </w:p>
        </w:tc>
        <w:tc>
          <w:tcPr>
            <w:tcW w:w="1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6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8,228</w:t>
            </w:r>
          </w:p>
        </w:tc>
        <w:tc>
          <w:tcPr>
            <w:tcW w:w="91" w:type="dxa"/>
            <w:tcBorders/>
            <w:shd w:fill="CCEEFF" w:val="clear"/>
            <w:vAlign w:val="center"/>
          </w:tcPr>
          <w:p>
            <w:pPr>
              <w:pStyle w:val="TableContents"/>
              <w:bidi w:val="0"/>
              <w:spacing w:before="0" w:after="283"/>
              <w:jc w:val="left"/>
            </w:pPr>
            <w:r>
              <w:t> </w:t>
            </w:r>
          </w:p>
        </w:tc>
        <w:tc>
          <w:tcPr>
            <w:tcW w:w="68" w:type="dxa"/>
            <w:tcBorders/>
            <w:shd w:fill="CCEEFF" w:val="clear"/>
            <w:vAlign w:val="center"/>
          </w:tcPr>
          <w:p>
            <w:pPr>
              <w:pStyle w:val="TableContents"/>
              <w:bidi w:val="0"/>
              <w:spacing w:before="0" w:after="283"/>
              <w:jc w:val="left"/>
            </w:pPr>
            <w:r>
              <w:t> </w:t>
            </w:r>
          </w:p>
        </w:tc>
        <w:tc>
          <w:tcPr>
            <w:tcW w:w="11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5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27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8" w:type="dxa"/>
            <w:tcBorders/>
            <w:shd w:fill="CCEEFF" w:val="clear"/>
            <w:vAlign w:val="center"/>
          </w:tcPr>
          <w:p>
            <w:pPr>
              <w:pStyle w:val="TableContents"/>
              <w:bidi w:val="0"/>
              <w:spacing w:before="0" w:after="283"/>
              <w:jc w:val="left"/>
            </w:pPr>
            <w: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5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702</w:t>
            </w:r>
          </w:p>
        </w:tc>
        <w:tc>
          <w:tcPr>
            <w:tcW w:w="91" w:type="dxa"/>
            <w:tcBorders/>
            <w:shd w:fill="CCEEFF" w:val="clear"/>
            <w:vAlign w:val="center"/>
          </w:tcPr>
          <w:p>
            <w:pPr>
              <w:pStyle w:val="TableContents"/>
              <w:bidi w:val="0"/>
              <w:spacing w:before="0" w:after="283"/>
              <w:jc w:val="left"/>
            </w:pPr>
            <w:r>
              <w:t> </w:t>
            </w:r>
          </w:p>
        </w:tc>
        <w:tc>
          <w:tcPr>
            <w:tcW w:w="68" w:type="dxa"/>
            <w:tcBorders/>
            <w:shd w:fill="CCEEFF" w:val="clear"/>
            <w:vAlign w:val="center"/>
          </w:tcPr>
          <w:p>
            <w:pPr>
              <w:pStyle w:val="TableContents"/>
              <w:bidi w:val="0"/>
              <w:spacing w:before="0" w:after="283"/>
              <w:jc w:val="left"/>
            </w:pPr>
            <w:r>
              <w:t> </w:t>
            </w:r>
          </w:p>
        </w:tc>
        <w:tc>
          <w:tcPr>
            <w:tcW w:w="11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5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1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55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7,526</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6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1072.1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273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income (expense), net</w:t>
            </w:r>
          </w:p>
        </w:tc>
        <w:tc>
          <w:tcPr>
            <w:tcW w:w="60" w:type="dxa"/>
            <w:tcBorders/>
            <w:shd w:fill="FFFFFF" w:val="clear"/>
            <w:vAlign w:val="center"/>
          </w:tcPr>
          <w:p>
            <w:pPr>
              <w:pStyle w:val="TableContents"/>
              <w:bidi w:val="0"/>
              <w:spacing w:before="0" w:after="283"/>
              <w:ind w:left="0" w:right="0" w:hanging="0"/>
              <w:jc w:val="left"/>
            </w:pPr>
            <w:r>
              <w:t> </w:t>
            </w:r>
          </w:p>
        </w:tc>
        <w:tc>
          <w:tcPr>
            <w:tcW w:w="14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10,101</w:t>
            </w:r>
          </w:p>
        </w:tc>
        <w:tc>
          <w:tcPr>
            <w:tcW w:w="91" w:type="dxa"/>
            <w:tcBorders/>
            <w:shd w:fill="FFFFFF" w:val="clear"/>
            <w:vAlign w:val="center"/>
          </w:tcPr>
          <w:p>
            <w:pPr>
              <w:pStyle w:val="TableContents"/>
              <w:bidi w:val="0"/>
              <w:spacing w:before="0" w:after="283"/>
              <w:jc w:val="left"/>
            </w:pPr>
            <w:r>
              <w:t> </w:t>
            </w:r>
          </w:p>
        </w:tc>
        <w:tc>
          <w:tcPr>
            <w:tcW w:w="68" w:type="dxa"/>
            <w:tcBorders/>
            <w:shd w:fill="FFFFFF" w:val="clear"/>
            <w:vAlign w:val="center"/>
          </w:tcPr>
          <w:p>
            <w:pPr>
              <w:pStyle w:val="TableContents"/>
              <w:bidi w:val="0"/>
              <w:spacing w:before="0" w:after="283"/>
              <w:jc w:val="left"/>
            </w:pPr>
            <w:r>
              <w:t> </w:t>
            </w:r>
          </w:p>
        </w:tc>
        <w:tc>
          <w:tcPr>
            <w:tcW w:w="11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pPr>
            <w:r>
              <w:t> </w:t>
            </w:r>
          </w:p>
        </w:tc>
        <w:tc>
          <w:tcPr>
            <w:tcW w:w="58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w:t>
            </w:r>
          </w:p>
        </w:tc>
        <w:tc>
          <w:tcPr>
            <w:tcW w:w="27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8" w:type="dxa"/>
            <w:tcBorders/>
            <w:shd w:fill="FFFFFF" w:val="clear"/>
            <w:vAlign w:val="center"/>
          </w:tcPr>
          <w:p>
            <w:pPr>
              <w:pStyle w:val="TableContents"/>
              <w:bidi w:val="0"/>
              <w:spacing w:before="0" w:after="283"/>
              <w:ind w:left="0" w:right="0" w:hanging="0"/>
              <w:jc w:val="left"/>
            </w:pPr>
            <w:r>
              <w:t> </w:t>
            </w:r>
          </w:p>
        </w:tc>
        <w:tc>
          <w:tcPr>
            <w:tcW w:w="16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2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w:t>
            </w:r>
          </w:p>
        </w:tc>
        <w:tc>
          <w:tcPr>
            <w:tcW w:w="91" w:type="dxa"/>
            <w:tcBorders/>
            <w:shd w:fill="FFFFFF" w:val="clear"/>
            <w:vAlign w:val="center"/>
          </w:tcPr>
          <w:p>
            <w:pPr>
              <w:pStyle w:val="TableContents"/>
              <w:bidi w:val="0"/>
              <w:spacing w:before="0" w:after="283"/>
              <w:jc w:val="left"/>
            </w:pPr>
            <w:r>
              <w:t> </w:t>
            </w:r>
          </w:p>
        </w:tc>
        <w:tc>
          <w:tcPr>
            <w:tcW w:w="68" w:type="dxa"/>
            <w:tcBorders/>
            <w:shd w:fill="FFFFFF" w:val="clear"/>
            <w:vAlign w:val="center"/>
          </w:tcPr>
          <w:p>
            <w:pPr>
              <w:pStyle w:val="TableContents"/>
              <w:bidi w:val="0"/>
              <w:spacing w:before="0" w:after="283"/>
              <w:jc w:val="left"/>
            </w:pPr>
            <w:r>
              <w:t> </w:t>
            </w:r>
          </w:p>
        </w:tc>
        <w:tc>
          <w:tcPr>
            <w:tcW w:w="11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pPr>
            <w:r>
              <w:t> </w:t>
            </w:r>
          </w:p>
        </w:tc>
        <w:tc>
          <w:tcPr>
            <w:tcW w:w="58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4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5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9,850</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pPr>
            <w:r>
              <w:t> </w:t>
            </w:r>
          </w:p>
        </w:tc>
        <w:tc>
          <w:tcPr>
            <w:tcW w:w="63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3,924.3</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pPr>
      <w:r>
        <w:t> </w:t>
      </w:r>
    </w:p>
    <w:tbl>
      <w:tblPr>
        <w:tblW w:w="8332" w:type="dxa"/>
        <w:jc w:val="left"/>
        <w:tblInd w:w="0" w:type="dxa"/>
        <w:tblLayout w:type="fixed"/>
        <w:tblCellMar>
          <w:top w:w="0" w:type="dxa"/>
          <w:left w:w="0" w:type="dxa"/>
          <w:bottom w:w="0" w:type="dxa"/>
          <w:right w:w="0" w:type="dxa"/>
        </w:tblCellMar>
      </w:tblPr>
      <w:tblGrid>
        <w:gridCol w:w="2915"/>
        <w:gridCol w:w="60"/>
        <w:gridCol w:w="129"/>
        <w:gridCol w:w="610"/>
        <w:gridCol w:w="82"/>
        <w:gridCol w:w="62"/>
        <w:gridCol w:w="104"/>
        <w:gridCol w:w="591"/>
        <w:gridCol w:w="253"/>
        <w:gridCol w:w="62"/>
        <w:gridCol w:w="129"/>
        <w:gridCol w:w="566"/>
        <w:gridCol w:w="82"/>
        <w:gridCol w:w="62"/>
        <w:gridCol w:w="104"/>
        <w:gridCol w:w="591"/>
        <w:gridCol w:w="245"/>
        <w:gridCol w:w="60"/>
        <w:gridCol w:w="142"/>
        <w:gridCol w:w="553"/>
        <w:gridCol w:w="80"/>
        <w:gridCol w:w="60"/>
        <w:gridCol w:w="60"/>
        <w:gridCol w:w="485"/>
        <w:gridCol w:w="245"/>
      </w:tblGrid>
      <w:tr>
        <w:tc>
          <w:tcPr>
            <w:tcW w:w="291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3427"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 September 30,</w:t>
            </w:r>
          </w:p>
        </w:tc>
        <w:tc>
          <w:tcPr>
            <w:tcW w:w="24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42" w:type="dxa"/>
            <w:tcBorders/>
            <w:shd w:fill="FFFFFF" w:val="clear"/>
            <w:vAlign w:val="center"/>
          </w:tcPr>
          <w:p>
            <w:pPr>
              <w:pStyle w:val="TableContents"/>
              <w:bidi w:val="0"/>
              <w:spacing w:before="0" w:after="283"/>
              <w:jc w:val="left"/>
            </w:pPr>
            <w:r>
              <w:t> </w:t>
            </w:r>
          </w:p>
        </w:tc>
        <w:tc>
          <w:tcPr>
            <w:tcW w:w="553" w:type="dxa"/>
            <w:tcBorders/>
            <w:shd w:fill="FFFFFF" w:val="clear"/>
            <w:vAlign w:val="center"/>
          </w:tcPr>
          <w:p>
            <w:pPr>
              <w:pStyle w:val="TableContents"/>
              <w:bidi w:val="0"/>
              <w:spacing w:before="0" w:after="283"/>
              <w:jc w:val="center"/>
            </w:pPr>
            <w: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485" w:type="dxa"/>
            <w:tcBorders/>
            <w:shd w:fill="FFFFFF" w:val="clear"/>
            <w:vAlign w:val="center"/>
          </w:tcPr>
          <w:p>
            <w:pPr>
              <w:pStyle w:val="TableContents"/>
              <w:bidi w:val="0"/>
              <w:spacing w:before="0" w:after="283"/>
              <w:jc w:val="center"/>
            </w:pPr>
            <w:r>
              <w:t> </w:t>
            </w:r>
          </w:p>
        </w:tc>
        <w:tc>
          <w:tcPr>
            <w:tcW w:w="245" w:type="dxa"/>
            <w:tcBorders/>
            <w:shd w:fill="FFFFFF" w:val="clear"/>
            <w:vAlign w:val="center"/>
          </w:tcPr>
          <w:p>
            <w:pPr>
              <w:pStyle w:val="TableContents"/>
              <w:bidi w:val="0"/>
              <w:spacing w:before="0" w:after="283"/>
              <w:jc w:val="left"/>
            </w:pPr>
            <w:r>
              <w:t> </w:t>
            </w:r>
          </w:p>
        </w:tc>
      </w:tr>
      <w:tr>
        <w:tc>
          <w:tcPr>
            <w:tcW w:w="291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57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253" w:type="dxa"/>
            <w:tcBorders/>
            <w:shd w:fill="FFFFFF" w:val="clear"/>
            <w:vAlign w:val="center"/>
          </w:tcPr>
          <w:p>
            <w:pPr>
              <w:pStyle w:val="TableContents"/>
              <w:bidi w:val="0"/>
              <w:spacing w:before="0" w:after="283"/>
              <w:jc w:val="left"/>
            </w:pPr>
            <w:r>
              <w:t> </w:t>
            </w:r>
          </w:p>
        </w:tc>
        <w:tc>
          <w:tcPr>
            <w:tcW w:w="62" w:type="dxa"/>
            <w:tcBorders/>
            <w:shd w:fill="FFFFFF" w:val="clear"/>
            <w:vAlign w:val="center"/>
          </w:tcPr>
          <w:p>
            <w:pPr>
              <w:pStyle w:val="TableContents"/>
              <w:bidi w:val="0"/>
              <w:spacing w:before="0" w:after="283"/>
              <w:ind w:left="0" w:right="0" w:hanging="0"/>
              <w:jc w:val="left"/>
            </w:pPr>
            <w:r>
              <w:t> </w:t>
            </w:r>
          </w:p>
        </w:tc>
        <w:tc>
          <w:tcPr>
            <w:tcW w:w="1534"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24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38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245" w:type="dxa"/>
            <w:tcBorders/>
            <w:shd w:fill="FFFFFF" w:val="clear"/>
            <w:vAlign w:val="center"/>
          </w:tcPr>
          <w:p>
            <w:pPr>
              <w:pStyle w:val="TableContents"/>
              <w:bidi w:val="0"/>
              <w:spacing w:before="0" w:after="283"/>
              <w:jc w:val="left"/>
            </w:pPr>
            <w:r>
              <w:t> </w:t>
            </w:r>
          </w:p>
        </w:tc>
      </w:tr>
      <w:tr>
        <w:tc>
          <w:tcPr>
            <w:tcW w:w="291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39" w:type="dxa"/>
            <w:gridSpan w:val="2"/>
            <w:tcBorders/>
            <w:shd w:fill="FFFFFF" w:val="clear"/>
            <w:vAlign w:val="center"/>
          </w:tcPr>
          <w:p>
            <w:pPr>
              <w:pStyle w:val="TableContents"/>
              <w:bidi w:val="0"/>
              <w:spacing w:before="0" w:after="283"/>
              <w:jc w:val="left"/>
            </w:pPr>
            <w:r>
              <w:t> </w:t>
            </w:r>
          </w:p>
        </w:tc>
        <w:tc>
          <w:tcPr>
            <w:tcW w:w="82" w:type="dxa"/>
            <w:tcBorders/>
            <w:shd w:fill="FFFFFF" w:val="clear"/>
            <w:vAlign w:val="center"/>
          </w:tcPr>
          <w:p>
            <w:pPr>
              <w:pStyle w:val="TableContents"/>
              <w:bidi w:val="0"/>
              <w:spacing w:before="0" w:after="283"/>
              <w:jc w:val="left"/>
            </w:pPr>
            <w:r>
              <w:t> </w:t>
            </w:r>
          </w:p>
        </w:tc>
        <w:tc>
          <w:tcPr>
            <w:tcW w:w="62" w:type="dxa"/>
            <w:tcBorders/>
            <w:shd w:fill="FFFFFF" w:val="clear"/>
            <w:vAlign w:val="center"/>
          </w:tcPr>
          <w:p>
            <w:pPr>
              <w:pStyle w:val="TableContents"/>
              <w:bidi w:val="0"/>
              <w:spacing w:before="0" w:after="283"/>
              <w:ind w:left="0" w:right="0" w:hanging="0"/>
              <w:jc w:val="left"/>
            </w:pPr>
            <w:r>
              <w:t> </w:t>
            </w:r>
          </w:p>
        </w:tc>
        <w:tc>
          <w:tcPr>
            <w:tcW w:w="69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w:t>
            </w:r>
          </w:p>
        </w:tc>
        <w:tc>
          <w:tcPr>
            <w:tcW w:w="253" w:type="dxa"/>
            <w:tcBorders/>
            <w:shd w:fill="FFFFFF" w:val="clear"/>
            <w:vAlign w:val="center"/>
          </w:tcPr>
          <w:p>
            <w:pPr>
              <w:pStyle w:val="TableContents"/>
              <w:bidi w:val="0"/>
              <w:spacing w:before="0" w:after="283"/>
              <w:jc w:val="left"/>
            </w:pPr>
            <w:r>
              <w:t> </w:t>
            </w:r>
          </w:p>
        </w:tc>
        <w:tc>
          <w:tcPr>
            <w:tcW w:w="62" w:type="dxa"/>
            <w:tcBorders/>
            <w:shd w:fill="FFFFFF" w:val="clear"/>
            <w:vAlign w:val="center"/>
          </w:tcPr>
          <w:p>
            <w:pPr>
              <w:pStyle w:val="TableContents"/>
              <w:bidi w:val="0"/>
              <w:spacing w:before="0" w:after="283"/>
              <w:jc w:val="left"/>
            </w:pPr>
            <w:r>
              <w:t> </w:t>
            </w:r>
          </w:p>
        </w:tc>
        <w:tc>
          <w:tcPr>
            <w:tcW w:w="129" w:type="dxa"/>
            <w:tcBorders/>
            <w:shd w:fill="FFFFFF" w:val="clear"/>
            <w:vAlign w:val="center"/>
          </w:tcPr>
          <w:p>
            <w:pPr>
              <w:pStyle w:val="TableContents"/>
              <w:bidi w:val="0"/>
              <w:spacing w:before="0" w:after="283"/>
              <w:jc w:val="left"/>
            </w:pPr>
            <w:r>
              <w:t> </w:t>
            </w:r>
          </w:p>
        </w:tc>
        <w:tc>
          <w:tcPr>
            <w:tcW w:w="566" w:type="dxa"/>
            <w:tcBorders/>
            <w:shd w:fill="FFFFFF" w:val="clear"/>
            <w:vAlign w:val="center"/>
          </w:tcPr>
          <w:p>
            <w:pPr>
              <w:pStyle w:val="TableContents"/>
              <w:bidi w:val="0"/>
              <w:spacing w:before="0" w:after="283"/>
              <w:jc w:val="center"/>
            </w:pPr>
            <w:r>
              <w:t> </w:t>
            </w:r>
          </w:p>
        </w:tc>
        <w:tc>
          <w:tcPr>
            <w:tcW w:w="82" w:type="dxa"/>
            <w:tcBorders/>
            <w:shd w:fill="FFFFFF" w:val="clear"/>
            <w:vAlign w:val="center"/>
          </w:tcPr>
          <w:p>
            <w:pPr>
              <w:pStyle w:val="TableContents"/>
              <w:bidi w:val="0"/>
              <w:spacing w:before="0" w:after="283"/>
              <w:jc w:val="left"/>
            </w:pPr>
            <w:r>
              <w:t> </w:t>
            </w:r>
          </w:p>
        </w:tc>
        <w:tc>
          <w:tcPr>
            <w:tcW w:w="62" w:type="dxa"/>
            <w:tcBorders/>
            <w:shd w:fill="FFFFFF" w:val="clear"/>
            <w:vAlign w:val="center"/>
          </w:tcPr>
          <w:p>
            <w:pPr>
              <w:pStyle w:val="TableContents"/>
              <w:bidi w:val="0"/>
              <w:spacing w:before="0" w:after="283"/>
              <w:ind w:left="0" w:right="0" w:hanging="0"/>
              <w:jc w:val="left"/>
            </w:pPr>
            <w:r>
              <w:t> </w:t>
            </w:r>
          </w:p>
        </w:tc>
        <w:tc>
          <w:tcPr>
            <w:tcW w:w="69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w:t>
            </w:r>
          </w:p>
        </w:tc>
        <w:tc>
          <w:tcPr>
            <w:tcW w:w="24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695" w:type="dxa"/>
            <w:gridSpan w:val="2"/>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485" w:type="dxa"/>
            <w:tcBorders/>
            <w:shd w:fill="FFFFFF" w:val="clear"/>
            <w:vAlign w:val="center"/>
          </w:tcPr>
          <w:p>
            <w:pPr>
              <w:pStyle w:val="TableContents"/>
              <w:bidi w:val="0"/>
              <w:spacing w:before="0" w:after="283"/>
              <w:jc w:val="left"/>
            </w:pPr>
            <w:r>
              <w:t> </w:t>
            </w:r>
          </w:p>
        </w:tc>
        <w:tc>
          <w:tcPr>
            <w:tcW w:w="245" w:type="dxa"/>
            <w:tcBorders/>
            <w:shd w:fill="FFFFFF" w:val="clear"/>
            <w:vAlign w:val="center"/>
          </w:tcPr>
          <w:p>
            <w:pPr>
              <w:pStyle w:val="TableContents"/>
              <w:bidi w:val="0"/>
              <w:spacing w:before="0" w:after="283"/>
              <w:jc w:val="left"/>
            </w:pPr>
            <w:r>
              <w:t> </w:t>
            </w:r>
          </w:p>
        </w:tc>
      </w:tr>
      <w:tr>
        <w:tc>
          <w:tcPr>
            <w:tcW w:w="291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82" w:type="dxa"/>
            <w:tcBorders/>
            <w:shd w:fill="FFFFFF" w:val="clear"/>
            <w:vAlign w:val="center"/>
          </w:tcPr>
          <w:p>
            <w:pPr>
              <w:pStyle w:val="TableContents"/>
              <w:bidi w:val="0"/>
              <w:spacing w:before="0" w:after="283"/>
              <w:jc w:val="left"/>
            </w:pPr>
            <w:r>
              <w:t> </w:t>
            </w:r>
          </w:p>
        </w:tc>
        <w:tc>
          <w:tcPr>
            <w:tcW w:w="62" w:type="dxa"/>
            <w:tcBorders/>
            <w:shd w:fill="FFFFFF" w:val="clear"/>
            <w:vAlign w:val="center"/>
          </w:tcPr>
          <w:p>
            <w:pPr>
              <w:pStyle w:val="TableContents"/>
              <w:bidi w:val="0"/>
              <w:spacing w:before="0" w:after="283"/>
              <w:ind w:left="0" w:right="0" w:hanging="0"/>
              <w:jc w:val="left"/>
            </w:pPr>
            <w: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253" w:type="dxa"/>
            <w:tcBorders/>
            <w:shd w:fill="FFFFFF" w:val="clear"/>
            <w:vAlign w:val="center"/>
          </w:tcPr>
          <w:p>
            <w:pPr>
              <w:pStyle w:val="TableContents"/>
              <w:bidi w:val="0"/>
              <w:spacing w:before="0" w:after="283"/>
              <w:jc w:val="left"/>
            </w:pPr>
            <w:r>
              <w:t> </w:t>
            </w:r>
          </w:p>
        </w:tc>
        <w:tc>
          <w:tcPr>
            <w:tcW w:w="62" w:type="dxa"/>
            <w:tcBorders/>
            <w:shd w:fill="FFFFFF" w:val="clear"/>
            <w:vAlign w:val="center"/>
          </w:tcPr>
          <w:p>
            <w:pPr>
              <w:pStyle w:val="TableContents"/>
              <w:bidi w:val="0"/>
              <w:spacing w:before="0" w:after="283"/>
              <w:ind w:left="0" w:right="0" w:hanging="0"/>
              <w:jc w:val="left"/>
            </w:pPr>
            <w: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82" w:type="dxa"/>
            <w:tcBorders/>
            <w:shd w:fill="FFFFFF" w:val="clear"/>
            <w:vAlign w:val="center"/>
          </w:tcPr>
          <w:p>
            <w:pPr>
              <w:pStyle w:val="TableContents"/>
              <w:bidi w:val="0"/>
              <w:spacing w:before="0" w:after="283"/>
              <w:jc w:val="left"/>
            </w:pPr>
            <w:r>
              <w:t> </w:t>
            </w:r>
          </w:p>
        </w:tc>
        <w:tc>
          <w:tcPr>
            <w:tcW w:w="62" w:type="dxa"/>
            <w:tcBorders/>
            <w:shd w:fill="FFFFFF" w:val="clear"/>
            <w:vAlign w:val="center"/>
          </w:tcPr>
          <w:p>
            <w:pPr>
              <w:pStyle w:val="TableContents"/>
              <w:bidi w:val="0"/>
              <w:spacing w:before="0" w:after="283"/>
              <w:ind w:left="0" w:right="0" w:hanging="0"/>
              <w:jc w:val="left"/>
            </w:pPr>
            <w: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24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5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
            </w:r>
          </w:p>
        </w:tc>
        <w:tc>
          <w:tcPr>
            <w:tcW w:w="245" w:type="dxa"/>
            <w:tcBorders/>
            <w:shd w:fill="FFFFFF" w:val="clear"/>
            <w:vAlign w:val="center"/>
          </w:tcPr>
          <w:p>
            <w:pPr>
              <w:pStyle w:val="TableContents"/>
              <w:bidi w:val="0"/>
              <w:spacing w:before="0" w:after="283"/>
              <w:jc w:val="left"/>
            </w:pPr>
            <w:r>
              <w:t> </w:t>
            </w:r>
          </w:p>
        </w:tc>
      </w:tr>
      <w:tr>
        <w:tc>
          <w:tcPr>
            <w:tcW w:w="291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5112" w:type="dxa"/>
            <w:gridSpan w:val="2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 except percentages)</w:t>
            </w:r>
          </w:p>
        </w:tc>
        <w:tc>
          <w:tcPr>
            <w:tcW w:w="245" w:type="dxa"/>
            <w:tcBorders/>
            <w:shd w:fill="FFFFFF" w:val="clear"/>
            <w:vAlign w:val="center"/>
          </w:tcPr>
          <w:p>
            <w:pPr>
              <w:pStyle w:val="TableContents"/>
              <w:bidi w:val="0"/>
              <w:spacing w:before="0" w:after="283"/>
              <w:jc w:val="left"/>
            </w:pPr>
            <w:r>
              <w:t> </w:t>
            </w:r>
          </w:p>
        </w:tc>
      </w:tr>
      <w:tr>
        <w:tc>
          <w:tcPr>
            <w:tcW w:w="29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CCEEFF" w:val="clear"/>
            <w:vAlign w:val="center"/>
          </w:tcPr>
          <w:p>
            <w:pPr>
              <w:pStyle w:val="TableContents"/>
              <w:bidi w:val="0"/>
              <w:spacing w:before="0" w:after="283"/>
              <w:ind w:left="0" w:right="0" w:hanging="0"/>
              <w:jc w:val="left"/>
            </w:pPr>
            <w:r>
              <w:t> </w:t>
            </w:r>
          </w:p>
        </w:tc>
        <w:tc>
          <w:tcPr>
            <w:tcW w:w="12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8,079</w:t>
            </w:r>
          </w:p>
        </w:tc>
        <w:tc>
          <w:tcPr>
            <w:tcW w:w="82" w:type="dxa"/>
            <w:tcBorders/>
            <w:shd w:fill="CCEEFF" w:val="clear"/>
            <w:vAlign w:val="center"/>
          </w:tcPr>
          <w:p>
            <w:pPr>
              <w:pStyle w:val="TableContents"/>
              <w:bidi w:val="0"/>
              <w:spacing w:before="0" w:after="283"/>
              <w:jc w:val="left"/>
            </w:pPr>
            <w:r>
              <w:t> </w:t>
            </w:r>
          </w:p>
        </w:tc>
        <w:tc>
          <w:tcPr>
            <w:tcW w:w="62" w:type="dxa"/>
            <w:tcBorders/>
            <w:shd w:fill="CCEEFF" w:val="clear"/>
            <w:vAlign w:val="center"/>
          </w:tcPr>
          <w:p>
            <w:pPr>
              <w:pStyle w:val="TableContents"/>
              <w:bidi w:val="0"/>
              <w:spacing w:before="0" w:after="283"/>
              <w:jc w:val="left"/>
            </w:pPr>
            <w:r>
              <w:t> </w:t>
            </w:r>
          </w:p>
        </w:tc>
        <w:tc>
          <w:tcPr>
            <w:tcW w:w="104" w:type="dxa"/>
            <w:tcBorders/>
            <w:shd w:fill="CCEEFF" w:val="clear"/>
            <w:vAlign w:val="center"/>
          </w:tcPr>
          <w:p>
            <w:pPr>
              <w:pStyle w:val="TableContents"/>
              <w:bidi w:val="0"/>
              <w:spacing w:before="0" w:after="283"/>
              <w:ind w:left="0" w:right="0" w:hanging="0"/>
              <w:jc w:val="left"/>
            </w:pPr>
            <w:r>
              <w:t> </w:t>
            </w:r>
          </w:p>
        </w:tc>
        <w:tc>
          <w:tcPr>
            <w:tcW w:w="5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25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 w:type="dxa"/>
            <w:tcBorders/>
            <w:shd w:fill="CCEEFF" w:val="clear"/>
            <w:vAlign w:val="center"/>
          </w:tcPr>
          <w:p>
            <w:pPr>
              <w:pStyle w:val="TableContents"/>
              <w:bidi w:val="0"/>
              <w:spacing w:before="0" w:after="283"/>
              <w:ind w:left="0" w:right="0" w:hanging="0"/>
              <w:jc w:val="left"/>
            </w:pPr>
            <w:r>
              <w:t> </w:t>
            </w:r>
          </w:p>
        </w:tc>
        <w:tc>
          <w:tcPr>
            <w:tcW w:w="12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961</w:t>
            </w:r>
          </w:p>
        </w:tc>
        <w:tc>
          <w:tcPr>
            <w:tcW w:w="82" w:type="dxa"/>
            <w:tcBorders/>
            <w:shd w:fill="CCEEFF" w:val="clear"/>
            <w:vAlign w:val="center"/>
          </w:tcPr>
          <w:p>
            <w:pPr>
              <w:pStyle w:val="TableContents"/>
              <w:bidi w:val="0"/>
              <w:spacing w:before="0" w:after="283"/>
              <w:jc w:val="left"/>
            </w:pPr>
            <w:r>
              <w:t> </w:t>
            </w:r>
          </w:p>
        </w:tc>
        <w:tc>
          <w:tcPr>
            <w:tcW w:w="62" w:type="dxa"/>
            <w:tcBorders/>
            <w:shd w:fill="CCEEFF" w:val="clear"/>
            <w:vAlign w:val="center"/>
          </w:tcPr>
          <w:p>
            <w:pPr>
              <w:pStyle w:val="TableContents"/>
              <w:bidi w:val="0"/>
              <w:spacing w:before="0" w:after="283"/>
              <w:jc w:val="left"/>
            </w:pPr>
            <w:r>
              <w:t> </w:t>
            </w:r>
          </w:p>
        </w:tc>
        <w:tc>
          <w:tcPr>
            <w:tcW w:w="104" w:type="dxa"/>
            <w:tcBorders/>
            <w:shd w:fill="CCEEFF" w:val="clear"/>
            <w:vAlign w:val="center"/>
          </w:tcPr>
          <w:p>
            <w:pPr>
              <w:pStyle w:val="TableContents"/>
              <w:bidi w:val="0"/>
              <w:spacing w:before="0" w:after="283"/>
              <w:ind w:left="0" w:right="0" w:hanging="0"/>
              <w:jc w:val="left"/>
            </w:pPr>
            <w:r>
              <w:t> </w:t>
            </w:r>
          </w:p>
        </w:tc>
        <w:tc>
          <w:tcPr>
            <w:tcW w:w="5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pPr>
            <w:r>
              <w:t> </w:t>
            </w:r>
          </w:p>
        </w:tc>
        <w:tc>
          <w:tcPr>
            <w:tcW w:w="14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7,118</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740.7</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29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FFFFFF" w:val="clear"/>
            <w:vAlign w:val="center"/>
          </w:tcPr>
          <w:p>
            <w:pPr>
              <w:pStyle w:val="TableContents"/>
              <w:bidi w:val="0"/>
              <w:spacing w:before="0" w:after="283"/>
              <w:jc w:val="left"/>
            </w:pPr>
            <w:r>
              <w:t> </w:t>
            </w:r>
          </w:p>
        </w:tc>
        <w:tc>
          <w:tcPr>
            <w:tcW w:w="129" w:type="dxa"/>
            <w:tcBorders/>
            <w:shd w:fill="FFFFFF" w:val="clear"/>
            <w:vAlign w:val="center"/>
          </w:tcPr>
          <w:p>
            <w:pPr>
              <w:pStyle w:val="TableContents"/>
              <w:bidi w:val="0"/>
              <w:spacing w:before="0" w:after="283"/>
              <w:ind w:left="0" w:right="0" w:hanging="0"/>
              <w:jc w:val="left"/>
            </w:pPr>
            <w:r>
              <w:t> </w:t>
            </w:r>
          </w:p>
        </w:tc>
        <w:tc>
          <w:tcPr>
            <w:tcW w:w="6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(3,011</w:t>
            </w:r>
          </w:p>
        </w:tc>
        <w:tc>
          <w:tcPr>
            <w:tcW w:w="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 w:type="dxa"/>
            <w:tcBorders/>
            <w:shd w:fill="FFFFFF" w:val="clear"/>
            <w:vAlign w:val="center"/>
          </w:tcPr>
          <w:p>
            <w:pPr>
              <w:pStyle w:val="TableContents"/>
              <w:bidi w:val="0"/>
              <w:spacing w:before="0" w:after="283"/>
              <w:jc w:val="left"/>
            </w:pPr>
            <w:r>
              <w:t> </w:t>
            </w:r>
          </w:p>
        </w:tc>
        <w:tc>
          <w:tcPr>
            <w:tcW w:w="104" w:type="dxa"/>
            <w:tcBorders/>
            <w:shd w:fill="FFFFFF" w:val="clear"/>
            <w:vAlign w:val="center"/>
          </w:tcPr>
          <w:p>
            <w:pPr>
              <w:pStyle w:val="TableContents"/>
              <w:bidi w:val="0"/>
              <w:spacing w:before="0" w:after="283"/>
              <w:ind w:left="0" w:right="0" w:hanging="0"/>
              <w:jc w:val="left"/>
            </w:pPr>
            <w:r>
              <w:t> </w:t>
            </w:r>
          </w:p>
        </w:tc>
        <w:tc>
          <w:tcPr>
            <w:tcW w:w="5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w:t>
            </w:r>
          </w:p>
        </w:tc>
        <w:tc>
          <w:tcPr>
            <w:tcW w:w="25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 w:type="dxa"/>
            <w:tcBorders/>
            <w:shd w:fill="FFFFFF" w:val="clear"/>
            <w:vAlign w:val="center"/>
          </w:tcPr>
          <w:p>
            <w:pPr>
              <w:pStyle w:val="TableContents"/>
              <w:bidi w:val="0"/>
              <w:spacing w:before="0" w:after="283"/>
              <w:jc w:val="left"/>
            </w:pPr>
            <w:r>
              <w:t> </w:t>
            </w:r>
          </w:p>
        </w:tc>
        <w:tc>
          <w:tcPr>
            <w:tcW w:w="129" w:type="dxa"/>
            <w:tcBorders/>
            <w:shd w:fill="FFFFFF" w:val="clear"/>
            <w:vAlign w:val="center"/>
          </w:tcPr>
          <w:p>
            <w:pPr>
              <w:pStyle w:val="TableContents"/>
              <w:bidi w:val="0"/>
              <w:spacing w:before="0" w:after="283"/>
              <w:ind w:left="0" w:right="0" w:hanging="0"/>
              <w:jc w:val="left"/>
            </w:pPr>
            <w:r>
              <w:t> </w:t>
            </w:r>
          </w:p>
        </w:tc>
        <w:tc>
          <w:tcPr>
            <w:tcW w:w="5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(2,653</w:t>
            </w:r>
          </w:p>
        </w:tc>
        <w:tc>
          <w:tcPr>
            <w:tcW w:w="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 w:type="dxa"/>
            <w:tcBorders/>
            <w:shd w:fill="FFFFFF" w:val="clear"/>
            <w:vAlign w:val="center"/>
          </w:tcPr>
          <w:p>
            <w:pPr>
              <w:pStyle w:val="TableContents"/>
              <w:bidi w:val="0"/>
              <w:spacing w:before="0" w:after="283"/>
              <w:jc w:val="left"/>
            </w:pPr>
            <w:r>
              <w:t> </w:t>
            </w:r>
          </w:p>
        </w:tc>
        <w:tc>
          <w:tcPr>
            <w:tcW w:w="104" w:type="dxa"/>
            <w:tcBorders/>
            <w:shd w:fill="FFFFFF" w:val="clear"/>
            <w:vAlign w:val="center"/>
          </w:tcPr>
          <w:p>
            <w:pPr>
              <w:pStyle w:val="TableContents"/>
              <w:bidi w:val="0"/>
              <w:spacing w:before="0" w:after="283"/>
              <w:ind w:left="0" w:right="0" w:hanging="0"/>
              <w:jc w:val="left"/>
            </w:pPr>
            <w:r>
              <w:t> </w:t>
            </w:r>
          </w:p>
        </w:tc>
        <w:tc>
          <w:tcPr>
            <w:tcW w:w="5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(0.8</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42" w:type="dxa"/>
            <w:tcBorders/>
            <w:shd w:fill="FFFFFF" w:val="clear"/>
            <w:vAlign w:val="center"/>
          </w:tcPr>
          <w:p>
            <w:pPr>
              <w:pStyle w:val="TableContents"/>
              <w:bidi w:val="0"/>
              <w:spacing w:before="0" w:after="283"/>
              <w:ind w:left="0" w:right="0" w:hanging="0"/>
              <w:jc w:val="left"/>
            </w:pPr>
            <w:r>
              <w:t> </w:t>
            </w:r>
          </w:p>
        </w:tc>
        <w:tc>
          <w:tcPr>
            <w:tcW w:w="5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29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net</w:t>
            </w:r>
          </w:p>
        </w:tc>
        <w:tc>
          <w:tcPr>
            <w:tcW w:w="60" w:type="dxa"/>
            <w:tcBorders/>
            <w:shd w:fill="CCEEFF" w:val="clear"/>
            <w:vAlign w:val="center"/>
          </w:tcPr>
          <w:p>
            <w:pPr>
              <w:pStyle w:val="TableContents"/>
              <w:bidi w:val="0"/>
              <w:spacing w:before="0" w:after="283"/>
              <w:jc w:val="left"/>
            </w:pPr>
            <w:r>
              <w:t> </w:t>
            </w:r>
          </w:p>
        </w:tc>
        <w:tc>
          <w:tcPr>
            <w:tcW w:w="1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6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8,027</w:t>
            </w:r>
          </w:p>
        </w:tc>
        <w:tc>
          <w:tcPr>
            <w:tcW w:w="82" w:type="dxa"/>
            <w:tcBorders/>
            <w:shd w:fill="CCEEFF" w:val="clear"/>
            <w:vAlign w:val="center"/>
          </w:tcPr>
          <w:p>
            <w:pPr>
              <w:pStyle w:val="TableContents"/>
              <w:bidi w:val="0"/>
              <w:spacing w:before="0" w:after="283"/>
              <w:jc w:val="left"/>
            </w:pPr>
            <w:r>
              <w:t> </w:t>
            </w:r>
          </w:p>
        </w:tc>
        <w:tc>
          <w:tcPr>
            <w:tcW w:w="62" w:type="dxa"/>
            <w:tcBorders/>
            <w:shd w:fill="CCEEFF" w:val="clear"/>
            <w:vAlign w:val="center"/>
          </w:tcPr>
          <w:p>
            <w:pPr>
              <w:pStyle w:val="TableContents"/>
              <w:bidi w:val="0"/>
              <w:spacing w:before="0" w:after="283"/>
              <w:jc w:val="left"/>
            </w:pPr>
            <w:r>
              <w:t> </w:t>
            </w:r>
          </w:p>
        </w:tc>
        <w:tc>
          <w:tcPr>
            <w:tcW w:w="10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59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25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 w:type="dxa"/>
            <w:tcBorders/>
            <w:shd w:fill="CCEEFF" w:val="clear"/>
            <w:vAlign w:val="center"/>
          </w:tcPr>
          <w:p>
            <w:pPr>
              <w:pStyle w:val="TableContents"/>
              <w:bidi w:val="0"/>
              <w:spacing w:before="0" w:after="283"/>
              <w:jc w:val="left"/>
            </w:pPr>
            <w:r>
              <w:t> </w:t>
            </w:r>
          </w:p>
        </w:tc>
        <w:tc>
          <w:tcPr>
            <w:tcW w:w="1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5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8,587</w:t>
            </w:r>
          </w:p>
        </w:tc>
        <w:tc>
          <w:tcPr>
            <w:tcW w:w="82" w:type="dxa"/>
            <w:tcBorders/>
            <w:shd w:fill="CCEEFF" w:val="clear"/>
            <w:vAlign w:val="center"/>
          </w:tcPr>
          <w:p>
            <w:pPr>
              <w:pStyle w:val="TableContents"/>
              <w:bidi w:val="0"/>
              <w:spacing w:before="0" w:after="283"/>
              <w:jc w:val="left"/>
            </w:pPr>
            <w:r>
              <w:t> </w:t>
            </w:r>
          </w:p>
        </w:tc>
        <w:tc>
          <w:tcPr>
            <w:tcW w:w="62" w:type="dxa"/>
            <w:tcBorders/>
            <w:shd w:fill="CCEEFF" w:val="clear"/>
            <w:vAlign w:val="center"/>
          </w:tcPr>
          <w:p>
            <w:pPr>
              <w:pStyle w:val="TableContents"/>
              <w:bidi w:val="0"/>
              <w:spacing w:before="0" w:after="283"/>
              <w:jc w:val="left"/>
            </w:pPr>
            <w:r>
              <w:t> </w:t>
            </w:r>
          </w:p>
        </w:tc>
        <w:tc>
          <w:tcPr>
            <w:tcW w:w="10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59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1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55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291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income (expense), net</w:t>
            </w:r>
          </w:p>
        </w:tc>
        <w:tc>
          <w:tcPr>
            <w:tcW w:w="60" w:type="dxa"/>
            <w:tcBorders/>
            <w:shd w:fill="FFFFFF" w:val="clear"/>
            <w:vAlign w:val="center"/>
          </w:tcPr>
          <w:p>
            <w:pPr>
              <w:pStyle w:val="TableContents"/>
              <w:bidi w:val="0"/>
              <w:spacing w:before="0" w:after="283"/>
              <w:ind w:left="0" w:right="0" w:hanging="0"/>
              <w:jc w:val="left"/>
            </w:pPr>
            <w:r>
              <w:t> </w:t>
            </w:r>
          </w:p>
        </w:tc>
        <w:tc>
          <w:tcPr>
            <w:tcW w:w="12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13,095</w:t>
            </w:r>
          </w:p>
        </w:tc>
        <w:tc>
          <w:tcPr>
            <w:tcW w:w="82" w:type="dxa"/>
            <w:tcBorders/>
            <w:shd w:fill="FFFFFF" w:val="clear"/>
            <w:vAlign w:val="center"/>
          </w:tcPr>
          <w:p>
            <w:pPr>
              <w:pStyle w:val="TableContents"/>
              <w:bidi w:val="0"/>
              <w:spacing w:before="0" w:after="283"/>
              <w:jc w:val="left"/>
            </w:pPr>
            <w:r>
              <w:t> </w:t>
            </w:r>
          </w:p>
        </w:tc>
        <w:tc>
          <w:tcPr>
            <w:tcW w:w="62" w:type="dxa"/>
            <w:tcBorders/>
            <w:shd w:fill="FFFFFF" w:val="clear"/>
            <w:vAlign w:val="center"/>
          </w:tcPr>
          <w:p>
            <w:pPr>
              <w:pStyle w:val="TableContents"/>
              <w:bidi w:val="0"/>
              <w:spacing w:before="0" w:after="283"/>
              <w:jc w:val="left"/>
            </w:pPr>
            <w:r>
              <w:t> </w:t>
            </w:r>
          </w:p>
        </w:tc>
        <w:tc>
          <w:tcPr>
            <w:tcW w:w="10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pPr>
            <w:r>
              <w:t> </w:t>
            </w:r>
          </w:p>
        </w:tc>
        <w:tc>
          <w:tcPr>
            <w:tcW w:w="59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25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 w:type="dxa"/>
            <w:tcBorders/>
            <w:shd w:fill="FFFFFF" w:val="clear"/>
            <w:vAlign w:val="center"/>
          </w:tcPr>
          <w:p>
            <w:pPr>
              <w:pStyle w:val="TableContents"/>
              <w:bidi w:val="0"/>
              <w:spacing w:before="0" w:after="283"/>
              <w:ind w:left="0" w:right="0" w:hanging="0"/>
              <w:jc w:val="left"/>
            </w:pPr>
            <w:r>
              <w:t> </w:t>
            </w:r>
          </w:p>
        </w:tc>
        <w:tc>
          <w:tcPr>
            <w:tcW w:w="12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6,895</w:t>
            </w:r>
          </w:p>
        </w:tc>
        <w:tc>
          <w:tcPr>
            <w:tcW w:w="82" w:type="dxa"/>
            <w:tcBorders/>
            <w:shd w:fill="FFFFFF" w:val="clear"/>
            <w:vAlign w:val="center"/>
          </w:tcPr>
          <w:p>
            <w:pPr>
              <w:pStyle w:val="TableContents"/>
              <w:bidi w:val="0"/>
              <w:spacing w:before="0" w:after="283"/>
              <w:jc w:val="left"/>
            </w:pPr>
            <w:r>
              <w:t> </w:t>
            </w:r>
          </w:p>
        </w:tc>
        <w:tc>
          <w:tcPr>
            <w:tcW w:w="62" w:type="dxa"/>
            <w:tcBorders/>
            <w:shd w:fill="FFFFFF" w:val="clear"/>
            <w:vAlign w:val="center"/>
          </w:tcPr>
          <w:p>
            <w:pPr>
              <w:pStyle w:val="TableContents"/>
              <w:bidi w:val="0"/>
              <w:spacing w:before="0" w:after="283"/>
              <w:jc w:val="left"/>
            </w:pPr>
            <w:r>
              <w:t> </w:t>
            </w:r>
          </w:p>
        </w:tc>
        <w:tc>
          <w:tcPr>
            <w:tcW w:w="10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pPr>
            <w:r>
              <w:t> </w:t>
            </w:r>
          </w:p>
        </w:tc>
        <w:tc>
          <w:tcPr>
            <w:tcW w:w="59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pPr>
            <w:r>
              <w:t> </w:t>
            </w:r>
          </w:p>
        </w:tc>
        <w:tc>
          <w:tcPr>
            <w:tcW w:w="14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5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6,200</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pPr>
            <w:r>
              <w:t> </w:t>
            </w:r>
          </w:p>
        </w:tc>
        <w:tc>
          <w:tcPr>
            <w:tcW w:w="4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89.9</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pPr>
      <w: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27 </w:t>
      </w:r>
    </w:p>
    <w:p>
      <w:pPr>
        <w:pStyle w:val="HorizontalLine"/>
        <w:pBdr>
          <w:bottom w:val="double" w:sz="2" w:space="0" w:color="808080"/>
        </w:pBdr>
        <w:bidi w:val="0"/>
        <w:spacing w:before="0" w:after="283"/>
        <w:jc w:val="left"/>
      </w:pPr>
      <w:r/>
    </w:p>
    <w:p>
      <w:pPr>
        <w:pStyle w:val="TextBody"/>
        <w:bidi w:val="0"/>
        <w:jc w:val="left"/>
      </w:pPr>
      <w:hyperlink w:anchor="toc">
        <w:r>
          <w:rPr>
            <w:rStyle w:val="InternetLink"/>
            <w:rFonts w:ascii="Times New Roman;Times;serif" w:hAnsi="Times New Roman;Times;serif"/>
            <w:sz w:val="20"/>
          </w:rPr>
          <w:t>Table of Contents</w:t>
        </w:r>
      </w:hyperlink>
      <w:r>
        <w:t xml:space="preserve"> </w:t>
      </w:r>
    </w:p>
    <w:p>
      <w:pPr>
        <w:pStyle w:val="TextBody"/>
        <w:bidi w:val="0"/>
        <w:spacing w:before="0" w:after="0"/>
        <w:ind w:left="0" w:right="0" w:hanging="0"/>
        <w:jc w:val="left"/>
      </w:pPr>
      <w: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Interest income increased by $2.6 million, or 586.0%, for the three months ended September 30, 2026 compared to the three months ended September 30, 2025. Interest income increased by $7.1 million, or 740.7%, for the </w:t>
      </w:r>
      <w:r>
        <w:rPr>
          <w:rFonts w:ascii="Times New Roman;Times;serif" w:hAnsi="Times New Roman;Times;serif"/>
          <w:sz w:val="20"/>
          <w:shd w:fill="FFFFFF" w:val="clear"/>
        </w:rPr>
        <w:t>nine</w:t>
      </w:r>
      <w:r>
        <w:rPr>
          <w:rFonts w:ascii="Times New Roman;Times;serif" w:hAnsi="Times New Roman;Times;serif"/>
          <w:sz w:val="20"/>
        </w:rPr>
        <w:t xml:space="preserve"> months ended September 30, 2026 compared to the </w:t>
      </w:r>
      <w:r>
        <w:rPr>
          <w:rFonts w:ascii="Times New Roman;Times;serif" w:hAnsi="Times New Roman;Times;serif"/>
          <w:sz w:val="20"/>
          <w:shd w:fill="FFFFFF" w:val="clear"/>
        </w:rPr>
        <w:t>nine</w:t>
      </w:r>
      <w:r>
        <w:rPr>
          <w:rFonts w:ascii="Times New Roman;Times;serif" w:hAnsi="Times New Roman;Times;serif"/>
          <w:sz w:val="20"/>
        </w:rPr>
        <w:t xml:space="preserve"> months ended September 30, 2025. The increases were primarily attributable to higher average cash and investment balances, as well as higher interest income earned on those balances during the period. </w:t>
      </w:r>
    </w:p>
    <w:p>
      <w:pPr>
        <w:pStyle w:val="TextBody"/>
        <w:bidi w:val="0"/>
        <w:spacing w:before="0" w:after="0"/>
        <w:ind w:left="0" w:right="0" w:firstLine="720"/>
        <w:jc w:val="left"/>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Interest expense increased by $0.3 million, or 35.4%, for the three months ended September 30, 2026 compared to the three months ended September 30, 2025. Interest expense increased by $0.4 million, or 13.5%, for the </w:t>
      </w:r>
      <w:r>
        <w:rPr>
          <w:rFonts w:ascii="Times New Roman;Times;serif" w:hAnsi="Times New Roman;Times;serif"/>
          <w:sz w:val="20"/>
          <w:shd w:fill="FFFFFF" w:val="clear"/>
        </w:rPr>
        <w:t>nine</w:t>
      </w:r>
      <w:r>
        <w:rPr>
          <w:rFonts w:ascii="Times New Roman;Times;serif" w:hAnsi="Times New Roman;Times;serif"/>
          <w:sz w:val="20"/>
        </w:rPr>
        <w:t xml:space="preserve"> months ended September 30, 2026 compared to the </w:t>
      </w:r>
      <w:r>
        <w:rPr>
          <w:rFonts w:ascii="Times New Roman;Times;serif" w:hAnsi="Times New Roman;Times;serif"/>
          <w:sz w:val="20"/>
          <w:shd w:fill="FFFFFF" w:val="clear"/>
        </w:rPr>
        <w:t>nine</w:t>
      </w:r>
      <w:r>
        <w:rPr>
          <w:rFonts w:ascii="Times New Roman;Times;serif" w:hAnsi="Times New Roman;Times;serif"/>
          <w:sz w:val="20"/>
        </w:rPr>
        <w:t xml:space="preserve"> months ended September 30, 2025. The increases were primarily attributable to higher average outstanding debt balances and related financing costs during the period. </w:t>
      </w:r>
    </w:p>
    <w:p>
      <w:pPr>
        <w:pStyle w:val="TextBody"/>
        <w:bidi w:val="0"/>
        <w:spacing w:before="0" w:after="0"/>
        <w:ind w:left="0" w:right="0" w:firstLine="720"/>
        <w:jc w:val="left"/>
      </w:pPr>
      <w: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Other income (expenses) increased by $7.5 million, or 1,072.1</w:t>
      </w:r>
      <w:r>
        <w:rPr>
          <w:rFonts w:ascii="Times New Roman;Times;serif" w:hAnsi="Times New Roman;Times;serif"/>
          <w:color w:val="000000"/>
          <w:sz w:val="20"/>
          <w:shd w:fill="FFFFFF" w:val="clear"/>
        </w:rPr>
        <w:t>%,</w:t>
      </w:r>
      <w:r>
        <w:rPr>
          <w:rFonts w:ascii="Times New Roman;Times;serif" w:hAnsi="Times New Roman;Times;serif"/>
          <w:sz w:val="20"/>
          <w:shd w:fill="FFFFFF" w:val="clear"/>
        </w:rPr>
        <w:t xml:space="preserve"> for the three months ended </w:t>
      </w:r>
      <w:r>
        <w:rPr>
          <w:rFonts w:ascii="Times New Roman;Times;serif" w:hAnsi="Times New Roman;Times;serif"/>
          <w:sz w:val="20"/>
        </w:rPr>
        <w:t>September 30, 2026</w:t>
      </w:r>
      <w:r>
        <w:rPr>
          <w:rFonts w:ascii="Times New Roman;Times;serif" w:hAnsi="Times New Roman;Times;serif"/>
          <w:sz w:val="20"/>
          <w:shd w:fill="FFFFFF" w:val="clear"/>
        </w:rPr>
        <w:t xml:space="preserve"> compared to the three months ended </w:t>
      </w:r>
      <w:r>
        <w:rPr>
          <w:rFonts w:ascii="Times New Roman;Times;serif" w:hAnsi="Times New Roman;Times;serif"/>
          <w:sz w:val="20"/>
        </w:rPr>
        <w:t>September 30, 2025</w:t>
      </w:r>
      <w:r>
        <w:rPr>
          <w:rFonts w:ascii="Times New Roman;Times;serif" w:hAnsi="Times New Roman;Times;serif"/>
          <w:sz w:val="20"/>
          <w:shd w:fill="FFFFFF" w:val="clear"/>
        </w:rPr>
        <w:t>. The increase was primarily attributable to</w:t>
      </w:r>
      <w:r>
        <w:rPr>
          <w:rFonts w:ascii="Times New Roman;Times;serif" w:hAnsi="Times New Roman;Times;serif"/>
          <w:sz w:val="20"/>
        </w:rPr>
        <w:t xml:space="preserve"> the government subsidy income recognized during the period, as well as the positive foreign exchange impact. Government subsidy income primarily relates to grants received by the Company's China entity under local government incentive programs.  Included in government subsidy income for the three months ended September 30, 2026 was approximately $3.5 million of income recognized under the Texas Semiconductor Innovation Fund. The grants were recognized in earnings upon satisfaction of the applicable grant conditions and when receipt became reasonably assured. </w:t>
      </w:r>
      <w:r>
        <w:rPr>
          <w:rFonts w:ascii="Times New Roman;Times;serif" w:hAnsi="Times New Roman;Times;serif"/>
          <w:sz w:val="20"/>
          <w:shd w:fill="FFFFFF" w:val="clear"/>
        </w:rPr>
        <w:t>Other income (expenses) decreased by $0.6 million, or 6.5</w:t>
      </w:r>
      <w:r>
        <w:rPr>
          <w:rFonts w:ascii="Times New Roman;Times;serif" w:hAnsi="Times New Roman;Times;serif"/>
          <w:color w:val="000000"/>
          <w:sz w:val="20"/>
          <w:shd w:fill="FFFFFF" w:val="clear"/>
        </w:rPr>
        <w:t>%,</w:t>
      </w:r>
      <w:r>
        <w:rPr>
          <w:rFonts w:ascii="Times New Roman;Times;serif" w:hAnsi="Times New Roman;Times;serif"/>
          <w:sz w:val="20"/>
          <w:shd w:fill="FFFFFF" w:val="clear"/>
        </w:rPr>
        <w:t xml:space="preserve"> for the nine months ended </w:t>
      </w:r>
      <w:r>
        <w:rPr>
          <w:rFonts w:ascii="Times New Roman;Times;serif" w:hAnsi="Times New Roman;Times;serif"/>
          <w:sz w:val="20"/>
        </w:rPr>
        <w:t>September 30, 2026</w:t>
      </w:r>
      <w:r>
        <w:rPr>
          <w:rFonts w:ascii="Times New Roman;Times;serif" w:hAnsi="Times New Roman;Times;serif"/>
          <w:sz w:val="20"/>
          <w:shd w:fill="FFFFFF" w:val="clear"/>
        </w:rPr>
        <w:t xml:space="preserve"> compared to the nine months ended </w:t>
      </w:r>
      <w:r>
        <w:rPr>
          <w:rFonts w:ascii="Times New Roman;Times;serif" w:hAnsi="Times New Roman;Times;serif"/>
          <w:sz w:val="20"/>
        </w:rPr>
        <w:t>September 30, 2025</w:t>
      </w:r>
      <w:r>
        <w:rPr>
          <w:rFonts w:ascii="Times New Roman;Times;serif" w:hAnsi="Times New Roman;Times;serif"/>
          <w:sz w:val="20"/>
          <w:shd w:fill="FFFFFF" w:val="clear"/>
        </w:rPr>
        <w:t>.</w:t>
      </w:r>
      <w:r>
        <w:rPr>
          <w:rFonts w:ascii="Times New Roman;Times;serif" w:hAnsi="Times New Roman;Times;serif"/>
          <w:sz w:val="20"/>
        </w:rPr>
        <w:t> </w:t>
      </w:r>
      <w:r>
        <w:rPr>
          <w:rFonts w:ascii="Times New Roman;Times;serif" w:hAnsi="Times New Roman;Times;serif"/>
          <w:sz w:val="20"/>
          <w:shd w:fill="FFFFFF" w:val="clear"/>
        </w:rPr>
        <w:t>The decrease was mainly due to</w:t>
      </w:r>
      <w:r>
        <w:rPr>
          <w:rFonts w:ascii="Times New Roman;Times;serif" w:hAnsi="Times New Roman;Times;serif"/>
          <w:sz w:val="20"/>
        </w:rPr>
        <w:t> the negative foreign exchange impact.</w:t>
      </w:r>
    </w:p>
    <w:p>
      <w:pPr>
        <w:pStyle w:val="TextBody"/>
        <w:bidi w:val="0"/>
        <w:spacing w:before="0" w:after="0"/>
        <w:ind w:left="0" w:right="0" w:firstLine="720"/>
        <w:jc w:val="left"/>
      </w:pPr>
      <w:r>
        <w:t> </w:t>
      </w:r>
    </w:p>
    <w:p>
      <w:pPr>
        <w:pStyle w:val="TextBody"/>
        <w:bidi w:val="0"/>
        <w:spacing w:before="0" w:after="0"/>
        <w:ind w:left="0" w:right="0" w:hanging="0"/>
        <w:jc w:val="left"/>
        <w:rPr>
          <w:rFonts w:ascii="Times New Roman;Times;serif" w:hAnsi="Times New Roman;Times;serif"/>
          <w:i/>
          <w:sz w:val="20"/>
          <w:shd w:fill="FFFFFF" w:val="clear"/>
        </w:rPr>
      </w:pPr>
      <w:r>
        <w:rPr>
          <w:rFonts w:ascii="Times New Roman;Times;serif" w:hAnsi="Times New Roman;Times;serif"/>
          <w:i/>
          <w:sz w:val="20"/>
          <w:shd w:fill="FFFFFF" w:val="clear"/>
        </w:rPr>
        <w:t>Benefit (Provision) for Income Taxes</w:t>
      </w:r>
    </w:p>
    <w:p>
      <w:pPr>
        <w:pStyle w:val="TextBody"/>
        <w:bidi w:val="0"/>
        <w:spacing w:before="0" w:after="0"/>
        <w:ind w:left="0" w:right="0" w:hanging="0"/>
        <w:jc w:val="left"/>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 xml:space="preserve">The Company’s effective tax rates for the three months </w:t>
      </w:r>
      <w:r>
        <w:rPr>
          <w:rFonts w:ascii="Times New Roman;Times;serif" w:hAnsi="Times New Roman;Times;serif"/>
          <w:sz w:val="20"/>
        </w:rPr>
        <w:t>ended September 30, 2026 and 2025</w:t>
      </w:r>
      <w:r>
        <w:rPr>
          <w:rFonts w:ascii="Times New Roman;Times;serif" w:hAnsi="Times New Roman;Times;serif"/>
          <w:sz w:val="20"/>
          <w:shd w:fill="FFFFFF" w:val="clear"/>
        </w:rPr>
        <w:t> were 27.3% and 0%, respectively. </w:t>
      </w:r>
      <w:r>
        <w:rPr>
          <w:rFonts w:ascii="Times New Roman;Times;serif" w:hAnsi="Times New Roman;Times;serif"/>
          <w:sz w:val="20"/>
        </w:rPr>
        <w:t>For the nine months ended September 30, 2026 and 2025, the effective tax rates were (18.0)% and 0.0%, respectively.</w:t>
      </w:r>
      <w:r>
        <w:rPr>
          <w:rFonts w:ascii="Times New Roman;Times;serif" w:hAnsi="Times New Roman;Times;serif"/>
          <w:sz w:val="20"/>
          <w:shd w:fill="FFFFFF" w:val="clear"/>
        </w:rPr>
        <w:t> The effective tax rate varied from the federal statutory rate of 21% primarily due to the change of the valuation allowance on federal, state, and Taiwan deferred tax assets ("DTA"), and the R&amp;D super deduction in China.</w:t>
      </w:r>
    </w:p>
    <w:p>
      <w:pPr>
        <w:pStyle w:val="TextBody"/>
        <w:bidi w:val="0"/>
        <w:spacing w:before="0" w:after="0"/>
        <w:ind w:left="0" w:right="0" w:firstLine="720"/>
        <w:jc w:val="left"/>
      </w:pPr>
      <w: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August 9, 2022, the Creating Helpful Incentives to Produce Semiconductors Act ("CHIPS Act") was enacted. Among its provisions, the bill provides various federal grants, tax credits, and incentives for investment in the United States. To the extent that we make investments in expanding manufacturing in our semiconductor fabrication facility in Texas, we believe that the CHIPS Act would provide a refundable tax credit for certain equipment and facilities upgrades. We made significant investments in the three months ended September 30, 2026 which we believe should qualify for these credits, but we intend to continue to evaluate these and future investments for applicability to the tax credit provisions of the CHIPS Act.</w:t>
      </w:r>
    </w:p>
    <w:p>
      <w:pPr>
        <w:pStyle w:val="TextBody"/>
        <w:bidi w:val="0"/>
        <w:spacing w:before="0" w:after="0"/>
        <w:ind w:left="0" w:right="0" w:hanging="0"/>
        <w:jc w:val="left"/>
      </w:pPr>
      <w: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Comprehensive Income (loss)</w:t>
      </w:r>
    </w:p>
    <w:p>
      <w:pPr>
        <w:pStyle w:val="TextBody"/>
        <w:bidi w:val="0"/>
        <w:spacing w:before="0" w:after="0"/>
        <w:ind w:left="0" w:right="0" w:hanging="0"/>
        <w:jc w:val="left"/>
      </w:pPr>
      <w:r>
        <w:t> </w:t>
      </w:r>
    </w:p>
    <w:tbl>
      <w:tblPr>
        <w:tblW w:w="10063" w:type="dxa"/>
        <w:jc w:val="left"/>
        <w:tblInd w:w="0" w:type="dxa"/>
        <w:tblLayout w:type="fixed"/>
        <w:tblCellMar>
          <w:top w:w="0" w:type="dxa"/>
          <w:left w:w="0" w:type="dxa"/>
          <w:bottom w:w="0" w:type="dxa"/>
          <w:right w:w="0" w:type="dxa"/>
        </w:tblCellMar>
      </w:tblPr>
      <w:tblGrid>
        <w:gridCol w:w="4385"/>
        <w:gridCol w:w="60"/>
        <w:gridCol w:w="142"/>
        <w:gridCol w:w="553"/>
        <w:gridCol w:w="65"/>
        <w:gridCol w:w="65"/>
        <w:gridCol w:w="124"/>
        <w:gridCol w:w="571"/>
        <w:gridCol w:w="201"/>
        <w:gridCol w:w="65"/>
        <w:gridCol w:w="136"/>
        <w:gridCol w:w="709"/>
        <w:gridCol w:w="87"/>
        <w:gridCol w:w="65"/>
        <w:gridCol w:w="83"/>
        <w:gridCol w:w="612"/>
        <w:gridCol w:w="245"/>
        <w:gridCol w:w="60"/>
        <w:gridCol w:w="125"/>
        <w:gridCol w:w="590"/>
        <w:gridCol w:w="60"/>
        <w:gridCol w:w="60"/>
        <w:gridCol w:w="60"/>
        <w:gridCol w:w="695"/>
        <w:gridCol w:w="245"/>
      </w:tblGrid>
      <w:tr>
        <w:tc>
          <w:tcPr>
            <w:tcW w:w="43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3478"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September 30,</w:t>
            </w:r>
          </w:p>
        </w:tc>
        <w:tc>
          <w:tcPr>
            <w:tcW w:w="24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590" w:type="dxa"/>
            <w:tcBorders/>
            <w:shd w:fill="FFFFFF" w:val="clear"/>
            <w:vAlign w:val="center"/>
          </w:tcPr>
          <w:p>
            <w:pPr>
              <w:pStyle w:val="TableContents"/>
              <w:bidi w:val="0"/>
              <w:spacing w:before="0" w:after="283"/>
              <w:jc w:val="center"/>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95" w:type="dxa"/>
            <w:tcBorders/>
            <w:shd w:fill="FFFFFF" w:val="clear"/>
            <w:vAlign w:val="center"/>
          </w:tcPr>
          <w:p>
            <w:pPr>
              <w:pStyle w:val="TableContents"/>
              <w:bidi w:val="0"/>
              <w:spacing w:before="0" w:after="283"/>
              <w:jc w:val="center"/>
            </w:pPr>
            <w:r>
              <w:t> </w:t>
            </w:r>
          </w:p>
        </w:tc>
        <w:tc>
          <w:tcPr>
            <w:tcW w:w="245" w:type="dxa"/>
            <w:tcBorders/>
            <w:shd w:fill="FFFFFF" w:val="clear"/>
            <w:vAlign w:val="center"/>
          </w:tcPr>
          <w:p>
            <w:pPr>
              <w:pStyle w:val="TableContents"/>
              <w:bidi w:val="0"/>
              <w:spacing w:before="0" w:after="283"/>
              <w:jc w:val="left"/>
            </w:pPr>
            <w:r>
              <w:t> </w:t>
            </w:r>
          </w:p>
        </w:tc>
      </w:tr>
      <w:tr>
        <w:tc>
          <w:tcPr>
            <w:tcW w:w="43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52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201" w:type="dxa"/>
            <w:tcBorders/>
            <w:shd w:fill="FFFFFF" w:val="clear"/>
            <w:vAlign w:val="center"/>
          </w:tcPr>
          <w:p>
            <w:pPr>
              <w:pStyle w:val="TableContents"/>
              <w:bidi w:val="0"/>
              <w:spacing w:before="0" w:after="283"/>
              <w:jc w:val="left"/>
            </w:pPr>
            <w:r>
              <w:t> </w:t>
            </w:r>
          </w:p>
        </w:tc>
        <w:tc>
          <w:tcPr>
            <w:tcW w:w="65" w:type="dxa"/>
            <w:tcBorders/>
            <w:shd w:fill="FFFFFF" w:val="clear"/>
            <w:vAlign w:val="center"/>
          </w:tcPr>
          <w:p>
            <w:pPr>
              <w:pStyle w:val="TableContents"/>
              <w:bidi w:val="0"/>
              <w:spacing w:before="0" w:after="283"/>
              <w:ind w:left="0" w:right="0" w:hanging="0"/>
              <w:jc w:val="left"/>
            </w:pPr>
            <w:r>
              <w:t> </w:t>
            </w:r>
          </w:p>
        </w:tc>
        <w:tc>
          <w:tcPr>
            <w:tcW w:w="169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24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59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245" w:type="dxa"/>
            <w:tcBorders/>
            <w:shd w:fill="FFFFFF" w:val="clear"/>
            <w:vAlign w:val="center"/>
          </w:tcPr>
          <w:p>
            <w:pPr>
              <w:pStyle w:val="TableContents"/>
              <w:bidi w:val="0"/>
              <w:spacing w:before="0" w:after="283"/>
              <w:jc w:val="left"/>
            </w:pPr>
            <w:r>
              <w:t> </w:t>
            </w:r>
          </w:p>
        </w:tc>
      </w:tr>
      <w:tr>
        <w:tc>
          <w:tcPr>
            <w:tcW w:w="43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42" w:type="dxa"/>
            <w:tcBorders/>
            <w:shd w:fill="FFFFFF" w:val="clear"/>
            <w:vAlign w:val="center"/>
          </w:tcPr>
          <w:p>
            <w:pPr>
              <w:pStyle w:val="TableContents"/>
              <w:bidi w:val="0"/>
              <w:spacing w:before="0" w:after="283"/>
              <w:jc w:val="left"/>
            </w:pPr>
            <w:r>
              <w:t> </w:t>
            </w:r>
          </w:p>
        </w:tc>
        <w:tc>
          <w:tcPr>
            <w:tcW w:w="553" w:type="dxa"/>
            <w:tcBorders/>
            <w:shd w:fill="FFFFFF" w:val="clear"/>
            <w:vAlign w:val="center"/>
          </w:tcPr>
          <w:p>
            <w:pPr>
              <w:pStyle w:val="TableContents"/>
              <w:bidi w:val="0"/>
              <w:spacing w:before="0" w:after="283"/>
              <w:jc w:val="center"/>
            </w:pPr>
            <w:r>
              <w:t> </w:t>
            </w:r>
          </w:p>
        </w:tc>
        <w:tc>
          <w:tcPr>
            <w:tcW w:w="65" w:type="dxa"/>
            <w:tcBorders/>
            <w:shd w:fill="FFFFFF" w:val="clear"/>
            <w:vAlign w:val="center"/>
          </w:tcPr>
          <w:p>
            <w:pPr>
              <w:pStyle w:val="TableContents"/>
              <w:bidi w:val="0"/>
              <w:spacing w:before="0" w:after="283"/>
              <w:jc w:val="left"/>
            </w:pPr>
            <w:r>
              <w:t> </w:t>
            </w:r>
          </w:p>
        </w:tc>
        <w:tc>
          <w:tcPr>
            <w:tcW w:w="65" w:type="dxa"/>
            <w:tcBorders/>
            <w:shd w:fill="FFFFFF" w:val="clear"/>
            <w:vAlign w:val="center"/>
          </w:tcPr>
          <w:p>
            <w:pPr>
              <w:pStyle w:val="TableContents"/>
              <w:bidi w:val="0"/>
              <w:spacing w:before="0" w:after="283"/>
              <w:ind w:left="0" w:right="0" w:hanging="0"/>
              <w:jc w:val="left"/>
            </w:pPr>
            <w:r>
              <w:t> </w:t>
            </w:r>
          </w:p>
        </w:tc>
        <w:tc>
          <w:tcPr>
            <w:tcW w:w="69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w:t>
            </w:r>
          </w:p>
        </w:tc>
        <w:tc>
          <w:tcPr>
            <w:tcW w:w="201" w:type="dxa"/>
            <w:tcBorders/>
            <w:shd w:fill="FFFFFF" w:val="clear"/>
            <w:vAlign w:val="center"/>
          </w:tcPr>
          <w:p>
            <w:pPr>
              <w:pStyle w:val="TableContents"/>
              <w:bidi w:val="0"/>
              <w:spacing w:before="0" w:after="283"/>
              <w:jc w:val="left"/>
            </w:pPr>
            <w:r>
              <w:t> </w:t>
            </w:r>
          </w:p>
        </w:tc>
        <w:tc>
          <w:tcPr>
            <w:tcW w:w="65" w:type="dxa"/>
            <w:tcBorders/>
            <w:shd w:fill="FFFFFF" w:val="clear"/>
            <w:vAlign w:val="center"/>
          </w:tcPr>
          <w:p>
            <w:pPr>
              <w:pStyle w:val="TableContents"/>
              <w:bidi w:val="0"/>
              <w:spacing w:before="0" w:after="283"/>
              <w:jc w:val="left"/>
            </w:pPr>
            <w:r>
              <w:t> </w:t>
            </w:r>
          </w:p>
        </w:tc>
        <w:tc>
          <w:tcPr>
            <w:tcW w:w="136" w:type="dxa"/>
            <w:tcBorders/>
            <w:shd w:fill="FFFFFF" w:val="clear"/>
            <w:vAlign w:val="center"/>
          </w:tcPr>
          <w:p>
            <w:pPr>
              <w:pStyle w:val="TableContents"/>
              <w:bidi w:val="0"/>
              <w:spacing w:before="0" w:after="283"/>
              <w:jc w:val="left"/>
            </w:pPr>
            <w:r>
              <w:t> </w:t>
            </w:r>
          </w:p>
        </w:tc>
        <w:tc>
          <w:tcPr>
            <w:tcW w:w="709" w:type="dxa"/>
            <w:tcBorders/>
            <w:shd w:fill="FFFFFF" w:val="clear"/>
            <w:vAlign w:val="center"/>
          </w:tcPr>
          <w:p>
            <w:pPr>
              <w:pStyle w:val="TableContents"/>
              <w:bidi w:val="0"/>
              <w:spacing w:before="0" w:after="283"/>
              <w:jc w:val="center"/>
            </w:pPr>
            <w:r>
              <w:t> </w:t>
            </w:r>
          </w:p>
        </w:tc>
        <w:tc>
          <w:tcPr>
            <w:tcW w:w="87" w:type="dxa"/>
            <w:tcBorders/>
            <w:shd w:fill="FFFFFF" w:val="clear"/>
            <w:vAlign w:val="center"/>
          </w:tcPr>
          <w:p>
            <w:pPr>
              <w:pStyle w:val="TableContents"/>
              <w:bidi w:val="0"/>
              <w:spacing w:before="0" w:after="283"/>
              <w:jc w:val="left"/>
            </w:pPr>
            <w:r>
              <w:t> </w:t>
            </w:r>
          </w:p>
        </w:tc>
        <w:tc>
          <w:tcPr>
            <w:tcW w:w="65" w:type="dxa"/>
            <w:tcBorders/>
            <w:shd w:fill="FFFFFF" w:val="clear"/>
            <w:vAlign w:val="center"/>
          </w:tcPr>
          <w:p>
            <w:pPr>
              <w:pStyle w:val="TableContents"/>
              <w:bidi w:val="0"/>
              <w:spacing w:before="0" w:after="283"/>
              <w:ind w:left="0" w:right="0" w:hanging="0"/>
              <w:jc w:val="left"/>
            </w:pPr>
            <w:r>
              <w:t> </w:t>
            </w:r>
          </w:p>
        </w:tc>
        <w:tc>
          <w:tcPr>
            <w:tcW w:w="69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w:t>
            </w:r>
          </w:p>
        </w:tc>
        <w:tc>
          <w:tcPr>
            <w:tcW w:w="24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590" w:type="dxa"/>
            <w:tcBorders/>
            <w:shd w:fill="FFFFFF" w:val="clear"/>
            <w:vAlign w:val="center"/>
          </w:tcPr>
          <w:p>
            <w:pPr>
              <w:pStyle w:val="TableContents"/>
              <w:bidi w:val="0"/>
              <w:spacing w:before="0" w:after="283"/>
              <w:jc w:val="center"/>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95" w:type="dxa"/>
            <w:tcBorders/>
            <w:shd w:fill="FFFFFF" w:val="clear"/>
            <w:vAlign w:val="center"/>
          </w:tcPr>
          <w:p>
            <w:pPr>
              <w:pStyle w:val="TableContents"/>
              <w:bidi w:val="0"/>
              <w:spacing w:before="0" w:after="283"/>
              <w:jc w:val="center"/>
            </w:pPr>
            <w:r>
              <w:t> </w:t>
            </w:r>
          </w:p>
        </w:tc>
        <w:tc>
          <w:tcPr>
            <w:tcW w:w="245" w:type="dxa"/>
            <w:tcBorders/>
            <w:shd w:fill="FFFFFF" w:val="clear"/>
            <w:vAlign w:val="center"/>
          </w:tcPr>
          <w:p>
            <w:pPr>
              <w:pStyle w:val="TableContents"/>
              <w:bidi w:val="0"/>
              <w:spacing w:before="0" w:after="283"/>
              <w:jc w:val="left"/>
            </w:pPr>
            <w:r>
              <w:t> </w:t>
            </w:r>
          </w:p>
        </w:tc>
      </w:tr>
      <w:tr>
        <w:tc>
          <w:tcPr>
            <w:tcW w:w="43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5" w:type="dxa"/>
            <w:tcBorders/>
            <w:shd w:fill="FFFFFF" w:val="clear"/>
            <w:vAlign w:val="center"/>
          </w:tcPr>
          <w:p>
            <w:pPr>
              <w:pStyle w:val="TableContents"/>
              <w:bidi w:val="0"/>
              <w:spacing w:before="0" w:after="283"/>
              <w:jc w:val="left"/>
            </w:pPr>
            <w:r>
              <w:t> </w:t>
            </w:r>
          </w:p>
        </w:tc>
        <w:tc>
          <w:tcPr>
            <w:tcW w:w="65" w:type="dxa"/>
            <w:tcBorders/>
            <w:shd w:fill="FFFFFF" w:val="clear"/>
            <w:vAlign w:val="center"/>
          </w:tcPr>
          <w:p>
            <w:pPr>
              <w:pStyle w:val="TableContents"/>
              <w:bidi w:val="0"/>
              <w:spacing w:before="0" w:after="283"/>
              <w:ind w:left="0" w:right="0" w:hanging="0"/>
              <w:jc w:val="left"/>
            </w:pPr>
            <w: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201" w:type="dxa"/>
            <w:tcBorders/>
            <w:shd w:fill="FFFFFF" w:val="clear"/>
            <w:vAlign w:val="center"/>
          </w:tcPr>
          <w:p>
            <w:pPr>
              <w:pStyle w:val="TableContents"/>
              <w:bidi w:val="0"/>
              <w:spacing w:before="0" w:after="283"/>
              <w:jc w:val="left"/>
            </w:pPr>
            <w:r>
              <w:t> </w:t>
            </w:r>
          </w:p>
        </w:tc>
        <w:tc>
          <w:tcPr>
            <w:tcW w:w="65" w:type="dxa"/>
            <w:tcBorders/>
            <w:shd w:fill="FFFFFF" w:val="clear"/>
            <w:vAlign w:val="center"/>
          </w:tcPr>
          <w:p>
            <w:pPr>
              <w:pStyle w:val="TableContents"/>
              <w:bidi w:val="0"/>
              <w:spacing w:before="0" w:after="283"/>
              <w:ind w:left="0" w:right="0" w:hanging="0"/>
              <w:jc w:val="left"/>
            </w:pPr>
            <w:r>
              <w:t> </w:t>
            </w:r>
          </w:p>
        </w:tc>
        <w:tc>
          <w:tcPr>
            <w:tcW w:w="8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87" w:type="dxa"/>
            <w:tcBorders/>
            <w:shd w:fill="FFFFFF" w:val="clear"/>
            <w:vAlign w:val="center"/>
          </w:tcPr>
          <w:p>
            <w:pPr>
              <w:pStyle w:val="TableContents"/>
              <w:bidi w:val="0"/>
              <w:spacing w:before="0" w:after="283"/>
              <w:jc w:val="left"/>
            </w:pPr>
            <w:r>
              <w:t> </w:t>
            </w:r>
          </w:p>
        </w:tc>
        <w:tc>
          <w:tcPr>
            <w:tcW w:w="65" w:type="dxa"/>
            <w:tcBorders/>
            <w:shd w:fill="FFFFFF" w:val="clear"/>
            <w:vAlign w:val="center"/>
          </w:tcPr>
          <w:p>
            <w:pPr>
              <w:pStyle w:val="TableContents"/>
              <w:bidi w:val="0"/>
              <w:spacing w:before="0" w:after="283"/>
              <w:ind w:left="0" w:right="0" w:hanging="0"/>
              <w:jc w:val="left"/>
            </w:pPr>
            <w: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24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7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
            </w:r>
          </w:p>
        </w:tc>
        <w:tc>
          <w:tcPr>
            <w:tcW w:w="245" w:type="dxa"/>
            <w:tcBorders/>
            <w:shd w:fill="FFFFFF" w:val="clear"/>
            <w:vAlign w:val="center"/>
          </w:tcPr>
          <w:p>
            <w:pPr>
              <w:pStyle w:val="TableContents"/>
              <w:bidi w:val="0"/>
              <w:spacing w:before="0" w:after="283"/>
              <w:jc w:val="left"/>
            </w:pPr>
            <w:r>
              <w:t> </w:t>
            </w:r>
          </w:p>
        </w:tc>
      </w:tr>
      <w:tr>
        <w:tc>
          <w:tcPr>
            <w:tcW w:w="43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5373" w:type="dxa"/>
            <w:gridSpan w:val="2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 except percentages)</w:t>
            </w:r>
          </w:p>
        </w:tc>
        <w:tc>
          <w:tcPr>
            <w:tcW w:w="245" w:type="dxa"/>
            <w:tcBorders/>
            <w:shd w:fill="FFFFFF" w:val="clear"/>
            <w:vAlign w:val="center"/>
          </w:tcPr>
          <w:p>
            <w:pPr>
              <w:pStyle w:val="TableContents"/>
              <w:bidi w:val="0"/>
              <w:spacing w:before="0" w:after="283"/>
              <w:jc w:val="left"/>
            </w:pPr>
            <w:r>
              <w:t> </w:t>
            </w:r>
          </w:p>
        </w:tc>
      </w:tr>
      <w:tr>
        <w:tc>
          <w:tcPr>
            <w:tcW w:w="43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w:t>
            </w:r>
          </w:p>
        </w:tc>
        <w:tc>
          <w:tcPr>
            <w:tcW w:w="60" w:type="dxa"/>
            <w:tcBorders/>
            <w:shd w:fill="CCEEFF" w:val="clear"/>
            <w:vAlign w:val="center"/>
          </w:tcPr>
          <w:p>
            <w:pPr>
              <w:pStyle w:val="TableContents"/>
              <w:bidi w:val="0"/>
              <w:spacing w:before="0" w:after="283"/>
              <w:ind w:left="0" w:right="0" w:hanging="0"/>
              <w:jc w:val="left"/>
            </w:pPr>
            <w:r>
              <w:t> </w:t>
            </w:r>
          </w:p>
        </w:tc>
        <w:tc>
          <w:tcPr>
            <w:tcW w:w="14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6,300</w:t>
            </w:r>
          </w:p>
        </w:tc>
        <w:tc>
          <w:tcPr>
            <w:tcW w:w="65" w:type="dxa"/>
            <w:tcBorders/>
            <w:shd w:fill="CCEEFF" w:val="clear"/>
            <w:vAlign w:val="center"/>
          </w:tcPr>
          <w:p>
            <w:pPr>
              <w:pStyle w:val="TableContents"/>
              <w:bidi w:val="0"/>
              <w:spacing w:before="0" w:after="283"/>
              <w:jc w:val="left"/>
            </w:pPr>
            <w:r>
              <w:t> </w:t>
            </w:r>
          </w:p>
        </w:tc>
        <w:tc>
          <w:tcPr>
            <w:tcW w:w="65" w:type="dxa"/>
            <w:tcBorders/>
            <w:shd w:fill="CCEEFF" w:val="clear"/>
            <w:vAlign w:val="center"/>
          </w:tcPr>
          <w:p>
            <w:pPr>
              <w:pStyle w:val="TableContents"/>
              <w:bidi w:val="0"/>
              <w:spacing w:before="0" w:after="283"/>
              <w:jc w:val="left"/>
            </w:pPr>
            <w:r>
              <w:t> </w:t>
            </w:r>
          </w:p>
        </w:tc>
        <w:tc>
          <w:tcPr>
            <w:tcW w:w="124" w:type="dxa"/>
            <w:tcBorders/>
            <w:shd w:fill="CCEEFF" w:val="clear"/>
            <w:vAlign w:val="center"/>
          </w:tcPr>
          <w:p>
            <w:pPr>
              <w:pStyle w:val="TableContents"/>
              <w:bidi w:val="0"/>
              <w:spacing w:before="0" w:after="283"/>
              <w:ind w:left="0" w:right="0" w:hanging="0"/>
              <w:jc w:val="left"/>
            </w:pPr>
            <w:r>
              <w:t> </w:t>
            </w:r>
          </w:p>
        </w:tc>
        <w:tc>
          <w:tcPr>
            <w:tcW w:w="5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w:t>
            </w:r>
          </w:p>
        </w:tc>
        <w:tc>
          <w:tcPr>
            <w:tcW w:w="20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 w:type="dxa"/>
            <w:tcBorders/>
            <w:shd w:fill="CCEEFF" w:val="clear"/>
            <w:vAlign w:val="center"/>
          </w:tcPr>
          <w:p>
            <w:pPr>
              <w:pStyle w:val="TableContents"/>
              <w:bidi w:val="0"/>
              <w:spacing w:before="0" w:after="283"/>
              <w:ind w:left="0" w:right="0" w:hanging="0"/>
              <w:jc w:val="left"/>
            </w:pPr>
            <w:r>
              <w:t> </w:t>
            </w:r>
          </w:p>
        </w:tc>
        <w:tc>
          <w:tcPr>
            <w:tcW w:w="13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(17,936</w:t>
            </w:r>
          </w:p>
        </w:tc>
        <w:tc>
          <w:tcPr>
            <w:tcW w:w="8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 w:type="dxa"/>
            <w:tcBorders/>
            <w:shd w:fill="CCEEFF" w:val="clear"/>
            <w:vAlign w:val="center"/>
          </w:tcPr>
          <w:p>
            <w:pPr>
              <w:pStyle w:val="TableContents"/>
              <w:bidi w:val="0"/>
              <w:spacing w:before="0" w:after="283"/>
              <w:jc w:val="left"/>
            </w:pPr>
            <w:r>
              <w:t> </w:t>
            </w:r>
          </w:p>
        </w:tc>
        <w:tc>
          <w:tcPr>
            <w:tcW w:w="83" w:type="dxa"/>
            <w:tcBorders/>
            <w:shd w:fill="CCEEFF" w:val="clear"/>
            <w:vAlign w:val="center"/>
          </w:tcPr>
          <w:p>
            <w:pPr>
              <w:pStyle w:val="TableContents"/>
              <w:bidi w:val="0"/>
              <w:spacing w:before="0" w:after="283"/>
              <w:ind w:left="0" w:right="0" w:hanging="0"/>
              <w:jc w:val="left"/>
            </w:pPr>
            <w:r>
              <w:t> </w:t>
            </w:r>
          </w:p>
        </w:tc>
        <w:tc>
          <w:tcPr>
            <w:tcW w:w="6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24,236</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(135.1</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43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(loss) on foreign currency translation adjustment</w:t>
            </w:r>
          </w:p>
        </w:tc>
        <w:tc>
          <w:tcPr>
            <w:tcW w:w="60" w:type="dxa"/>
            <w:tcBorders/>
            <w:shd w:fill="FFFFFF" w:val="clear"/>
            <w:vAlign w:val="center"/>
          </w:tcPr>
          <w:p>
            <w:pPr>
              <w:pStyle w:val="TableContents"/>
              <w:bidi w:val="0"/>
              <w:spacing w:before="0" w:after="283"/>
              <w:jc w:val="left"/>
            </w:pPr>
            <w:r>
              <w:t> </w:t>
            </w:r>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55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2,152</w:t>
            </w:r>
          </w:p>
        </w:tc>
        <w:tc>
          <w:tcPr>
            <w:tcW w:w="65" w:type="dxa"/>
            <w:tcBorders/>
            <w:shd w:fill="FFFFFF" w:val="clear"/>
            <w:vAlign w:val="center"/>
          </w:tcPr>
          <w:p>
            <w:pPr>
              <w:pStyle w:val="TableContents"/>
              <w:bidi w:val="0"/>
              <w:spacing w:before="0" w:after="283"/>
              <w:jc w:val="left"/>
            </w:pPr>
            <w:r>
              <w:t> </w:t>
            </w:r>
          </w:p>
        </w:tc>
        <w:tc>
          <w:tcPr>
            <w:tcW w:w="65" w:type="dxa"/>
            <w:tcBorders/>
            <w:shd w:fill="FFFFFF" w:val="clear"/>
            <w:vAlign w:val="center"/>
          </w:tcPr>
          <w:p>
            <w:pPr>
              <w:pStyle w:val="TableContents"/>
              <w:bidi w:val="0"/>
              <w:spacing w:before="0" w:after="283"/>
              <w:jc w:val="left"/>
            </w:pPr>
            <w:r>
              <w:t> </w:t>
            </w:r>
          </w:p>
        </w:tc>
        <w:tc>
          <w:tcPr>
            <w:tcW w:w="12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57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0.8</w:t>
            </w:r>
          </w:p>
        </w:tc>
        <w:tc>
          <w:tcPr>
            <w:tcW w:w="20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 w:type="dxa"/>
            <w:tcBorders/>
            <w:shd w:fill="FFFFFF" w:val="clear"/>
            <w:vAlign w:val="center"/>
          </w:tcPr>
          <w:p>
            <w:pPr>
              <w:pStyle w:val="TableContents"/>
              <w:bidi w:val="0"/>
              <w:spacing w:before="0" w:after="283"/>
              <w:jc w:val="left"/>
            </w:pPr>
            <w:r>
              <w:t> </w:t>
            </w:r>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7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8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 w:type="dxa"/>
            <w:tcBorders/>
            <w:shd w:fill="FFFFFF" w:val="clear"/>
            <w:vAlign w:val="center"/>
          </w:tcPr>
          <w:p>
            <w:pPr>
              <w:pStyle w:val="TableContents"/>
              <w:bidi w:val="0"/>
              <w:spacing w:before="0" w:after="283"/>
              <w:jc w:val="left"/>
            </w:pPr>
            <w:r>
              <w:t> </w:t>
            </w:r>
          </w:p>
        </w:tc>
        <w:tc>
          <w:tcPr>
            <w:tcW w:w="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61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2,177</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(8,708.0</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43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Comprehensive income (loss)</w:t>
            </w:r>
          </w:p>
        </w:tc>
        <w:tc>
          <w:tcPr>
            <w:tcW w:w="60" w:type="dxa"/>
            <w:tcBorders/>
            <w:shd w:fill="CCEEFF" w:val="clear"/>
            <w:vAlign w:val="center"/>
          </w:tcPr>
          <w:p>
            <w:pPr>
              <w:pStyle w:val="TableContents"/>
              <w:bidi w:val="0"/>
              <w:spacing w:before="0" w:after="283"/>
              <w:ind w:left="0" w:right="0" w:hanging="0"/>
              <w:jc w:val="left"/>
            </w:pPr>
            <w:r>
              <w:t> </w:t>
            </w:r>
          </w:p>
        </w:tc>
        <w:tc>
          <w:tcPr>
            <w:tcW w:w="14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5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8,452</w:t>
            </w:r>
          </w:p>
        </w:tc>
        <w:tc>
          <w:tcPr>
            <w:tcW w:w="65" w:type="dxa"/>
            <w:tcBorders/>
            <w:shd w:fill="CCEEFF" w:val="clear"/>
            <w:vAlign w:val="center"/>
          </w:tcPr>
          <w:p>
            <w:pPr>
              <w:pStyle w:val="TableContents"/>
              <w:bidi w:val="0"/>
              <w:spacing w:before="0" w:after="283"/>
              <w:jc w:val="left"/>
            </w:pPr>
            <w:r>
              <w:t> </w:t>
            </w:r>
          </w:p>
        </w:tc>
        <w:tc>
          <w:tcPr>
            <w:tcW w:w="65" w:type="dxa"/>
            <w:tcBorders/>
            <w:shd w:fill="CCEEFF" w:val="clear"/>
            <w:vAlign w:val="center"/>
          </w:tcPr>
          <w:p>
            <w:pPr>
              <w:pStyle w:val="TableContents"/>
              <w:bidi w:val="0"/>
              <w:spacing w:before="0" w:after="283"/>
              <w:jc w:val="left"/>
            </w:pPr>
            <w:r>
              <w:t> </w:t>
            </w:r>
          </w:p>
        </w:tc>
        <w:tc>
          <w:tcPr>
            <w:tcW w:w="12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pPr>
            <w:r>
              <w:t> </w:t>
            </w:r>
          </w:p>
        </w:tc>
        <w:tc>
          <w:tcPr>
            <w:tcW w:w="57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w:t>
            </w:r>
          </w:p>
        </w:tc>
        <w:tc>
          <w:tcPr>
            <w:tcW w:w="20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 w:type="dxa"/>
            <w:tcBorders/>
            <w:shd w:fill="CCEEFF" w:val="clear"/>
            <w:vAlign w:val="center"/>
          </w:tcPr>
          <w:p>
            <w:pPr>
              <w:pStyle w:val="TableContents"/>
              <w:bidi w:val="0"/>
              <w:spacing w:before="0" w:after="283"/>
              <w:ind w:left="0" w:right="0" w:hanging="0"/>
              <w:jc w:val="left"/>
            </w:pPr>
            <w:r>
              <w:t> </w:t>
            </w:r>
          </w:p>
        </w:tc>
        <w:tc>
          <w:tcPr>
            <w:tcW w:w="13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(17,961</w:t>
            </w:r>
          </w:p>
        </w:tc>
        <w:tc>
          <w:tcPr>
            <w:tcW w:w="8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 w:type="dxa"/>
            <w:tcBorders/>
            <w:shd w:fill="CCEEFF" w:val="clear"/>
            <w:vAlign w:val="center"/>
          </w:tcPr>
          <w:p>
            <w:pPr>
              <w:pStyle w:val="TableContents"/>
              <w:bidi w:val="0"/>
              <w:spacing w:before="0" w:after="283"/>
              <w:jc w:val="left"/>
            </w:pPr>
            <w:r>
              <w:t> </w:t>
            </w:r>
          </w:p>
        </w:tc>
        <w:tc>
          <w:tcPr>
            <w:tcW w:w="8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pPr>
            <w:r>
              <w:t> </w:t>
            </w:r>
          </w:p>
        </w:tc>
        <w:tc>
          <w:tcPr>
            <w:tcW w:w="61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26,413</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pPr>
            <w:r>
              <w:t> </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(147.1</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pPr>
      <w:r>
        <w:t>    </w:t>
      </w:r>
    </w:p>
    <w:tbl>
      <w:tblPr>
        <w:tblW w:w="9355" w:type="dxa"/>
        <w:jc w:val="left"/>
        <w:tblInd w:w="0" w:type="dxa"/>
        <w:tblLayout w:type="fixed"/>
        <w:tblCellMar>
          <w:top w:w="0" w:type="dxa"/>
          <w:left w:w="0" w:type="dxa"/>
          <w:bottom w:w="0" w:type="dxa"/>
          <w:right w:w="0" w:type="dxa"/>
        </w:tblCellMar>
      </w:tblPr>
      <w:tblGrid>
        <w:gridCol w:w="3905"/>
        <w:gridCol w:w="60"/>
        <w:gridCol w:w="125"/>
        <w:gridCol w:w="650"/>
        <w:gridCol w:w="80"/>
        <w:gridCol w:w="60"/>
        <w:gridCol w:w="104"/>
        <w:gridCol w:w="591"/>
        <w:gridCol w:w="245"/>
        <w:gridCol w:w="60"/>
        <w:gridCol w:w="125"/>
        <w:gridCol w:w="650"/>
        <w:gridCol w:w="80"/>
        <w:gridCol w:w="60"/>
        <w:gridCol w:w="83"/>
        <w:gridCol w:w="612"/>
        <w:gridCol w:w="245"/>
        <w:gridCol w:w="60"/>
        <w:gridCol w:w="142"/>
        <w:gridCol w:w="553"/>
        <w:gridCol w:w="60"/>
        <w:gridCol w:w="60"/>
        <w:gridCol w:w="60"/>
        <w:gridCol w:w="440"/>
        <w:gridCol w:w="245"/>
      </w:tblGrid>
      <w:tr>
        <w:tc>
          <w:tcPr>
            <w:tcW w:w="390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3525"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 September 30,</w:t>
            </w:r>
          </w:p>
        </w:tc>
        <w:tc>
          <w:tcPr>
            <w:tcW w:w="24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695" w:type="dxa"/>
            <w:gridSpan w:val="2"/>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500" w:type="dxa"/>
            <w:gridSpan w:val="2"/>
            <w:tcBorders/>
            <w:shd w:fill="FFFFFF" w:val="clear"/>
            <w:vAlign w:val="center"/>
          </w:tcPr>
          <w:p>
            <w:pPr>
              <w:pStyle w:val="TableContents"/>
              <w:bidi w:val="0"/>
              <w:spacing w:before="0" w:after="283"/>
              <w:jc w:val="left"/>
            </w:pPr>
            <w:r>
              <w:t> </w:t>
            </w:r>
          </w:p>
        </w:tc>
        <w:tc>
          <w:tcPr>
            <w:tcW w:w="245" w:type="dxa"/>
            <w:tcBorders/>
            <w:shd w:fill="FFFFFF" w:val="clear"/>
            <w:vAlign w:val="center"/>
          </w:tcPr>
          <w:p>
            <w:pPr>
              <w:pStyle w:val="TableContents"/>
              <w:bidi w:val="0"/>
              <w:spacing w:before="0" w:after="283"/>
              <w:jc w:val="left"/>
            </w:pPr>
            <w:r>
              <w:t> </w:t>
            </w:r>
          </w:p>
        </w:tc>
      </w:tr>
      <w:tr>
        <w:tc>
          <w:tcPr>
            <w:tcW w:w="390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61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24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61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24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31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245" w:type="dxa"/>
            <w:tcBorders/>
            <w:shd w:fill="FFFFFF" w:val="clear"/>
            <w:vAlign w:val="center"/>
          </w:tcPr>
          <w:p>
            <w:pPr>
              <w:pStyle w:val="TableContents"/>
              <w:bidi w:val="0"/>
              <w:spacing w:before="0" w:after="283"/>
              <w:jc w:val="left"/>
            </w:pPr>
            <w:r>
              <w:t> </w:t>
            </w:r>
          </w:p>
        </w:tc>
      </w:tr>
      <w:tr>
        <w:tc>
          <w:tcPr>
            <w:tcW w:w="390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75" w:type="dxa"/>
            <w:gridSpan w:val="2"/>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69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w:t>
            </w:r>
          </w:p>
        </w:tc>
        <w:tc>
          <w:tcPr>
            <w:tcW w:w="24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650" w:type="dxa"/>
            <w:tcBorders/>
            <w:shd w:fill="FFFFFF" w:val="clear"/>
            <w:vAlign w:val="center"/>
          </w:tcPr>
          <w:p>
            <w:pPr>
              <w:pStyle w:val="TableContents"/>
              <w:bidi w:val="0"/>
              <w:spacing w:before="0" w:after="283"/>
              <w:jc w:val="center"/>
            </w:pPr>
            <w: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69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w:t>
            </w:r>
          </w:p>
        </w:tc>
        <w:tc>
          <w:tcPr>
            <w:tcW w:w="24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695" w:type="dxa"/>
            <w:gridSpan w:val="2"/>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440" w:type="dxa"/>
            <w:tcBorders/>
            <w:shd w:fill="FFFFFF" w:val="clear"/>
            <w:vAlign w:val="center"/>
          </w:tcPr>
          <w:p>
            <w:pPr>
              <w:pStyle w:val="TableContents"/>
              <w:bidi w:val="0"/>
              <w:spacing w:before="0" w:after="283"/>
              <w:jc w:val="left"/>
            </w:pPr>
            <w:r>
              <w:t> </w:t>
            </w:r>
          </w:p>
        </w:tc>
        <w:tc>
          <w:tcPr>
            <w:tcW w:w="245" w:type="dxa"/>
            <w:tcBorders/>
            <w:shd w:fill="FFFFFF" w:val="clear"/>
            <w:vAlign w:val="center"/>
          </w:tcPr>
          <w:p>
            <w:pPr>
              <w:pStyle w:val="TableContents"/>
              <w:bidi w:val="0"/>
              <w:spacing w:before="0" w:after="283"/>
              <w:jc w:val="left"/>
            </w:pPr>
            <w:r>
              <w:t> </w:t>
            </w:r>
          </w:p>
        </w:tc>
      </w:tr>
      <w:tr>
        <w:tc>
          <w:tcPr>
            <w:tcW w:w="390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24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24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5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245" w:type="dxa"/>
            <w:tcBorders/>
            <w:shd w:fill="FFFFFF" w:val="clear"/>
            <w:vAlign w:val="center"/>
          </w:tcPr>
          <w:p>
            <w:pPr>
              <w:pStyle w:val="TableContents"/>
              <w:bidi w:val="0"/>
              <w:spacing w:before="0" w:after="283"/>
              <w:jc w:val="left"/>
            </w:pPr>
            <w:r>
              <w:t> </w:t>
            </w:r>
          </w:p>
        </w:tc>
      </w:tr>
      <w:tr>
        <w:tc>
          <w:tcPr>
            <w:tcW w:w="390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5145" w:type="dxa"/>
            <w:gridSpan w:val="2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 except percentages)</w:t>
            </w:r>
          </w:p>
        </w:tc>
        <w:tc>
          <w:tcPr>
            <w:tcW w:w="245" w:type="dxa"/>
            <w:tcBorders/>
            <w:shd w:fill="FFFFFF" w:val="clear"/>
            <w:vAlign w:val="center"/>
          </w:tcPr>
          <w:p>
            <w:pPr>
              <w:pStyle w:val="TableContents"/>
              <w:bidi w:val="0"/>
              <w:spacing w:before="0" w:after="283"/>
              <w:jc w:val="left"/>
            </w:pPr>
            <w:r>
              <w:t> </w:t>
            </w:r>
          </w:p>
        </w:tc>
      </w:tr>
      <w:tr>
        <w:tc>
          <w:tcPr>
            <w:tcW w:w="39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(30,762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104" w:type="dxa"/>
            <w:tcBorders/>
            <w:shd w:fill="CCEEFF" w:val="clear"/>
            <w:vAlign w:val="center"/>
          </w:tcPr>
          <w:p>
            <w:pPr>
              <w:pStyle w:val="TableContents"/>
              <w:bidi w:val="0"/>
              <w:spacing w:before="0" w:after="283"/>
              <w:ind w:left="0" w:right="0" w:hanging="0"/>
              <w:jc w:val="left"/>
            </w:pPr>
            <w:r>
              <w:t> </w:t>
            </w:r>
          </w:p>
        </w:tc>
        <w:tc>
          <w:tcPr>
            <w:tcW w:w="5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(36,206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83" w:type="dxa"/>
            <w:tcBorders/>
            <w:shd w:fill="CCEEFF" w:val="clear"/>
            <w:vAlign w:val="center"/>
          </w:tcPr>
          <w:p>
            <w:pPr>
              <w:pStyle w:val="TableContents"/>
              <w:bidi w:val="0"/>
              <w:spacing w:before="0" w:after="283"/>
              <w:ind w:left="0" w:right="0" w:hanging="0"/>
              <w:jc w:val="left"/>
            </w:pPr>
            <w:r>
              <w:t> </w:t>
            </w:r>
          </w:p>
        </w:tc>
        <w:tc>
          <w:tcPr>
            <w:tcW w:w="6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pPr>
            <w:r>
              <w:t> </w:t>
            </w:r>
          </w:p>
        </w:tc>
        <w:tc>
          <w:tcPr>
            <w:tcW w:w="14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5,444</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4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39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on foreign currency translation adjustment</w:t>
            </w:r>
          </w:p>
        </w:tc>
        <w:tc>
          <w:tcPr>
            <w:tcW w:w="60" w:type="dxa"/>
            <w:tcBorders/>
            <w:shd w:fill="FFFFFF" w:val="clear"/>
            <w:vAlign w:val="center"/>
          </w:tcPr>
          <w:p>
            <w:pPr>
              <w:pStyle w:val="TableContents"/>
              <w:bidi w:val="0"/>
              <w:spacing w:before="0" w:after="283"/>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5,168</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0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59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0.8</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3,636</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61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55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1,532</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4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42.1</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39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Comprehensive income (loss)</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(25,594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10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pPr>
            <w:r>
              <w:t> </w:t>
            </w:r>
          </w:p>
        </w:tc>
        <w:tc>
          <w:tcPr>
            <w:tcW w:w="59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(32,570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8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pPr>
            <w:r>
              <w:t> </w:t>
            </w:r>
          </w:p>
        </w:tc>
        <w:tc>
          <w:tcPr>
            <w:tcW w:w="61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pPr>
            <w:r>
              <w:t> </w:t>
            </w:r>
          </w:p>
        </w:tc>
        <w:tc>
          <w:tcPr>
            <w:tcW w:w="14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5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6,976</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pPr>
            <w:r>
              <w:t> </w:t>
            </w:r>
          </w:p>
        </w:tc>
        <w:tc>
          <w:tcPr>
            <w:tcW w:w="4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pPr>
      <w: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28 </w:t>
      </w:r>
    </w:p>
    <w:p>
      <w:pPr>
        <w:pStyle w:val="HorizontalLine"/>
        <w:pBdr>
          <w:bottom w:val="double" w:sz="2" w:space="0" w:color="808080"/>
        </w:pBdr>
        <w:bidi w:val="0"/>
        <w:spacing w:before="0" w:after="283"/>
        <w:jc w:val="left"/>
      </w:pPr>
      <w:r/>
    </w:p>
    <w:p>
      <w:pPr>
        <w:pStyle w:val="TextBody"/>
        <w:bidi w:val="0"/>
        <w:jc w:val="left"/>
      </w:pPr>
      <w:hyperlink w:anchor="toc">
        <w:r>
          <w:rPr>
            <w:rStyle w:val="InternetLink"/>
            <w:rFonts w:ascii="Times New Roman;Times;serif" w:hAnsi="Times New Roman;Times;serif"/>
            <w:sz w:val="20"/>
          </w:rPr>
          <w:t>Table of Contents</w:t>
        </w:r>
      </w:hyperlink>
      <w:r>
        <w:t xml:space="preserve"> </w:t>
      </w:r>
    </w:p>
    <w:p>
      <w:pPr>
        <w:pStyle w:val="TextBody"/>
        <w:bidi w:val="0"/>
        <w:spacing w:before="0" w:after="0"/>
        <w:ind w:left="0" w:right="0" w:hanging="0"/>
        <w:jc w:val="left"/>
      </w:pPr>
      <w: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Comprehensive income increased by $26.4 million, or 147.1%, for the three months ended </w:t>
      </w:r>
      <w:r>
        <w:rPr>
          <w:rFonts w:ascii="Times New Roman;Times;serif" w:hAnsi="Times New Roman;Times;serif"/>
          <w:sz w:val="20"/>
        </w:rPr>
        <w:t>September 30, 2026</w:t>
      </w:r>
      <w:r>
        <w:rPr>
          <w:rFonts w:ascii="Times New Roman;Times;serif" w:hAnsi="Times New Roman;Times;serif"/>
          <w:sz w:val="20"/>
          <w:shd w:fill="FFFFFF" w:val="clear"/>
        </w:rPr>
        <w:t xml:space="preserve">, compared to the three months ended </w:t>
      </w:r>
      <w:r>
        <w:rPr>
          <w:rFonts w:ascii="Times New Roman;Times;serif" w:hAnsi="Times New Roman;Times;serif"/>
          <w:sz w:val="20"/>
        </w:rPr>
        <w:t>September 30, 2025</w:t>
      </w:r>
      <w:r>
        <w:rPr>
          <w:rFonts w:ascii="Times New Roman;Times;serif" w:hAnsi="Times New Roman;Times;serif"/>
          <w:sz w:val="20"/>
          <w:shd w:fill="FFFFFF" w:val="clear"/>
        </w:rPr>
        <w:t xml:space="preserve">. </w:t>
      </w:r>
    </w:p>
    <w:p>
      <w:pPr>
        <w:pStyle w:val="TextBody"/>
        <w:bidi w:val="0"/>
        <w:spacing w:before="0" w:after="0"/>
        <w:ind w:left="0" w:right="0" w:firstLine="720"/>
        <w:jc w:val="left"/>
      </w:pPr>
      <w: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Comprehensive loss decreased by $7.0 million, or 21.4%, for the nine months ended </w:t>
      </w:r>
      <w:r>
        <w:rPr>
          <w:rFonts w:ascii="Times New Roman;Times;serif" w:hAnsi="Times New Roman;Times;serif"/>
          <w:sz w:val="20"/>
        </w:rPr>
        <w:t>September 30, 2026</w:t>
      </w:r>
      <w:r>
        <w:rPr>
          <w:rFonts w:ascii="Times New Roman;Times;serif" w:hAnsi="Times New Roman;Times;serif"/>
          <w:sz w:val="20"/>
          <w:shd w:fill="FFFFFF" w:val="clear"/>
        </w:rPr>
        <w:t xml:space="preserve"> as compared to the nine months ended </w:t>
      </w:r>
      <w:r>
        <w:rPr>
          <w:rFonts w:ascii="Times New Roman;Times;serif" w:hAnsi="Times New Roman;Times;serif"/>
          <w:sz w:val="20"/>
        </w:rPr>
        <w:t>September 30, 2025</w:t>
      </w:r>
      <w:r>
        <w:rPr>
          <w:rFonts w:ascii="Times New Roman;Times;serif" w:hAnsi="Times New Roman;Times;serif"/>
          <w:sz w:val="20"/>
          <w:shd w:fill="FFFFFF" w:val="clear"/>
        </w:rPr>
        <w:t>.</w:t>
      </w:r>
    </w:p>
    <w:p>
      <w:pPr>
        <w:pStyle w:val="TextBody"/>
        <w:bidi w:val="0"/>
        <w:spacing w:before="0" w:after="0"/>
        <w:ind w:left="0" w:right="0" w:firstLine="720"/>
        <w:jc w:val="left"/>
      </w:pPr>
      <w: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The functional currency for the Company’s operations is generally the applicable local currency. Accordingly, the assets and liabilities of companies whose functional currency is other than the U.S. dollar are included in the consolidated financial statements by translating the assets and liabilities into the U.S. dollar at the exchange rates applicable at the end of the reporting period. Translation gains or losses are accumulated in other comprehensive income (loss) in the consolidated statements of shareholders’ equity and are also included in comprehensive income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0"/>
        <w:ind w:left="0" w:right="0" w:hanging="0"/>
        <w:jc w:val="left"/>
      </w:pPr>
      <w: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As of September 30, 2026, we ha</w:t>
      </w:r>
      <w:r>
        <w:rPr>
          <w:rFonts w:ascii="Times New Roman;Times;serif" w:hAnsi="Times New Roman;Times;serif"/>
          <w:sz w:val="20"/>
          <w:shd w:fill="FFFFFF" w:val="clear"/>
        </w:rPr>
        <w:t>d $63.4</w:t>
      </w:r>
      <w:r>
        <w:rPr>
          <w:rFonts w:ascii="Times New Roman;Times;serif" w:hAnsi="Times New Roman;Times;serif"/>
          <w:color w:val="000000"/>
          <w:sz w:val="20"/>
          <w:shd w:fill="FFFFFF" w:val="clear"/>
        </w:rPr>
        <w:t> m</w:t>
      </w:r>
      <w:r>
        <w:rPr>
          <w:rFonts w:ascii="Times New Roman;Times;serif" w:hAnsi="Times New Roman;Times;serif"/>
          <w:sz w:val="20"/>
        </w:rPr>
        <w:t>illion of unused borrowing capacity from all of our loan agreements. As of September 30, 2026, our cash, cash equivalents and restricted cash totale</w:t>
      </w:r>
      <w:r>
        <w:rPr>
          <w:rFonts w:ascii="Times New Roman;Times;serif" w:hAnsi="Times New Roman;Times;serif"/>
          <w:sz w:val="20"/>
          <w:shd w:fill="FFFFFF" w:val="clear"/>
        </w:rPr>
        <w:t xml:space="preserve">d $621.5 million. </w:t>
      </w:r>
      <w:r>
        <w:rPr>
          <w:rFonts w:ascii="Times New Roman;Times;serif" w:hAnsi="Times New Roman;Times;serif"/>
          <w:sz w:val="20"/>
        </w:rPr>
        <w:t>Cash and cash equivalents are held for working capital purposes and are invested primarily in money market or time deposit funds. We do not enter into investments for trading or speculative purposes.  </w:t>
      </w:r>
    </w:p>
    <w:p>
      <w:pPr>
        <w:pStyle w:val="TextBody"/>
        <w:bidi w:val="0"/>
        <w:spacing w:before="0" w:after="0"/>
        <w:ind w:left="0" w:right="0" w:firstLine="720"/>
        <w:jc w:val="left"/>
      </w:pPr>
      <w: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Subsequent to September 30, 2026, the Company further strengthened its liquidity position by entering into a new $200 million credit agreement consisting of $30 million in revolving credit commitments and $170 million in initial term loan commitments, with the ability to request up to an additional $50 million of incremental term loan commitments, subject to specified conditions.</w:t>
      </w:r>
    </w:p>
    <w:p>
      <w:pPr>
        <w:pStyle w:val="TextBody"/>
        <w:bidi w:val="0"/>
        <w:spacing w:before="0" w:after="0"/>
        <w:ind w:left="0" w:right="0" w:hanging="0"/>
        <w:jc w:val="left"/>
      </w:pPr>
      <w: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ATM Offerings</w:t>
      </w:r>
    </w:p>
    <w:p>
      <w:pPr>
        <w:pStyle w:val="TextBody"/>
        <w:bidi w:val="0"/>
        <w:spacing w:before="0" w:after="0"/>
        <w:ind w:left="0" w:right="0" w:firstLine="720"/>
        <w:jc w:val="left"/>
      </w:pPr>
      <w:r>
        <w:t> </w:t>
      </w:r>
    </w:p>
    <w:p>
      <w:pPr>
        <w:pStyle w:val="TextBody"/>
        <w:bidi w:val="0"/>
        <w:spacing w:before="0" w:after="0"/>
        <w:ind w:left="0" w:right="0" w:firstLine="720"/>
        <w:jc w:val="left"/>
      </w:pPr>
      <w:r>
        <w:rPr>
          <w:rFonts w:ascii="Times New Roman" w:hAnsi="Times New Roman"/>
          <w:sz w:val="20"/>
        </w:rPr>
        <w:t xml:space="preserve">On December 18, 2024, </w:t>
      </w:r>
      <w:r>
        <w:rPr>
          <w:rFonts w:cs="Times New Roman"/>
          <w:szCs w:val="20"/>
        </w:rPr>
        <w:t>﻿</w:t>
      </w:r>
      <w:r>
        <w:rPr>
          <w:rFonts w:ascii="Times New Roman" w:hAnsi="Times New Roman"/>
          <w:sz w:val="20"/>
        </w:rPr>
        <w:t xml:space="preserve">the Company filed an automatic shelf registration statement on Form S-3ASR (Registration File No. 333-283905) (the "Automatic Shelf Registration Statement") with the U.S. Securities and Exchange Commission, which became effective immediately upon filing. </w:t>
      </w:r>
    </w:p>
    <w:p>
      <w:pPr>
        <w:pStyle w:val="TextBody"/>
        <w:bidi w:val="0"/>
        <w:ind w:left="0" w:right="0" w:firstLine="720"/>
        <w:jc w:val="left"/>
      </w:pPr>
      <w:r>
        <w:t xml:space="preserve">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On February 26, 2026, the Company entered into an Equity Distribution Agreement (the "First EDA") with Raymond James &amp; Associates and Needham &amp; Company, LLC (collectively, the "Sales Agents" and each, a "Sales Agent") pursuant to which the Company could issue and sell shares of the Company’s common stock, par value $0.001 per share having an aggregate offering price of up to $250 million (the "First ATM Offering"), from time to time through the Sales Agents. On March 12, 2026, the Company entered into Amendment No. 1 to the First EDA with the Sales Agents, to increase the aggregate offering price from $250 million to $500 million. On April 2, 2026, the Company completed the First ATM Offering, selling approximately 4.8 million shares at a weighted average price of $103.51 per share, providing proceeds of approximately $490 million, net of expenses and underwriting discounts and commissions.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rFonts w:ascii="Times New Roman" w:hAnsi="Times New Roman"/>
          <w:caps w:val="false"/>
          <w:smallCaps w:val="false"/>
          <w:sz w:val="20"/>
        </w:rPr>
        <w:t xml:space="preserve">On May 14, 2026, the Company entered into an Equity Distribution Agreement (the "Second </w:t>
      </w:r>
      <w:r>
        <w:rPr>
          <w:rFonts w:cs="Times New Roman"/>
          <w:caps w:val="false"/>
          <w:smallCaps w:val="false"/>
          <w:szCs w:val="20"/>
        </w:rPr>
        <w:t>﻿</w:t>
      </w:r>
      <w:r>
        <w:rPr>
          <w:rFonts w:ascii="Times New Roman" w:hAnsi="Times New Roman"/>
          <w:caps w:val="false"/>
          <w:smallCaps w:val="false"/>
          <w:sz w:val="20"/>
        </w:rPr>
        <w:t xml:space="preserve">EDA") with the Sales Agents pursuant to which the Company could issue and sell shares of the Company's common stock, par value $0.001 per share having an aggregate offering price of up to $600 million (the "Second </w:t>
      </w:r>
      <w:r>
        <w:rPr>
          <w:rFonts w:cs="Times New Roman"/>
          <w:caps w:val="false"/>
          <w:smallCaps w:val="false"/>
          <w:szCs w:val="20"/>
        </w:rPr>
        <w:t>﻿</w:t>
      </w:r>
      <w:r>
        <w:rPr>
          <w:rFonts w:ascii="Times New Roman" w:hAnsi="Times New Roman"/>
          <w:caps w:val="false"/>
          <w:smallCaps w:val="false"/>
          <w:sz w:val="20"/>
        </w:rPr>
        <w:t>ATM Offering"), from time to time through the Sales Agents. On August 17, 2026, the Company completed the Second ATM Offering, selling approximately 3.3 million shares at a weighted average price of $183.06 per share, providing proceeds of approximately $588 million, net of expenses and underwriting discounts and commissions.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rFonts w:ascii="Times New Roman" w:hAnsi="Times New Roman"/>
          <w:caps w:val="false"/>
          <w:smallCaps w:val="false"/>
          <w:sz w:val="20"/>
        </w:rPr>
        <w:t xml:space="preserve">On August 21, 2026, the Company entered into an Equity Distribution Agreement (the "Third </w:t>
      </w:r>
      <w:r>
        <w:rPr>
          <w:rFonts w:cs="Times New Roman"/>
          <w:caps w:val="false"/>
          <w:smallCaps w:val="false"/>
          <w:szCs w:val="20"/>
        </w:rPr>
        <w:t>﻿</w:t>
      </w:r>
      <w:r>
        <w:rPr>
          <w:rFonts w:ascii="Times New Roman" w:hAnsi="Times New Roman"/>
          <w:caps w:val="false"/>
          <w:smallCaps w:val="false"/>
          <w:sz w:val="20"/>
        </w:rPr>
        <w:t xml:space="preserve">EDA") with the Sales Agents pursuant to which the Company could issue and sell shares of the Company's common stock, par value $0.001 per share (the "Shares") having an aggregate offering price of up to $600 million (the "Third </w:t>
      </w:r>
      <w:r>
        <w:rPr>
          <w:rFonts w:cs="Times New Roman"/>
          <w:caps w:val="false"/>
          <w:smallCaps w:val="false"/>
          <w:szCs w:val="20"/>
        </w:rPr>
        <w:t>﻿</w:t>
      </w:r>
      <w:r>
        <w:rPr>
          <w:rFonts w:ascii="Times New Roman" w:hAnsi="Times New Roman"/>
          <w:caps w:val="false"/>
          <w:smallCaps w:val="false"/>
          <w:sz w:val="20"/>
        </w:rPr>
        <w:t>ATM Offering"), from time to time through the Sales Agents.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rFonts w:ascii="Times New Roman" w:hAnsi="Times New Roman"/>
          <w:caps w:val="false"/>
          <w:smallCaps w:val="false"/>
          <w:sz w:val="20"/>
        </w:rPr>
        <w:t>Upon delivery of a placement notice and subject to the terms and conditions of the Third </w:t>
      </w:r>
      <w:r>
        <w:rPr>
          <w:rFonts w:cs="Times New Roman"/>
          <w:caps w:val="false"/>
          <w:smallCaps w:val="false"/>
          <w:szCs w:val="20"/>
        </w:rPr>
        <w:t>﻿</w:t>
      </w:r>
      <w:r>
        <w:rPr>
          <w:rFonts w:ascii="Times New Roman" w:hAnsi="Times New Roman"/>
          <w:caps w:val="false"/>
          <w:smallCaps w:val="false"/>
          <w:sz w:val="20"/>
        </w:rPr>
        <w:t>EDA, sales of the Shares were made through the Sales Agents in transactions that are deemed to be “at the market” offerings as defined in Rule 415 of the Securities Act of 1933, as amended (the "Securities Act"), including sales made through the facilities of the Nasdaq Global Market, the principal trading market for the Company’s common stock, on any other existing trading market for the Company’s common stock, to or through a market maker or as otherwise agreed by the Company and the Sales Agents. In the placement notice, the Company would designate the maximum number of Shares to be sold through the Sales Agents, the time period during which sales were requested to be made, the minimum price for the Shares to be sold, and any limitation on the number of Shares that could be sold in any one day. Subject to the terms and conditions of the Third </w:t>
      </w:r>
      <w:r>
        <w:rPr>
          <w:rFonts w:cs="Times New Roman"/>
          <w:caps w:val="false"/>
          <w:smallCaps w:val="false"/>
          <w:szCs w:val="20"/>
        </w:rPr>
        <w:t>﻿</w:t>
      </w:r>
      <w:r>
        <w:rPr>
          <w:rFonts w:ascii="Times New Roman" w:hAnsi="Times New Roman"/>
          <w:caps w:val="false"/>
          <w:smallCaps w:val="false"/>
          <w:sz w:val="20"/>
        </w:rPr>
        <w:t>EDA, the Sales Agents would use their commercially reasonable efforts to sell Shares on the Company’s behalf up to the designated amount specified in the placement notice.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pPr>
      <w:r>
        <w:rPr>
          <w:rFonts w:ascii="Times New Roman;Times;serif" w:hAnsi="Times New Roman;Times;serif"/>
          <w:sz w:val="20"/>
        </w:rPr>
        <w:t>The Third </w:t>
      </w:r>
      <w:r>
        <w:rPr>
          <w:rFonts w:cs="Times New Roman;Times;serif"/>
          <w:szCs w:val="20"/>
        </w:rPr>
        <w:t>﻿</w:t>
      </w:r>
      <w:r>
        <w:rPr>
          <w:rFonts w:ascii="Times New Roman;Times;serif" w:hAnsi="Times New Roman;Times;serif"/>
          <w:sz w:val="20"/>
        </w:rPr>
        <w:t>EDA provided that each of the Sales Agents would be entitled to compensation of up to 2% of the gross sales price of the Shares sold through such Sales Agent from time to time. The Company also agreed to reimburse the Sales Agents for certain specified expenses in connection with the registration of Shares under state blue sky laws and any filing with, and clearance of the offering by, the Financial Industry Regulatory Authority Inc., not to exceed $10,000 in the aggregate, and any associated application fees incurred. The Company agreed to indemnify the Sales Agents against certain liabilities, including liabilities under the Securities Act, or to contribute to payments that the Sales Agents could be required to make because of any of those liabilities.</w:t>
      </w:r>
    </w:p>
    <w:p>
      <w:pPr>
        <w:pStyle w:val="TextBody"/>
        <w:bidi w:val="0"/>
        <w:spacing w:before="0" w:after="0"/>
        <w:ind w:left="0" w:right="0" w:firstLine="720"/>
        <w:jc w:val="left"/>
      </w:pPr>
      <w: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On October 1, 2026, the Company completed the Third ATM Offering, selling approximately 5.7 million shares at a weighted average price of $105.36 per share, providing proceeds of approximately $588 million, net of expenses and underwriting discounts and commissions.</w:t>
      </w:r>
    </w:p>
    <w:p>
      <w:pPr>
        <w:pStyle w:val="TextBody"/>
        <w:bidi w:val="0"/>
        <w:spacing w:before="0" w:after="0"/>
        <w:ind w:left="0" w:right="0" w:firstLine="720"/>
        <w:jc w:val="left"/>
      </w:pPr>
      <w: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details of the shares of common stock sold through the First ATM Offering, the Second ATM Offering and the Third ATM Offering as of the end of September 30, 2026 are as follows (in thousands, except shares and weighted average per share price):</w:t>
      </w:r>
    </w:p>
    <w:p>
      <w:pPr>
        <w:pStyle w:val="TextBody"/>
        <w:bidi w:val="0"/>
        <w:spacing w:before="0" w:after="0"/>
        <w:ind w:left="0" w:right="0" w:firstLine="720"/>
        <w:jc w:val="left"/>
      </w:pPr>
      <w:r>
        <w:t> </w:t>
      </w:r>
    </w:p>
    <w:tbl>
      <w:tblPr>
        <w:tblW w:w="10205" w:type="dxa"/>
        <w:jc w:val="left"/>
        <w:tblInd w:w="0" w:type="dxa"/>
        <w:tblLayout w:type="fixed"/>
        <w:tblCellMar>
          <w:top w:w="0" w:type="dxa"/>
          <w:left w:w="0" w:type="dxa"/>
          <w:bottom w:w="28" w:type="dxa"/>
          <w:right w:w="0" w:type="dxa"/>
        </w:tblCellMar>
      </w:tblPr>
      <w:tblGrid>
        <w:gridCol w:w="2198"/>
        <w:gridCol w:w="60"/>
        <w:gridCol w:w="990"/>
        <w:gridCol w:w="60"/>
        <w:gridCol w:w="73"/>
        <w:gridCol w:w="1170"/>
        <w:gridCol w:w="60"/>
        <w:gridCol w:w="60"/>
        <w:gridCol w:w="237"/>
        <w:gridCol w:w="1124"/>
        <w:gridCol w:w="60"/>
        <w:gridCol w:w="60"/>
        <w:gridCol w:w="136"/>
        <w:gridCol w:w="921"/>
        <w:gridCol w:w="60"/>
        <w:gridCol w:w="60"/>
        <w:gridCol w:w="293"/>
        <w:gridCol w:w="1392"/>
        <w:gridCol w:w="60"/>
        <w:gridCol w:w="60"/>
        <w:gridCol w:w="129"/>
        <w:gridCol w:w="876"/>
        <w:gridCol w:w="66"/>
      </w:tblGrid>
      <w:tr>
        <w:tc>
          <w:tcPr>
            <w:tcW w:w="2198"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Distribution Agent</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990"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Month</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1243"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 of Shares Sold</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1361"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 Average Per Share Price</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1057"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Gross Proceeds</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168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Compensation to Distribution Agent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100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Proceeds</w:t>
            </w:r>
          </w:p>
        </w:tc>
        <w:tc>
          <w:tcPr>
            <w:tcW w:w="66" w:type="dxa"/>
            <w:tcBorders/>
            <w:shd w:fill="FFFFFF" w:val="clear"/>
            <w:tcMar>
              <w:bottom w:w="0" w:type="dxa"/>
            </w:tcMar>
            <w:vAlign w:val="center"/>
          </w:tcPr>
          <w:p>
            <w:pPr>
              <w:pStyle w:val="TableContents"/>
              <w:bidi w:val="0"/>
              <w:spacing w:before="0" w:after="283"/>
              <w:jc w:val="left"/>
            </w:pPr>
            <w:r>
              <w:t> </w:t>
            </w:r>
          </w:p>
        </w:tc>
      </w:tr>
      <w:tr>
        <w:tc>
          <w:tcPr>
            <w:tcW w:w="2198"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Raymond James &amp; Associates, Inc. and Needham &amp; Company, LLC</w:t>
            </w:r>
          </w:p>
        </w:tc>
        <w:tc>
          <w:tcPr>
            <w:tcW w:w="60" w:type="dxa"/>
            <w:tcBorders/>
            <w:shd w:fill="CCEEFF" w:val="clear"/>
            <w:tcMar>
              <w:bottom w:w="0" w:type="dxa"/>
            </w:tcMar>
            <w:vAlign w:val="center"/>
          </w:tcPr>
          <w:p>
            <w:pPr>
              <w:pStyle w:val="TableContents"/>
              <w:bidi w:val="0"/>
              <w:spacing w:before="0" w:after="283"/>
              <w:ind w:left="0" w:right="0" w:hanging="0"/>
              <w:jc w:val="right"/>
            </w:pPr>
            <w:r>
              <w:t> </w:t>
            </w:r>
          </w:p>
        </w:tc>
        <w:tc>
          <w:tcPr>
            <w:tcW w:w="990"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March 2026</w:t>
            </w:r>
          </w:p>
        </w:tc>
        <w:tc>
          <w:tcPr>
            <w:tcW w:w="60" w:type="dxa"/>
            <w:tcBorders/>
            <w:shd w:fill="CCEEFF" w:val="clear"/>
            <w:tcMar>
              <w:bottom w:w="0" w:type="dxa"/>
            </w:tcMar>
            <w:vAlign w:val="center"/>
          </w:tcPr>
          <w:p>
            <w:pPr>
              <w:pStyle w:val="TableContents"/>
              <w:bidi w:val="0"/>
              <w:spacing w:before="0" w:after="283"/>
              <w:jc w:val="left"/>
            </w:pPr>
            <w:r>
              <w:t> </w:t>
            </w:r>
          </w:p>
        </w:tc>
        <w:tc>
          <w:tcPr>
            <w:tcW w:w="73" w:type="dxa"/>
            <w:tcBorders/>
            <w:shd w:fill="CCEEFF" w:val="clear"/>
            <w:tcMar>
              <w:bottom w:w="0" w:type="dxa"/>
            </w:tcMar>
            <w:vAlign w:val="center"/>
          </w:tcPr>
          <w:p>
            <w:pPr>
              <w:pStyle w:val="TableContents"/>
              <w:bidi w:val="0"/>
              <w:spacing w:before="0" w:after="283"/>
              <w:ind w:left="0" w:right="0" w:hanging="0"/>
              <w:jc w:val="left"/>
            </w:pPr>
            <w:r>
              <w:t> </w:t>
            </w:r>
          </w:p>
        </w:tc>
        <w:tc>
          <w:tcPr>
            <w:tcW w:w="117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3,753,300</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237"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2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104.03</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136"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390,437</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293"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9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7,809</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129"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382,628</w:t>
            </w:r>
          </w:p>
        </w:tc>
        <w:tc>
          <w:tcPr>
            <w:tcW w:w="66" w:type="dxa"/>
            <w:tcBorders/>
            <w:shd w:fill="CCEEFF" w:val="clear"/>
            <w:tcMar>
              <w:bottom w:w="0" w:type="dxa"/>
            </w:tcMar>
            <w:vAlign w:val="center"/>
          </w:tcPr>
          <w:p>
            <w:pPr>
              <w:pStyle w:val="TableContents"/>
              <w:bidi w:val="0"/>
              <w:spacing w:before="0" w:after="283"/>
              <w:jc w:val="left"/>
            </w:pPr>
            <w:r>
              <w:t> </w:t>
            </w:r>
          </w:p>
        </w:tc>
      </w:tr>
      <w:tr>
        <w:tc>
          <w:tcPr>
            <w:tcW w:w="2198"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Raymond James &amp; Associates, Inc. and Needham &amp; Company, LLC</w:t>
            </w:r>
          </w:p>
        </w:tc>
        <w:tc>
          <w:tcPr>
            <w:tcW w:w="60" w:type="dxa"/>
            <w:tcBorders/>
            <w:shd w:fill="FFFFFF" w:val="clear"/>
            <w:tcMar>
              <w:bottom w:w="0" w:type="dxa"/>
            </w:tcMar>
            <w:vAlign w:val="center"/>
          </w:tcPr>
          <w:p>
            <w:pPr>
              <w:pStyle w:val="TableContents"/>
              <w:bidi w:val="0"/>
              <w:spacing w:before="0" w:after="283"/>
              <w:jc w:val="right"/>
            </w:pPr>
            <w:r>
              <w:t> </w:t>
            </w:r>
          </w:p>
        </w:tc>
        <w:tc>
          <w:tcPr>
            <w:tcW w:w="990" w:type="dxa"/>
            <w:tcBorders/>
            <w:shd w:fill="FFFFFF" w:val="clear"/>
            <w:tcMar>
              <w:bottom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April 2026</w:t>
            </w:r>
          </w:p>
        </w:tc>
        <w:tc>
          <w:tcPr>
            <w:tcW w:w="60" w:type="dxa"/>
            <w:tcBorders/>
            <w:shd w:fill="FFFFFF" w:val="clear"/>
            <w:tcMar>
              <w:bottom w:w="0" w:type="dxa"/>
            </w:tcMar>
            <w:vAlign w:val="center"/>
          </w:tcPr>
          <w:p>
            <w:pPr>
              <w:pStyle w:val="TableContents"/>
              <w:bidi w:val="0"/>
              <w:spacing w:before="0" w:after="283"/>
              <w:jc w:val="left"/>
            </w:pPr>
            <w:r>
              <w:t> </w:t>
            </w:r>
          </w:p>
        </w:tc>
        <w:tc>
          <w:tcPr>
            <w:tcW w:w="73" w:type="dxa"/>
            <w:tcBorders/>
            <w:shd w:fill="FFFFFF" w:val="clear"/>
            <w:tcMar>
              <w:bottom w:w="0" w:type="dxa"/>
            </w:tcMar>
            <w:vAlign w:val="center"/>
          </w:tcPr>
          <w:p>
            <w:pPr>
              <w:pStyle w:val="TableContents"/>
              <w:bidi w:val="0"/>
              <w:spacing w:before="0" w:after="283"/>
              <w:jc w:val="left"/>
            </w:pPr>
            <w:r>
              <w:t> </w:t>
            </w:r>
          </w:p>
        </w:tc>
        <w:tc>
          <w:tcPr>
            <w:tcW w:w="117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1,077,126</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237" w:type="dxa"/>
            <w:tcBorders/>
            <w:shd w:fill="FFFFFF" w:val="clear"/>
            <w:tcMar>
              <w:bottom w:w="0" w:type="dxa"/>
            </w:tcMar>
            <w:vAlign w:val="center"/>
          </w:tcPr>
          <w:p>
            <w:pPr>
              <w:pStyle w:val="TableContents"/>
              <w:bidi w:val="0"/>
              <w:spacing w:before="0" w:after="283"/>
              <w:jc w:val="left"/>
            </w:pPr>
            <w:r>
              <w:t> </w:t>
            </w:r>
          </w:p>
        </w:tc>
        <w:tc>
          <w:tcPr>
            <w:tcW w:w="1124"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101.72</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36" w:type="dxa"/>
            <w:tcBorders/>
            <w:shd w:fill="FFFFFF" w:val="clear"/>
            <w:tcMar>
              <w:bottom w:w="0" w:type="dxa"/>
            </w:tcMar>
            <w:vAlign w:val="center"/>
          </w:tcPr>
          <w:p>
            <w:pPr>
              <w:pStyle w:val="TableContents"/>
              <w:bidi w:val="0"/>
              <w:spacing w:before="0" w:after="283"/>
              <w:jc w:val="left"/>
            </w:pPr>
            <w:r>
              <w:t> </w:t>
            </w:r>
          </w:p>
        </w:tc>
        <w:tc>
          <w:tcPr>
            <w:tcW w:w="921"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109,563</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293" w:type="dxa"/>
            <w:tcBorders/>
            <w:shd w:fill="FFFFFF" w:val="clear"/>
            <w:tcMar>
              <w:bottom w:w="0" w:type="dxa"/>
            </w:tcMar>
            <w:vAlign w:val="center"/>
          </w:tcPr>
          <w:p>
            <w:pPr>
              <w:pStyle w:val="TableContents"/>
              <w:bidi w:val="0"/>
              <w:spacing w:before="0" w:after="283"/>
              <w:jc w:val="left"/>
            </w:pPr>
            <w:r>
              <w:t> </w:t>
            </w:r>
          </w:p>
        </w:tc>
        <w:tc>
          <w:tcPr>
            <w:tcW w:w="1392"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2,191</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29" w:type="dxa"/>
            <w:tcBorders/>
            <w:shd w:fill="FFFFFF" w:val="clear"/>
            <w:tcMar>
              <w:bottom w:w="0" w:type="dxa"/>
            </w:tcMar>
            <w:vAlign w:val="center"/>
          </w:tcPr>
          <w:p>
            <w:pPr>
              <w:pStyle w:val="TableContents"/>
              <w:bidi w:val="0"/>
              <w:spacing w:before="0" w:after="283"/>
              <w:jc w:val="left"/>
            </w:pPr>
            <w:r>
              <w:t> </w:t>
            </w:r>
          </w:p>
        </w:tc>
        <w:tc>
          <w:tcPr>
            <w:tcW w:w="876"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107,372</w:t>
            </w:r>
          </w:p>
        </w:tc>
        <w:tc>
          <w:tcPr>
            <w:tcW w:w="66" w:type="dxa"/>
            <w:tcBorders/>
            <w:shd w:fill="FFFFFF" w:val="clear"/>
            <w:tcMar>
              <w:bottom w:w="0" w:type="dxa"/>
            </w:tcMar>
            <w:vAlign w:val="center"/>
          </w:tcPr>
          <w:p>
            <w:pPr>
              <w:pStyle w:val="TableContents"/>
              <w:bidi w:val="0"/>
              <w:spacing w:before="0" w:after="283"/>
              <w:jc w:val="left"/>
            </w:pPr>
            <w:r>
              <w:t> </w:t>
            </w:r>
          </w:p>
        </w:tc>
      </w:tr>
      <w:tr>
        <w:tc>
          <w:tcPr>
            <w:tcW w:w="2198"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Raymond James &amp; Associates, Inc. and Needham &amp; Company, LLC</w:t>
            </w:r>
          </w:p>
        </w:tc>
        <w:tc>
          <w:tcPr>
            <w:tcW w:w="60" w:type="dxa"/>
            <w:tcBorders/>
            <w:shd w:fill="CCEEFF" w:val="clear"/>
            <w:tcMar>
              <w:bottom w:w="0" w:type="dxa"/>
            </w:tcMar>
            <w:vAlign w:val="center"/>
          </w:tcPr>
          <w:p>
            <w:pPr>
              <w:pStyle w:val="TableContents"/>
              <w:bidi w:val="0"/>
              <w:spacing w:before="0" w:after="283"/>
              <w:jc w:val="right"/>
            </w:pPr>
            <w:r>
              <w:t> </w:t>
            </w:r>
          </w:p>
        </w:tc>
        <w:tc>
          <w:tcPr>
            <w:tcW w:w="990"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May 2026</w:t>
            </w:r>
          </w:p>
        </w:tc>
        <w:tc>
          <w:tcPr>
            <w:tcW w:w="60" w:type="dxa"/>
            <w:tcBorders/>
            <w:shd w:fill="CCEEFF" w:val="clear"/>
            <w:tcMar>
              <w:bottom w:w="0" w:type="dxa"/>
            </w:tcMar>
            <w:vAlign w:val="center"/>
          </w:tcPr>
          <w:p>
            <w:pPr>
              <w:pStyle w:val="TableContents"/>
              <w:bidi w:val="0"/>
              <w:spacing w:before="0" w:after="283"/>
              <w:jc w:val="left"/>
            </w:pPr>
            <w:r>
              <w:t> </w:t>
            </w:r>
          </w:p>
        </w:tc>
        <w:tc>
          <w:tcPr>
            <w:tcW w:w="73" w:type="dxa"/>
            <w:tcBorders/>
            <w:shd w:fill="CCEEFF" w:val="clear"/>
            <w:tcMar>
              <w:bottom w:w="0" w:type="dxa"/>
            </w:tcMar>
            <w:vAlign w:val="center"/>
          </w:tcPr>
          <w:p>
            <w:pPr>
              <w:pStyle w:val="TableContents"/>
              <w:bidi w:val="0"/>
              <w:spacing w:before="0" w:after="283"/>
              <w:jc w:val="left"/>
            </w:pPr>
            <w:r>
              <w:t> </w:t>
            </w:r>
          </w:p>
        </w:tc>
        <w:tc>
          <w:tcPr>
            <w:tcW w:w="117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1,943,789</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237" w:type="dxa"/>
            <w:tcBorders/>
            <w:shd w:fill="CCEEFF" w:val="clear"/>
            <w:tcMar>
              <w:bottom w:w="0" w:type="dxa"/>
            </w:tcMar>
            <w:vAlign w:val="center"/>
          </w:tcPr>
          <w:p>
            <w:pPr>
              <w:pStyle w:val="TableContents"/>
              <w:bidi w:val="0"/>
              <w:spacing w:before="0" w:after="283"/>
              <w:jc w:val="left"/>
            </w:pPr>
            <w:r>
              <w:t> </w:t>
            </w:r>
          </w:p>
        </w:tc>
        <w:tc>
          <w:tcPr>
            <w:tcW w:w="112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181.24</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36" w:type="dxa"/>
            <w:tcBorders/>
            <w:shd w:fill="CCEEFF" w:val="clear"/>
            <w:tcMar>
              <w:bottom w:w="0" w:type="dxa"/>
            </w:tcMar>
            <w:vAlign w:val="center"/>
          </w:tcPr>
          <w:p>
            <w:pPr>
              <w:pStyle w:val="TableContents"/>
              <w:bidi w:val="0"/>
              <w:spacing w:before="0" w:after="283"/>
              <w:jc w:val="left"/>
            </w:pPr>
            <w:r>
              <w:t> </w:t>
            </w:r>
          </w:p>
        </w:tc>
        <w:tc>
          <w:tcPr>
            <w:tcW w:w="921"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352,295</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293" w:type="dxa"/>
            <w:tcBorders/>
            <w:shd w:fill="CCEEFF" w:val="clear"/>
            <w:tcMar>
              <w:bottom w:w="0" w:type="dxa"/>
            </w:tcMar>
            <w:vAlign w:val="center"/>
          </w:tcPr>
          <w:p>
            <w:pPr>
              <w:pStyle w:val="TableContents"/>
              <w:bidi w:val="0"/>
              <w:spacing w:before="0" w:after="283"/>
              <w:jc w:val="left"/>
            </w:pPr>
            <w:r>
              <w:t> </w:t>
            </w:r>
          </w:p>
        </w:tc>
        <w:tc>
          <w:tcPr>
            <w:tcW w:w="139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7,046</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29" w:type="dxa"/>
            <w:tcBorders/>
            <w:shd w:fill="CCEEFF" w:val="clear"/>
            <w:tcMar>
              <w:bottom w:w="0" w:type="dxa"/>
            </w:tcMar>
            <w:vAlign w:val="center"/>
          </w:tcPr>
          <w:p>
            <w:pPr>
              <w:pStyle w:val="TableContents"/>
              <w:bidi w:val="0"/>
              <w:spacing w:before="0" w:after="283"/>
              <w:jc w:val="left"/>
            </w:pPr>
            <w:r>
              <w:t> </w:t>
            </w:r>
          </w:p>
        </w:tc>
        <w:tc>
          <w:tcPr>
            <w:tcW w:w="87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345,249</w:t>
            </w:r>
          </w:p>
        </w:tc>
        <w:tc>
          <w:tcPr>
            <w:tcW w:w="66" w:type="dxa"/>
            <w:tcBorders/>
            <w:shd w:fill="CCEEFF" w:val="clear"/>
            <w:tcMar>
              <w:bottom w:w="0" w:type="dxa"/>
            </w:tcMar>
            <w:vAlign w:val="center"/>
          </w:tcPr>
          <w:p>
            <w:pPr>
              <w:pStyle w:val="TableContents"/>
              <w:bidi w:val="0"/>
              <w:spacing w:before="0" w:after="283"/>
              <w:ind w:left="0" w:right="0" w:hanging="0"/>
              <w:jc w:val="left"/>
            </w:pPr>
            <w:r>
              <w:t> </w:t>
            </w:r>
          </w:p>
        </w:tc>
      </w:tr>
      <w:tr>
        <w:tc>
          <w:tcPr>
            <w:tcW w:w="2198"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Raymond James &amp; Associates, Inc. and Needham &amp; Company, LLC</w:t>
            </w:r>
          </w:p>
        </w:tc>
        <w:tc>
          <w:tcPr>
            <w:tcW w:w="60" w:type="dxa"/>
            <w:tcBorders/>
            <w:shd w:fill="FFFFFF" w:val="clear"/>
            <w:tcMar>
              <w:bottom w:w="0" w:type="dxa"/>
            </w:tcMar>
            <w:vAlign w:val="center"/>
          </w:tcPr>
          <w:p>
            <w:pPr>
              <w:pStyle w:val="TableContents"/>
              <w:bidi w:val="0"/>
              <w:spacing w:before="0" w:after="283"/>
              <w:ind w:left="0" w:right="0" w:hanging="0"/>
              <w:jc w:val="right"/>
            </w:pPr>
            <w:r>
              <w:t> </w:t>
            </w:r>
          </w:p>
        </w:tc>
        <w:tc>
          <w:tcPr>
            <w:tcW w:w="990" w:type="dxa"/>
            <w:tcBorders/>
            <w:shd w:fill="FFFFFF" w:val="clear"/>
            <w:tcMar>
              <w:bottom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June 2026</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73" w:type="dxa"/>
            <w:tcBorders/>
            <w:shd w:fill="FFFFFF" w:val="clear"/>
            <w:tcMar>
              <w:bottom w:w="0" w:type="dxa"/>
            </w:tcMar>
            <w:vAlign w:val="center"/>
          </w:tcPr>
          <w:p>
            <w:pPr>
              <w:pStyle w:val="TableContents"/>
              <w:bidi w:val="0"/>
              <w:spacing w:before="0" w:after="0"/>
              <w:ind w:left="0" w:right="0" w:hanging="0"/>
              <w:jc w:val="left"/>
            </w:pPr>
            <w:r>
              <w:t> </w:t>
            </w:r>
          </w:p>
        </w:tc>
        <w:tc>
          <w:tcPr>
            <w:tcW w:w="1170" w:type="dxa"/>
            <w:tcBorders/>
            <w:shd w:fill="FFFFFF" w:val="clear"/>
            <w:tcMar>
              <w:bottom w:w="0"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1,001,308</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237" w:type="dxa"/>
            <w:tcBorders/>
            <w:shd w:fill="FFFFFF" w:val="clear"/>
            <w:tcMar>
              <w:bottom w:w="0" w:type="dxa"/>
            </w:tcMar>
            <w:vAlign w:val="center"/>
          </w:tcPr>
          <w:p>
            <w:pPr>
              <w:pStyle w:val="TableContents"/>
              <w:bidi w:val="0"/>
              <w:spacing w:before="0" w:after="0"/>
              <w:ind w:left="0" w:right="0" w:hanging="0"/>
              <w:jc w:val="left"/>
            </w:pPr>
            <w:r>
              <w:t> </w:t>
            </w:r>
          </w:p>
        </w:tc>
        <w:tc>
          <w:tcPr>
            <w:tcW w:w="1124" w:type="dxa"/>
            <w:tcBorders/>
            <w:shd w:fill="FFFFFF" w:val="clear"/>
            <w:tcMar>
              <w:bottom w:w="0"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197.26</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136" w:type="dxa"/>
            <w:tcBorders/>
            <w:shd w:fill="FFFFFF" w:val="clear"/>
            <w:tcMar>
              <w:bottom w:w="0" w:type="dxa"/>
            </w:tcMar>
            <w:vAlign w:val="center"/>
          </w:tcPr>
          <w:p>
            <w:pPr>
              <w:pStyle w:val="TableContents"/>
              <w:bidi w:val="0"/>
              <w:spacing w:before="0" w:after="0"/>
              <w:ind w:left="0" w:right="0" w:hanging="0"/>
              <w:jc w:val="left"/>
            </w:pPr>
            <w:r>
              <w:t> </w:t>
            </w:r>
          </w:p>
        </w:tc>
        <w:tc>
          <w:tcPr>
            <w:tcW w:w="921" w:type="dxa"/>
            <w:tcBorders/>
            <w:shd w:fill="FFFFFF" w:val="clear"/>
            <w:tcMar>
              <w:bottom w:w="0"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197,519</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293" w:type="dxa"/>
            <w:tcBorders/>
            <w:shd w:fill="FFFFFF" w:val="clear"/>
            <w:tcMar>
              <w:bottom w:w="0" w:type="dxa"/>
            </w:tcMar>
            <w:vAlign w:val="center"/>
          </w:tcPr>
          <w:p>
            <w:pPr>
              <w:pStyle w:val="TableContents"/>
              <w:bidi w:val="0"/>
              <w:spacing w:before="0" w:after="0"/>
              <w:ind w:left="0" w:right="0" w:hanging="0"/>
              <w:jc w:val="left"/>
            </w:pPr>
            <w:r>
              <w:t> </w:t>
            </w:r>
          </w:p>
        </w:tc>
        <w:tc>
          <w:tcPr>
            <w:tcW w:w="1392" w:type="dxa"/>
            <w:tcBorders/>
            <w:shd w:fill="FFFFFF" w:val="clear"/>
            <w:tcMar>
              <w:bottom w:w="0"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3,950</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129" w:type="dxa"/>
            <w:tcBorders/>
            <w:shd w:fill="FFFFFF" w:val="clear"/>
            <w:tcMar>
              <w:bottom w:w="0" w:type="dxa"/>
            </w:tcMar>
            <w:vAlign w:val="center"/>
          </w:tcPr>
          <w:p>
            <w:pPr>
              <w:pStyle w:val="TableContents"/>
              <w:bidi w:val="0"/>
              <w:spacing w:before="0" w:after="0"/>
              <w:ind w:left="0" w:right="0" w:hanging="0"/>
              <w:jc w:val="left"/>
            </w:pPr>
            <w:r>
              <w:t> </w:t>
            </w:r>
          </w:p>
        </w:tc>
        <w:tc>
          <w:tcPr>
            <w:tcW w:w="876" w:type="dxa"/>
            <w:tcBorders/>
            <w:shd w:fill="FFFFFF" w:val="clear"/>
            <w:tcMar>
              <w:bottom w:w="0"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193,568</w:t>
            </w:r>
          </w:p>
        </w:tc>
        <w:tc>
          <w:tcPr>
            <w:tcW w:w="66" w:type="dxa"/>
            <w:tcBorders/>
            <w:shd w:fill="FFFFFF" w:val="clear"/>
            <w:tcMar>
              <w:bottom w:w="0" w:type="dxa"/>
            </w:tcMar>
            <w:vAlign w:val="center"/>
          </w:tcPr>
          <w:p>
            <w:pPr>
              <w:pStyle w:val="TableContents"/>
              <w:bidi w:val="0"/>
              <w:spacing w:before="0" w:after="283"/>
              <w:jc w:val="left"/>
            </w:pPr>
            <w:r>
              <w:t> </w:t>
            </w:r>
          </w:p>
        </w:tc>
      </w:tr>
      <w:tr>
        <w:tc>
          <w:tcPr>
            <w:tcW w:w="2198"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Raymond James &amp; Associates, Inc. and Needham &amp; Company, LLC</w:t>
            </w:r>
          </w:p>
        </w:tc>
        <w:tc>
          <w:tcPr>
            <w:tcW w:w="60" w:type="dxa"/>
            <w:tcBorders/>
            <w:shd w:fill="CCEEFF" w:val="clear"/>
            <w:tcMar>
              <w:bottom w:w="0" w:type="dxa"/>
            </w:tcMar>
            <w:vAlign w:val="center"/>
          </w:tcPr>
          <w:p>
            <w:pPr>
              <w:pStyle w:val="TableContents"/>
              <w:bidi w:val="0"/>
              <w:spacing w:before="0" w:after="283"/>
              <w:jc w:val="right"/>
            </w:pPr>
            <w:r>
              <w:t> </w:t>
            </w:r>
          </w:p>
        </w:tc>
        <w:tc>
          <w:tcPr>
            <w:tcW w:w="990"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August 2026</w:t>
            </w:r>
          </w:p>
        </w:tc>
        <w:tc>
          <w:tcPr>
            <w:tcW w:w="60" w:type="dxa"/>
            <w:tcBorders/>
            <w:shd w:fill="CCEEFF" w:val="clear"/>
            <w:tcMar>
              <w:bottom w:w="0" w:type="dxa"/>
            </w:tcMar>
            <w:vAlign w:val="center"/>
          </w:tcPr>
          <w:p>
            <w:pPr>
              <w:pStyle w:val="TableContents"/>
              <w:bidi w:val="0"/>
              <w:spacing w:before="0" w:after="283"/>
              <w:jc w:val="left"/>
            </w:pPr>
            <w:r>
              <w:t> </w:t>
            </w:r>
          </w:p>
        </w:tc>
        <w:tc>
          <w:tcPr>
            <w:tcW w:w="73" w:type="dxa"/>
            <w:tcBorders/>
            <w:shd w:fill="CCEEFF" w:val="clear"/>
            <w:tcMar>
              <w:bottom w:w="0" w:type="dxa"/>
            </w:tcMar>
            <w:vAlign w:val="center"/>
          </w:tcPr>
          <w:p>
            <w:pPr>
              <w:pStyle w:val="TableContents"/>
              <w:bidi w:val="0"/>
              <w:spacing w:before="0" w:after="283"/>
              <w:jc w:val="left"/>
            </w:pPr>
            <w:r>
              <w:t> </w:t>
            </w:r>
          </w:p>
        </w:tc>
        <w:tc>
          <w:tcPr>
            <w:tcW w:w="117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332,428</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237" w:type="dxa"/>
            <w:tcBorders/>
            <w:shd w:fill="CCEEFF" w:val="clear"/>
            <w:tcMar>
              <w:bottom w:w="0" w:type="dxa"/>
            </w:tcMar>
            <w:vAlign w:val="center"/>
          </w:tcPr>
          <w:p>
            <w:pPr>
              <w:pStyle w:val="TableContents"/>
              <w:bidi w:val="0"/>
              <w:spacing w:before="0" w:after="283"/>
              <w:jc w:val="left"/>
            </w:pPr>
            <w:r>
              <w:t> </w:t>
            </w:r>
          </w:p>
        </w:tc>
        <w:tc>
          <w:tcPr>
            <w:tcW w:w="112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150.97</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36" w:type="dxa"/>
            <w:tcBorders/>
            <w:shd w:fill="CCEEFF" w:val="clear"/>
            <w:tcMar>
              <w:bottom w:w="0" w:type="dxa"/>
            </w:tcMar>
            <w:vAlign w:val="center"/>
          </w:tcPr>
          <w:p>
            <w:pPr>
              <w:pStyle w:val="TableContents"/>
              <w:bidi w:val="0"/>
              <w:spacing w:before="0" w:after="283"/>
              <w:jc w:val="left"/>
            </w:pPr>
            <w:r>
              <w:t> </w:t>
            </w:r>
          </w:p>
        </w:tc>
        <w:tc>
          <w:tcPr>
            <w:tcW w:w="921"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50,186</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293" w:type="dxa"/>
            <w:tcBorders/>
            <w:shd w:fill="CCEEFF" w:val="clear"/>
            <w:tcMar>
              <w:bottom w:w="0" w:type="dxa"/>
            </w:tcMar>
            <w:vAlign w:val="center"/>
          </w:tcPr>
          <w:p>
            <w:pPr>
              <w:pStyle w:val="TableContents"/>
              <w:bidi w:val="0"/>
              <w:spacing w:before="0" w:after="283"/>
              <w:jc w:val="left"/>
            </w:pPr>
            <w:r>
              <w:t> </w:t>
            </w:r>
          </w:p>
        </w:tc>
        <w:tc>
          <w:tcPr>
            <w:tcW w:w="139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1,004</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29" w:type="dxa"/>
            <w:tcBorders/>
            <w:shd w:fill="CCEEFF" w:val="clear"/>
            <w:tcMar>
              <w:bottom w:w="0" w:type="dxa"/>
            </w:tcMar>
            <w:vAlign w:val="center"/>
          </w:tcPr>
          <w:p>
            <w:pPr>
              <w:pStyle w:val="TableContents"/>
              <w:bidi w:val="0"/>
              <w:spacing w:before="0" w:after="283"/>
              <w:jc w:val="left"/>
            </w:pPr>
            <w:r>
              <w:t> </w:t>
            </w:r>
          </w:p>
        </w:tc>
        <w:tc>
          <w:tcPr>
            <w:tcW w:w="87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49,183</w:t>
            </w:r>
          </w:p>
        </w:tc>
        <w:tc>
          <w:tcPr>
            <w:tcW w:w="66" w:type="dxa"/>
            <w:tcBorders/>
            <w:shd w:fill="CCEEFF" w:val="clear"/>
            <w:tcMar>
              <w:bottom w:w="0" w:type="dxa"/>
            </w:tcMar>
            <w:vAlign w:val="center"/>
          </w:tcPr>
          <w:p>
            <w:pPr>
              <w:pStyle w:val="TableContents"/>
              <w:bidi w:val="0"/>
              <w:spacing w:before="0" w:after="283"/>
              <w:ind w:left="0" w:right="0" w:hanging="0"/>
              <w:jc w:val="left"/>
            </w:pPr>
            <w:r>
              <w:t> </w:t>
            </w:r>
          </w:p>
        </w:tc>
      </w:tr>
      <w:tr>
        <w:tc>
          <w:tcPr>
            <w:tcW w:w="2198"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Raymond James &amp; Associates, Inc. and Needham &amp; Company, LLC</w:t>
            </w:r>
          </w:p>
        </w:tc>
        <w:tc>
          <w:tcPr>
            <w:tcW w:w="60" w:type="dxa"/>
            <w:tcBorders/>
            <w:shd w:fill="FFFFFF" w:val="clear"/>
            <w:tcMar>
              <w:bottom w:w="0" w:type="dxa"/>
            </w:tcMar>
            <w:vAlign w:val="center"/>
          </w:tcPr>
          <w:p>
            <w:pPr>
              <w:pStyle w:val="TableContents"/>
              <w:bidi w:val="0"/>
              <w:spacing w:before="0" w:after="283"/>
              <w:ind w:left="0" w:right="0" w:hanging="0"/>
              <w:jc w:val="right"/>
            </w:pPr>
            <w:r>
              <w:t> </w:t>
            </w:r>
          </w:p>
        </w:tc>
        <w:tc>
          <w:tcPr>
            <w:tcW w:w="990" w:type="dxa"/>
            <w:tcBorders>
              <w:bottom w:val="single" w:sz="2" w:space="0" w:color="000000"/>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2026</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73" w:type="dxa"/>
            <w:tcBorders>
              <w:bottom w:val="single" w:sz="2" w:space="0" w:color="000000"/>
            </w:tcBorders>
            <w:shd w:fill="FFFFFF" w:val="clear"/>
            <w:vAlign w:val="center"/>
          </w:tcPr>
          <w:p>
            <w:pPr>
              <w:pStyle w:val="TableContents"/>
              <w:bidi w:val="0"/>
              <w:spacing w:before="0" w:after="0"/>
              <w:ind w:left="0" w:right="0" w:hanging="0"/>
              <w:jc w:val="left"/>
            </w:pPr>
            <w:r>
              <w:t> </w:t>
            </w:r>
          </w:p>
        </w:tc>
        <w:tc>
          <w:tcPr>
            <w:tcW w:w="1170" w:type="dxa"/>
            <w:tcBorders>
              <w:bottom w:val="single" w:sz="2" w:space="0" w:color="000000"/>
            </w:tcBorders>
            <w:shd w:fill="FFFF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4,976,521</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237" w:type="dxa"/>
            <w:tcBorders>
              <w:bottom w:val="single" w:sz="2" w:space="0" w:color="000000"/>
            </w:tcBorders>
            <w:shd w:fill="FFFFFF" w:val="clear"/>
            <w:vAlign w:val="center"/>
          </w:tcPr>
          <w:p>
            <w:pPr>
              <w:pStyle w:val="TableContents"/>
              <w:bidi w:val="0"/>
              <w:spacing w:before="0" w:after="0"/>
              <w:ind w:left="0" w:right="0" w:hanging="0"/>
              <w:jc w:val="left"/>
            </w:pPr>
            <w:r>
              <w:t> </w:t>
            </w:r>
          </w:p>
        </w:tc>
        <w:tc>
          <w:tcPr>
            <w:tcW w:w="1124" w:type="dxa"/>
            <w:tcBorders>
              <w:bottom w:val="single" w:sz="2" w:space="0" w:color="000000"/>
            </w:tcBorders>
            <w:shd w:fill="FFFF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105.31</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136" w:type="dxa"/>
            <w:tcBorders>
              <w:bottom w:val="single" w:sz="2" w:space="0" w:color="000000"/>
            </w:tcBorders>
            <w:shd w:fill="FFFFFF" w:val="clear"/>
            <w:vAlign w:val="center"/>
          </w:tcPr>
          <w:p>
            <w:pPr>
              <w:pStyle w:val="TableContents"/>
              <w:bidi w:val="0"/>
              <w:spacing w:before="0" w:after="0"/>
              <w:ind w:left="0" w:right="0" w:hanging="0"/>
              <w:jc w:val="left"/>
            </w:pPr>
            <w:r>
              <w:t> </w:t>
            </w:r>
          </w:p>
        </w:tc>
        <w:tc>
          <w:tcPr>
            <w:tcW w:w="921" w:type="dxa"/>
            <w:tcBorders>
              <w:bottom w:val="single" w:sz="2" w:space="0" w:color="000000"/>
            </w:tcBorders>
            <w:shd w:fill="FFFF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524,092</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293" w:type="dxa"/>
            <w:tcBorders>
              <w:bottom w:val="single" w:sz="2" w:space="0" w:color="000000"/>
            </w:tcBorders>
            <w:shd w:fill="FFFFFF" w:val="clear"/>
            <w:vAlign w:val="center"/>
          </w:tcPr>
          <w:p>
            <w:pPr>
              <w:pStyle w:val="TableContents"/>
              <w:bidi w:val="0"/>
              <w:spacing w:before="0" w:after="0"/>
              <w:ind w:left="0" w:right="0" w:hanging="0"/>
              <w:jc w:val="left"/>
            </w:pPr>
            <w:r>
              <w:t> </w:t>
            </w:r>
          </w:p>
        </w:tc>
        <w:tc>
          <w:tcPr>
            <w:tcW w:w="1392" w:type="dxa"/>
            <w:tcBorders>
              <w:bottom w:val="single" w:sz="2" w:space="0" w:color="000000"/>
            </w:tcBorders>
            <w:shd w:fill="FFFF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10,482</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129" w:type="dxa"/>
            <w:tcBorders>
              <w:bottom w:val="single" w:sz="2" w:space="0" w:color="000000"/>
            </w:tcBorders>
            <w:shd w:fill="FFFFFF" w:val="clear"/>
            <w:vAlign w:val="center"/>
          </w:tcPr>
          <w:p>
            <w:pPr>
              <w:pStyle w:val="TableContents"/>
              <w:bidi w:val="0"/>
              <w:spacing w:before="0" w:after="0"/>
              <w:ind w:left="0" w:right="0" w:hanging="0"/>
              <w:jc w:val="left"/>
            </w:pPr>
            <w:r>
              <w:t> </w:t>
            </w:r>
          </w:p>
        </w:tc>
        <w:tc>
          <w:tcPr>
            <w:tcW w:w="876" w:type="dxa"/>
            <w:tcBorders>
              <w:bottom w:val="single" w:sz="2" w:space="0" w:color="000000"/>
            </w:tcBorders>
            <w:shd w:fill="FFFF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513,610</w:t>
            </w:r>
          </w:p>
        </w:tc>
        <w:tc>
          <w:tcPr>
            <w:tcW w:w="66" w:type="dxa"/>
            <w:tcBorders/>
            <w:shd w:fill="FFFFFF" w:val="clear"/>
            <w:tcMar>
              <w:bottom w:w="0" w:type="dxa"/>
            </w:tcMar>
            <w:vAlign w:val="center"/>
          </w:tcPr>
          <w:p>
            <w:pPr>
              <w:pStyle w:val="TableContents"/>
              <w:bidi w:val="0"/>
              <w:spacing w:before="0" w:after="283"/>
              <w:jc w:val="left"/>
            </w:pPr>
            <w:r>
              <w:t> </w:t>
            </w:r>
          </w:p>
        </w:tc>
      </w:tr>
      <w:tr>
        <w:tc>
          <w:tcPr>
            <w:tcW w:w="3248" w:type="dxa"/>
            <w:gridSpan w:val="3"/>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tcMar>
              <w:bottom w:w="0" w:type="dxa"/>
            </w:tcMar>
            <w:vAlign w:val="center"/>
          </w:tcPr>
          <w:p>
            <w:pPr>
              <w:pStyle w:val="TableContents"/>
              <w:bidi w:val="0"/>
              <w:spacing w:before="0" w:after="283"/>
              <w:jc w:val="left"/>
            </w:pPr>
            <w:r>
              <w:t> </w:t>
            </w:r>
          </w:p>
        </w:tc>
        <w:tc>
          <w:tcPr>
            <w:tcW w:w="73" w:type="dxa"/>
            <w:tcBorders>
              <w:bottom w:val="double" w:sz="6" w:space="0" w:color="000000"/>
            </w:tcBorders>
            <w:shd w:fill="CCEEFF" w:val="clear"/>
            <w:vAlign w:val="center"/>
          </w:tcPr>
          <w:p>
            <w:pPr>
              <w:pStyle w:val="TableContents"/>
              <w:bidi w:val="0"/>
              <w:spacing w:before="0" w:after="283"/>
              <w:ind w:left="0" w:right="0" w:hanging="0"/>
              <w:jc w:val="left"/>
            </w:pPr>
            <w:r>
              <w:t> </w:t>
            </w:r>
          </w:p>
        </w:tc>
        <w:tc>
          <w:tcPr>
            <w:tcW w:w="1170"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13,084,472</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237" w:type="dxa"/>
            <w:tcBorders/>
            <w:shd w:fill="CCEEFF" w:val="clear"/>
            <w:tcMar>
              <w:bottom w:w="0" w:type="dxa"/>
            </w:tcMar>
            <w:vAlign w:val="center"/>
          </w:tcPr>
          <w:p>
            <w:pPr>
              <w:pStyle w:val="TableContents"/>
              <w:bidi w:val="0"/>
              <w:spacing w:before="0" w:after="283"/>
              <w:jc w:val="left"/>
            </w:pPr>
            <w:r>
              <w:t> </w:t>
            </w:r>
          </w:p>
        </w:tc>
        <w:tc>
          <w:tcPr>
            <w:tcW w:w="1124" w:type="dxa"/>
            <w:tcBorders/>
            <w:shd w:fill="CCEEFF" w:val="clear"/>
            <w:tcMar>
              <w:bottom w:w="0" w:type="dxa"/>
            </w:tcMar>
            <w:vAlign w:val="center"/>
          </w:tcPr>
          <w:p>
            <w:pPr>
              <w:pStyle w:val="TableContents"/>
              <w:bidi w:val="0"/>
              <w:spacing w:before="0" w:after="283"/>
              <w:jc w:val="righ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136"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1"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1,624,092</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293"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92"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32,482</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129"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6"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1,591,610</w:t>
            </w:r>
          </w:p>
        </w:tc>
        <w:tc>
          <w:tcPr>
            <w:tcW w:w="66" w:type="dxa"/>
            <w:tcBorders/>
            <w:shd w:fill="CCEEFF" w:val="clear"/>
            <w:tcMar>
              <w:bottom w:w="0" w:type="dxa"/>
            </w:tcMar>
            <w:vAlign w:val="center"/>
          </w:tcPr>
          <w:p>
            <w:pPr>
              <w:pStyle w:val="TableContents"/>
              <w:bidi w:val="0"/>
              <w:spacing w:before="0" w:after="283"/>
              <w:jc w:val="left"/>
            </w:pPr>
            <w:r>
              <w:t> </w:t>
            </w:r>
          </w:p>
        </w:tc>
      </w:tr>
    </w:tbl>
    <w:p>
      <w:pPr>
        <w:pStyle w:val="TextBody"/>
        <w:bidi w:val="0"/>
        <w:spacing w:before="0" w:after="0"/>
        <w:ind w:left="0" w:right="0" w:hanging="0"/>
        <w:jc w:val="left"/>
      </w:pPr>
      <w: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29 </w:t>
      </w:r>
    </w:p>
    <w:p>
      <w:pPr>
        <w:pStyle w:val="HorizontalLine"/>
        <w:pBdr>
          <w:bottom w:val="double" w:sz="2" w:space="0" w:color="808080"/>
        </w:pBdr>
        <w:bidi w:val="0"/>
        <w:spacing w:before="0" w:after="283"/>
        <w:jc w:val="left"/>
      </w:pPr>
      <w:r/>
    </w:p>
    <w:p>
      <w:pPr>
        <w:pStyle w:val="TextBody"/>
        <w:bidi w:val="0"/>
        <w:jc w:val="left"/>
      </w:pPr>
      <w:hyperlink w:anchor="toc">
        <w:r>
          <w:rPr>
            <w:rStyle w:val="InternetLink"/>
            <w:rFonts w:ascii="Times New Roman;Times;serif" w:hAnsi="Times New Roman;Times;serif"/>
            <w:sz w:val="20"/>
          </w:rPr>
          <w:t>Table of Contents</w:t>
        </w:r>
      </w:hyperlink>
      <w:r>
        <w:t xml:space="preserve"> </w:t>
      </w:r>
    </w:p>
    <w:p>
      <w:pPr>
        <w:pStyle w:val="TextBody"/>
        <w:bidi w:val="0"/>
        <w:spacing w:before="0" w:after="0"/>
        <w:ind w:left="0" w:right="0" w:hanging="0"/>
        <w:jc w:val="left"/>
      </w:pPr>
      <w: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Note Offerings</w:t>
      </w:r>
    </w:p>
    <w:p>
      <w:pPr>
        <w:pStyle w:val="TextBody"/>
        <w:bidi w:val="0"/>
        <w:spacing w:before="0" w:after="0"/>
        <w:ind w:left="0" w:right="0" w:firstLine="720"/>
        <w:jc w:val="left"/>
      </w:pPr>
      <w: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December 23, 2024, the Company issued approximately $125.0 million aggregate principal amount of 2.75% convertible senior notes due 2030 (the "2030 Notes"), and on the same day consummated various separate, privately negotiated exchange agreements with certain holders of its 2026 Notes to exchange approximately $76.7 million principal amount of the 2026 Notes for aggregate consideration consisting of (i) $125.0 million aggregate principal amount of the 2030 Notes, (ii) 1,487,874 shares of the Company's common stock, par value $0.001 per share and (iii) approximately $0.9 million of cash in aggregate. Also, refer to Note 12 "Convertible Senior Notes" to the consolidated financial statements for further discussion of the 2030 Notes.</w:t>
      </w:r>
    </w:p>
    <w:p>
      <w:pPr>
        <w:pStyle w:val="TextBody"/>
        <w:bidi w:val="0"/>
        <w:spacing w:before="0" w:after="0"/>
        <w:ind w:left="0" w:right="0" w:hanging="0"/>
        <w:jc w:val="left"/>
      </w:pPr>
      <w: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Operating Activities</w:t>
      </w:r>
    </w:p>
    <w:p>
      <w:pPr>
        <w:pStyle w:val="TextBody"/>
        <w:bidi w:val="0"/>
        <w:spacing w:before="0" w:after="0"/>
        <w:ind w:left="0" w:right="0" w:firstLine="180"/>
        <w:jc w:val="left"/>
      </w:pPr>
      <w: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table below sets forth selected cash flow data for the periods presented (in thousands):</w:t>
      </w:r>
    </w:p>
    <w:p>
      <w:pPr>
        <w:pStyle w:val="TextBody"/>
        <w:bidi w:val="0"/>
        <w:spacing w:before="0" w:after="0"/>
        <w:ind w:left="0" w:right="0" w:firstLine="720"/>
        <w:jc w:val="left"/>
      </w:pPr>
      <w:r>
        <w:t> </w:t>
      </w:r>
    </w:p>
    <w:tbl>
      <w:tblPr>
        <w:tblW w:w="7348" w:type="dxa"/>
        <w:jc w:val="left"/>
        <w:tblInd w:w="0" w:type="dxa"/>
        <w:tblLayout w:type="fixed"/>
        <w:tblCellMar>
          <w:top w:w="0" w:type="dxa"/>
          <w:left w:w="0" w:type="dxa"/>
          <w:bottom w:w="0" w:type="dxa"/>
          <w:right w:w="0" w:type="dxa"/>
        </w:tblCellMar>
      </w:tblPr>
      <w:tblGrid>
        <w:gridCol w:w="4355"/>
        <w:gridCol w:w="60"/>
        <w:gridCol w:w="174"/>
        <w:gridCol w:w="1260"/>
        <w:gridCol w:w="111"/>
        <w:gridCol w:w="83"/>
        <w:gridCol w:w="174"/>
        <w:gridCol w:w="1051"/>
        <w:gridCol w:w="80"/>
      </w:tblGrid>
      <w:tr>
        <w:tc>
          <w:tcPr>
            <w:tcW w:w="435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85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 September 30,</w:t>
            </w:r>
          </w:p>
        </w:tc>
        <w:tc>
          <w:tcPr>
            <w:tcW w:w="80" w:type="dxa"/>
            <w:tcBorders/>
            <w:shd w:fill="FFFFFF" w:val="clear"/>
            <w:vAlign w:val="center"/>
          </w:tcPr>
          <w:p>
            <w:pPr>
              <w:pStyle w:val="TableContents"/>
              <w:bidi w:val="0"/>
              <w:spacing w:before="0" w:after="283"/>
              <w:jc w:val="left"/>
            </w:pPr>
            <w:r>
              <w:t> </w:t>
            </w:r>
          </w:p>
        </w:tc>
      </w:tr>
      <w:tr>
        <w:tc>
          <w:tcPr>
            <w:tcW w:w="435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4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11" w:type="dxa"/>
            <w:tcBorders/>
            <w:shd w:fill="FFFFFF" w:val="clear"/>
            <w:vAlign w:val="center"/>
          </w:tcPr>
          <w:p>
            <w:pPr>
              <w:pStyle w:val="TableContents"/>
              <w:bidi w:val="0"/>
              <w:spacing w:before="0" w:after="283"/>
              <w:jc w:val="left"/>
            </w:pPr>
            <w:r>
              <w:t> </w:t>
            </w:r>
          </w:p>
        </w:tc>
        <w:tc>
          <w:tcPr>
            <w:tcW w:w="83" w:type="dxa"/>
            <w:tcBorders/>
            <w:shd w:fill="FFFFFF" w:val="clear"/>
            <w:vAlign w:val="center"/>
          </w:tcPr>
          <w:p>
            <w:pPr>
              <w:pStyle w:val="TableContents"/>
              <w:bidi w:val="0"/>
              <w:spacing w:before="0" w:after="283"/>
              <w:ind w:left="0" w:right="0" w:hanging="0"/>
              <w:jc w:val="left"/>
            </w:pPr>
            <w:r>
              <w:t> </w:t>
            </w:r>
          </w:p>
        </w:tc>
        <w:tc>
          <w:tcPr>
            <w:tcW w:w="12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pPr>
            <w:r>
              <w:t> </w:t>
            </w:r>
          </w:p>
        </w:tc>
      </w:tr>
      <w:tr>
        <w:tc>
          <w:tcPr>
            <w:tcW w:w="43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operating activities</w:t>
            </w:r>
          </w:p>
        </w:tc>
        <w:tc>
          <w:tcPr>
            <w:tcW w:w="60" w:type="dxa"/>
            <w:tcBorders/>
            <w:shd w:fill="CCEEFF" w:val="clear"/>
            <w:vAlign w:val="center"/>
          </w:tcPr>
          <w:p>
            <w:pPr>
              <w:pStyle w:val="TableContents"/>
              <w:bidi w:val="0"/>
              <w:spacing w:before="0" w:after="283"/>
              <w:ind w:left="0" w:right="0" w:hanging="0"/>
              <w:jc w:val="left"/>
            </w:pPr>
            <w:r>
              <w:t> </w:t>
            </w:r>
          </w:p>
        </w:tc>
        <w:tc>
          <w:tcPr>
            <w:tcW w:w="17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(76,653</w:t>
            </w:r>
          </w:p>
        </w:tc>
        <w:tc>
          <w:tcPr>
            <w:tcW w:w="11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3" w:type="dxa"/>
            <w:tcBorders/>
            <w:shd w:fill="CCEEFF" w:val="clear"/>
            <w:vAlign w:val="center"/>
          </w:tcPr>
          <w:p>
            <w:pPr>
              <w:pStyle w:val="TableContents"/>
              <w:bidi w:val="0"/>
              <w:spacing w:before="0" w:after="283"/>
              <w:ind w:left="0" w:right="0" w:hanging="0"/>
              <w:jc w:val="left"/>
            </w:pPr>
            <w:r>
              <w:t> </w:t>
            </w:r>
          </w:p>
        </w:tc>
        <w:tc>
          <w:tcPr>
            <w:tcW w:w="17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(144,851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43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investing activities</w:t>
            </w:r>
          </w:p>
        </w:tc>
        <w:tc>
          <w:tcPr>
            <w:tcW w:w="60" w:type="dxa"/>
            <w:tcBorders/>
            <w:shd w:fill="FFFFFF" w:val="clear"/>
            <w:vAlign w:val="center"/>
          </w:tcPr>
          <w:p>
            <w:pPr>
              <w:pStyle w:val="TableContents"/>
              <w:bidi w:val="0"/>
              <w:spacing w:before="0" w:after="283"/>
              <w:jc w:val="left"/>
            </w:pPr>
            <w:r>
              <w:t> </w:t>
            </w:r>
          </w:p>
        </w:tc>
        <w:tc>
          <w:tcPr>
            <w:tcW w:w="174" w:type="dxa"/>
            <w:tcBorders/>
            <w:shd w:fill="FFFFFF" w:val="clear"/>
            <w:vAlign w:val="center"/>
          </w:tcPr>
          <w:p>
            <w:pPr>
              <w:pStyle w:val="TableContents"/>
              <w:bidi w:val="0"/>
              <w:spacing w:before="0" w:after="283"/>
              <w:ind w:left="0" w:right="0" w:hanging="0"/>
              <w:jc w:val="left"/>
            </w:pPr>
            <w:r>
              <w:t> </w:t>
            </w:r>
          </w:p>
        </w:tc>
        <w:tc>
          <w:tcPr>
            <w:tcW w:w="12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(1,109,533</w:t>
            </w:r>
          </w:p>
        </w:tc>
        <w:tc>
          <w:tcPr>
            <w:tcW w:w="11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3" w:type="dxa"/>
            <w:tcBorders/>
            <w:shd w:fill="FFFFFF" w:val="clear"/>
            <w:vAlign w:val="center"/>
          </w:tcPr>
          <w:p>
            <w:pPr>
              <w:pStyle w:val="TableContents"/>
              <w:bidi w:val="0"/>
              <w:spacing w:before="0" w:after="283"/>
              <w:jc w:val="left"/>
            </w:pPr>
            <w:r>
              <w:t> </w:t>
            </w:r>
          </w:p>
        </w:tc>
        <w:tc>
          <w:tcPr>
            <w:tcW w:w="174" w:type="dxa"/>
            <w:tcBorders/>
            <w:shd w:fill="FFFFFF" w:val="clear"/>
            <w:vAlign w:val="center"/>
          </w:tcPr>
          <w:p>
            <w:pPr>
              <w:pStyle w:val="TableContents"/>
              <w:bidi w:val="0"/>
              <w:spacing w:before="0" w:after="283"/>
              <w:ind w:left="0" w:right="0" w:hanging="0"/>
              <w:jc w:val="left"/>
            </w:pPr>
            <w:r>
              <w:t> </w:t>
            </w:r>
          </w:p>
        </w:tc>
        <w:tc>
          <w:tcPr>
            <w:tcW w:w="105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(125,672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43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financing activities</w:t>
            </w:r>
          </w:p>
        </w:tc>
        <w:tc>
          <w:tcPr>
            <w:tcW w:w="60" w:type="dxa"/>
            <w:tcBorders/>
            <w:shd w:fill="CCEEFF" w:val="clear"/>
            <w:vAlign w:val="center"/>
          </w:tcPr>
          <w:p>
            <w:pPr>
              <w:pStyle w:val="TableContents"/>
              <w:bidi w:val="0"/>
              <w:spacing w:before="0" w:after="283"/>
              <w:jc w:val="left"/>
            </w:pPr>
            <w:r>
              <w:t> </w:t>
            </w:r>
          </w:p>
        </w:tc>
        <w:tc>
          <w:tcPr>
            <w:tcW w:w="174" w:type="dxa"/>
            <w:tcBorders/>
            <w:shd w:fill="CCEEFF" w:val="clear"/>
            <w:vAlign w:val="center"/>
          </w:tcPr>
          <w:p>
            <w:pPr>
              <w:pStyle w:val="TableContents"/>
              <w:bidi w:val="0"/>
              <w:spacing w:before="0" w:after="283"/>
              <w:ind w:left="0" w:right="0" w:hanging="0"/>
              <w:jc w:val="left"/>
            </w:pPr>
            <w:r>
              <w:t> </w:t>
            </w:r>
          </w:p>
        </w:tc>
        <w:tc>
          <w:tcPr>
            <w:tcW w:w="12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1,591,645</w:t>
            </w:r>
          </w:p>
        </w:tc>
        <w:tc>
          <w:tcPr>
            <w:tcW w:w="111" w:type="dxa"/>
            <w:tcBorders/>
            <w:shd w:fill="CCEEFF" w:val="clear"/>
            <w:vAlign w:val="center"/>
          </w:tcPr>
          <w:p>
            <w:pPr>
              <w:pStyle w:val="TableContents"/>
              <w:bidi w:val="0"/>
              <w:spacing w:before="0" w:after="283"/>
              <w:jc w:val="left"/>
            </w:pPr>
            <w:r>
              <w:t> </w:t>
            </w:r>
          </w:p>
        </w:tc>
        <w:tc>
          <w:tcPr>
            <w:tcW w:w="83" w:type="dxa"/>
            <w:tcBorders/>
            <w:shd w:fill="CCEEFF" w:val="clear"/>
            <w:vAlign w:val="center"/>
          </w:tcPr>
          <w:p>
            <w:pPr>
              <w:pStyle w:val="TableContents"/>
              <w:bidi w:val="0"/>
              <w:spacing w:before="0" w:after="283"/>
              <w:jc w:val="left"/>
            </w:pPr>
            <w:r>
              <w:t> </w:t>
            </w:r>
          </w:p>
        </w:tc>
        <w:tc>
          <w:tcPr>
            <w:tcW w:w="174" w:type="dxa"/>
            <w:tcBorders/>
            <w:shd w:fill="CCEEFF" w:val="clear"/>
            <w:vAlign w:val="center"/>
          </w:tcPr>
          <w:p>
            <w:pPr>
              <w:pStyle w:val="TableContents"/>
              <w:bidi w:val="0"/>
              <w:spacing w:before="0" w:after="283"/>
              <w:ind w:left="0" w:right="0" w:hanging="0"/>
              <w:jc w:val="left"/>
            </w:pPr>
            <w:r>
              <w:t> </w:t>
            </w:r>
          </w:p>
        </w:tc>
        <w:tc>
          <w:tcPr>
            <w:tcW w:w="105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348,248</w:t>
            </w:r>
          </w:p>
        </w:tc>
        <w:tc>
          <w:tcPr>
            <w:tcW w:w="80" w:type="dxa"/>
            <w:tcBorders/>
            <w:shd w:fill="CCEEFF" w:val="clear"/>
            <w:vAlign w:val="center"/>
          </w:tcPr>
          <w:p>
            <w:pPr>
              <w:pStyle w:val="TableContents"/>
              <w:bidi w:val="0"/>
              <w:spacing w:before="0" w:after="283"/>
              <w:jc w:val="left"/>
            </w:pPr>
            <w:r>
              <w:t> </w:t>
            </w:r>
          </w:p>
        </w:tc>
      </w:tr>
      <w:tr>
        <w:tc>
          <w:tcPr>
            <w:tcW w:w="43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 of exchange rates on cash and cash equivalents</w:t>
            </w:r>
          </w:p>
        </w:tc>
        <w:tc>
          <w:tcPr>
            <w:tcW w:w="60" w:type="dxa"/>
            <w:tcBorders/>
            <w:shd w:fill="FFFFFF" w:val="clear"/>
            <w:vAlign w:val="center"/>
          </w:tcPr>
          <w:p>
            <w:pPr>
              <w:pStyle w:val="TableContents"/>
              <w:bidi w:val="0"/>
              <w:spacing w:before="0" w:after="283"/>
              <w:jc w:val="left"/>
            </w:pPr>
            <w:r>
              <w:t> </w:t>
            </w:r>
          </w:p>
        </w:tc>
        <w:tc>
          <w:tcPr>
            <w:tcW w:w="17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2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w:t>
            </w:r>
          </w:p>
        </w:tc>
        <w:tc>
          <w:tcPr>
            <w:tcW w:w="11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3" w:type="dxa"/>
            <w:tcBorders/>
            <w:shd w:fill="FFFFFF" w:val="clear"/>
            <w:vAlign w:val="center"/>
          </w:tcPr>
          <w:p>
            <w:pPr>
              <w:pStyle w:val="TableContents"/>
              <w:bidi w:val="0"/>
              <w:spacing w:before="0" w:after="283"/>
              <w:jc w:val="left"/>
            </w:pPr>
            <w:r>
              <w:t> </w:t>
            </w:r>
          </w:p>
        </w:tc>
        <w:tc>
          <w:tcPr>
            <w:tcW w:w="17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05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(6,141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43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increase in cash and cash equivalents</w:t>
            </w:r>
          </w:p>
        </w:tc>
        <w:tc>
          <w:tcPr>
            <w:tcW w:w="60" w:type="dxa"/>
            <w:tcBorders/>
            <w:shd w:fill="CCEEFF" w:val="clear"/>
            <w:vAlign w:val="center"/>
          </w:tcPr>
          <w:p>
            <w:pPr>
              <w:pStyle w:val="TableContents"/>
              <w:bidi w:val="0"/>
              <w:spacing w:before="0" w:after="283"/>
              <w:ind w:left="0" w:right="0" w:hanging="0"/>
              <w:jc w:val="left"/>
            </w:pPr>
            <w:r>
              <w:t> </w:t>
            </w:r>
          </w:p>
        </w:tc>
        <w:tc>
          <w:tcPr>
            <w:tcW w:w="17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6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405,422</w:t>
            </w:r>
          </w:p>
        </w:tc>
        <w:tc>
          <w:tcPr>
            <w:tcW w:w="111" w:type="dxa"/>
            <w:tcBorders/>
            <w:shd w:fill="CCEEFF" w:val="clear"/>
            <w:vAlign w:val="center"/>
          </w:tcPr>
          <w:p>
            <w:pPr>
              <w:pStyle w:val="TableContents"/>
              <w:bidi w:val="0"/>
              <w:spacing w:before="0" w:after="283"/>
              <w:jc w:val="left"/>
            </w:pPr>
            <w:r>
              <w:t> </w:t>
            </w:r>
          </w:p>
        </w:tc>
        <w:tc>
          <w:tcPr>
            <w:tcW w:w="83" w:type="dxa"/>
            <w:tcBorders/>
            <w:shd w:fill="CCEEFF" w:val="clear"/>
            <w:vAlign w:val="center"/>
          </w:tcPr>
          <w:p>
            <w:pPr>
              <w:pStyle w:val="TableContents"/>
              <w:bidi w:val="0"/>
              <w:spacing w:before="0" w:after="283"/>
              <w:ind w:left="0" w:right="0" w:hanging="0"/>
              <w:jc w:val="left"/>
            </w:pPr>
            <w:r>
              <w:t> </w:t>
            </w:r>
          </w:p>
        </w:tc>
        <w:tc>
          <w:tcPr>
            <w:tcW w:w="17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71,584</w:t>
            </w:r>
          </w:p>
        </w:tc>
        <w:tc>
          <w:tcPr>
            <w:tcW w:w="80" w:type="dxa"/>
            <w:tcBorders/>
            <w:shd w:fill="CCEEFF" w:val="clear"/>
            <w:vAlign w:val="center"/>
          </w:tcPr>
          <w:p>
            <w:pPr>
              <w:pStyle w:val="TableContents"/>
              <w:bidi w:val="0"/>
              <w:spacing w:before="0" w:after="283"/>
              <w:jc w:val="left"/>
            </w:pPr>
            <w:r>
              <w:t> </w:t>
            </w:r>
          </w:p>
        </w:tc>
      </w:tr>
    </w:tbl>
    <w:p>
      <w:pPr>
        <w:pStyle w:val="TextBody"/>
        <w:bidi w:val="0"/>
        <w:spacing w:before="0" w:after="0"/>
        <w:ind w:left="0" w:right="0" w:hanging="0"/>
        <w:jc w:val="left"/>
      </w:pPr>
      <w:r>
        <w:t>​</w:t>
      </w:r>
      <w:r>
        <w:rPr>
          <w:shd w:fill="FFFF00" w:val="clea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Net cash used in operating activities was $76.7 million during the nine months ended September 30, 2026 as compared to $144.9 million during the nine months ended September 30, 2025, a decrease of 47.1%. Net cash used in operating activities consisted of our net loss of $30.8 million, adjusted for non-cash items of $56.2 million, and a net use of cash from changes in working capital of $102.1 million.</w:t>
      </w:r>
    </w:p>
    <w:p>
      <w:pPr>
        <w:pStyle w:val="TextBody"/>
        <w:bidi w:val="0"/>
        <w:spacing w:before="0" w:after="0"/>
        <w:ind w:left="160" w:right="0" w:hanging="0"/>
        <w:jc w:val="both"/>
        <w:rPr>
          <w:caps w:val="false"/>
          <w:smallCaps w:val="false"/>
        </w:rPr>
      </w:pPr>
      <w:r>
        <w:rPr>
          <w:caps w:val="false"/>
          <w:smallCaps w:val="false"/>
        </w:rPr>
        <w:t>           </w:t>
      </w:r>
    </w:p>
    <w:p>
      <w:pPr>
        <w:pStyle w:val="TextBody"/>
        <w:bidi w:val="0"/>
        <w:spacing w:before="0" w:after="0"/>
        <w:ind w:left="160" w:right="0" w:hanging="0"/>
        <w:jc w:val="both"/>
        <w:rPr>
          <w:caps w:val="false"/>
          <w:smallCaps w:val="false"/>
        </w:rPr>
      </w:pPr>
      <w:r>
        <w:rPr>
          <w:caps w:val="false"/>
          <w:smallCaps w:val="false"/>
        </w:rPr>
        <w:t>           </w:t>
      </w:r>
      <w:r>
        <w:rPr>
          <w:rFonts w:ascii="Times New Roman" w:hAnsi="Times New Roman"/>
          <w:caps w:val="false"/>
          <w:smallCaps w:val="false"/>
          <w:sz w:val="20"/>
        </w:rPr>
        <w:t>The changes in working capital were primarily attributable to: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c>
          <w:tcPr>
            <w:tcW w:w="6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Accounts receivable, which increased by approximately $169.8 million during the nine months ended September 30, 2026, as compared to an increase of approximately $107.2 million during the nine months ended September 30, 2025, an increase of 58.4%, primarily due to increased revenues.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c>
          <w:tcPr>
            <w:tcW w:w="6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Inventory, which increased by approximately $186.6 million during the nine months ended September 30, 2026, as compared to an increase of approximately $84.6 million during the nine months ended September 30, 2025, an increase of 120.6%, primarily due to production ramp and build to support anticipated customer demand, as well as longer lead times for certain components.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c>
          <w:tcPr>
            <w:tcW w:w="6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283"/>
              <w:jc w:val="left"/>
            </w:pPr>
            <w:r>
              <w:t>Accounts payable increased by $347.5 million during the nine months ended September 30, 2026, compared to an increase of approximately $45.2 million during the nine months ended September 30, 2025, an increase of 669.2%. The increase in the current period was primarily due to higher inventory and equipment purchases supporting business growth.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540"/>
        <w:jc w:val="both"/>
        <w:rPr>
          <w:caps w:val="false"/>
          <w:smallCaps w:val="false"/>
        </w:rPr>
      </w:pPr>
      <w:r>
        <w:rPr>
          <w:caps w:val="false"/>
          <w:smallCaps w:val="false"/>
        </w:rPr>
        <w:t> </w:t>
      </w:r>
      <w:r>
        <w:rPr>
          <w:rFonts w:ascii="Times New Roman" w:hAnsi="Times New Roman"/>
          <w:caps w:val="false"/>
          <w:smallCaps w:val="false"/>
          <w:sz w:val="20"/>
        </w:rPr>
        <w:t>Management believes these changes are consistent with ongoing production ramp activities and customer demand dynamics, which may result in variability in operating cash flows from period to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Customer Concentration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As of September 30, 2026, Digicomm represented approximately 56.7% of total accounts receivable. This concentration is primarily attributable to customer purchasing patterns, shipment timing, and billing concentration. Management has extended longer than typical payment terms to Digicomm in order to ensure Digicomm has adequate inventory on hand to quickly provide products to customers when needed for their network builds. The Company has a multi-year history with Digicomm and over this period the Company’s collection experience has been good. Digicomm’s payment history has generally been relatively consistent over time. In addition, to the extent customers in the Company’s data center business continue to grow relative to Digicomm, Management expects Accounts Receivable concentration with Digicomm to decline.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continues to monitor credit exposure and collection trends related to significant customers and does not believe this concentration will create a material credit</w:t>
        <w:noBreakHyphen/>
        <w:t>risk.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the nine months ended September 30, 2026, revenues from Digicomm were approximately $257.0 million, representing approximately 41.9% of consolidated revenues. These revenues were primarily attributable to the CATV product category.</w:t>
      </w:r>
    </w:p>
    <w:p>
      <w:pPr>
        <w:pStyle w:val="TextBody"/>
        <w:bidi w:val="0"/>
        <w:spacing w:before="0" w:after="0"/>
        <w:ind w:left="0" w:right="0" w:firstLine="720"/>
        <w:jc w:val="left"/>
      </w:pPr>
      <w:r>
        <w:t> </w:t>
      </w:r>
    </w:p>
    <w:p>
      <w:pPr>
        <w:pStyle w:val="TextBody"/>
        <w:bidi w:val="0"/>
        <w:spacing w:before="0" w:after="0"/>
        <w:ind w:left="0" w:right="0" w:hanging="0"/>
        <w:jc w:val="left"/>
        <w:rPr>
          <w:rFonts w:ascii="Times New Roman;Times;serif" w:hAnsi="Times New Roman;Times;serif"/>
          <w:i/>
          <w:color w:val="000000"/>
          <w:sz w:val="20"/>
          <w:shd w:fill="FFFFFF" w:val="clear"/>
        </w:rPr>
      </w:pPr>
      <w:r>
        <w:rPr>
          <w:rFonts w:ascii="Times New Roman;Times;serif" w:hAnsi="Times New Roman;Times;serif"/>
          <w:i/>
          <w:color w:val="000000"/>
          <w:sz w:val="20"/>
          <w:shd w:fill="FFFFFF" w:val="clear"/>
        </w:rPr>
        <w:t>Investing Activities</w:t>
      </w:r>
    </w:p>
    <w:p>
      <w:pPr>
        <w:pStyle w:val="TextBody"/>
        <w:bidi w:val="0"/>
        <w:spacing w:before="0" w:after="0"/>
        <w:ind w:left="0" w:right="0" w:hanging="0"/>
        <w:jc w:val="left"/>
        <w:rPr>
          <w:shd w:fill="FFFFFF" w:val="clear"/>
        </w:rPr>
      </w:pPr>
      <w:r>
        <w:rPr>
          <w:shd w:fill="FFFFFF" w:val="clea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Net cash used in investing activities was $1.11 billion during the nine months ended September 30, 2026, compared with $125.7 million during the nine months ended September 30, 2025, an increase of 782.9%, primarily driven by capital expenditures of $702.1 million, which included $315.4 million capital expenditures in the US, $177.4 million in Taiwan, and $209.3 million in China. The increase in capital expenditures was primarily attributable to facility expansion and equipment purchases to support increased production capacity for the Company’s internet data center and broadband product lines, including investments related to Quantum Bandwidth products and the continued expansion of manufacturing operations for 400G, 800G, and 1.6T transceiver products. Management expects that 2026 capital expenditure will continue to be elevated above past year levels, driven by the need to expand production capacity to meet customer demand.</w:t>
      </w:r>
    </w:p>
    <w:p>
      <w:pPr>
        <w:pStyle w:val="TextBody"/>
        <w:bidi w:val="0"/>
        <w:spacing w:before="0" w:after="0"/>
        <w:ind w:left="0" w:right="0" w:firstLine="720"/>
        <w:jc w:val="left"/>
      </w:pPr>
      <w: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increase in prepayments for equipment and others, primarily reflects advance payments for equipment and facility related capital expenditures associated with the Company's manufacturing expansion projects in the United States, Taiwan and China. These advance payments are expected to be reclassified to property, plant and equipment as the related assets are received and placed into service.</w:t>
      </w:r>
    </w:p>
    <w:p>
      <w:pPr>
        <w:pStyle w:val="TextBody"/>
        <w:bidi w:val="0"/>
        <w:spacing w:before="0" w:after="0"/>
        <w:ind w:left="0" w:right="0" w:firstLine="720"/>
        <w:jc w:val="left"/>
      </w:pPr>
      <w: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During the third quarter of 2026, we entered into several agreements to support our manufacturing capacity expansion:</w:t>
      </w:r>
    </w:p>
    <w:p>
      <w:pPr>
        <w:pStyle w:val="TextBody"/>
        <w:bidi w:val="0"/>
        <w:spacing w:before="0" w:after="0"/>
        <w:ind w:left="0" w:right="0" w:hanging="0"/>
        <w:jc w:val="left"/>
      </w:pPr>
      <w:r>
        <w:t> </w:t>
      </w:r>
    </w:p>
    <w:p>
      <w:pPr>
        <w:pStyle w:val="TextBody"/>
        <w:bidi w:val="0"/>
        <w:ind w:left="0" w:right="0" w:hanging="0"/>
        <w:jc w:val="left"/>
      </w:pPr>
      <w:r>
        <w:t xml:space="preserve">  </w:t>
      </w:r>
    </w:p>
    <w:p>
      <w:pPr>
        <w:pStyle w:val="TextBody"/>
        <w:bidi w:val="0"/>
        <w:spacing w:before="0" w:after="0"/>
        <w:ind w:left="0" w:right="0" w:hanging="0"/>
        <w:jc w:val="left"/>
      </w:pPr>
      <w: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c>
          <w:tcPr>
            <w:tcW w:w="6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pPr>
            <w:r>
              <w:t> </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Blue Ridge Property Acquisition.</w:t>
            </w:r>
            <w:r>
              <w:rPr>
                <w:rFonts w:ascii="Times New Roman" w:hAnsi="Times New Roman"/>
                <w:caps w:val="false"/>
                <w:smallCaps w:val="false"/>
                <w:sz w:val="20"/>
              </w:rPr>
              <w:t> On September 4, 2026, we exercised our purchase option under our lease with Blue Ridge Commerce Center West LLC and acquired the approximately 153,928-square-foot facility we previously leased in Houston, Texas for approximately $26.8 million in cash. This payment is included in capital expenditures for the period.</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pPr>
            <w:r>
              <w:t> </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c>
          <w:tcPr>
            <w:tcW w:w="6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pPr>
            <w:r>
              <w:t> </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Hightower Phase II Leases.</w:t>
            </w:r>
            <w:r>
              <w:rPr>
                <w:rFonts w:ascii="Times New Roman" w:hAnsi="Times New Roman"/>
                <w:caps w:val="false"/>
                <w:smallCaps w:val="false"/>
                <w:sz w:val="20"/>
              </w:rPr>
              <w:t> On August 31, 2026, we entered into leases with Hightower Phase II Owner, LLC for two industrial buildings, Buildings 4 and 5, to be constructed in Houston, Texas, totaling approximately 1.1 million rentable square feet, with substantial completion anticipated approximately 16 months after signing. Upon execution, we paid a $750,000 security deposit and approximately $2.55 million for specified design modifications. An additional $10.55 million in security deposits is payable following commencement. The leases include an option to purchase the buildings for approximately $146.6 million, subject to adjustment. The landlord may terminate the leases if we do not timely exercise, or fail to close our option to purchase Hightower Buildings 1, 2 and 3 for $102.25 million.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pPr>
            <w:r>
              <w:t> </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c>
          <w:tcPr>
            <w:tcW w:w="6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Ningbo Lease.</w:t>
            </w:r>
            <w:r>
              <w:rPr>
                <w:rFonts w:ascii="Times New Roman" w:hAnsi="Times New Roman"/>
                <w:caps w:val="false"/>
                <w:smallCaps w:val="false"/>
                <w:sz w:val="20"/>
              </w:rPr>
              <w:t> On September 10, 2026, our subsidiary Global Technology, Inc. entered into a ten-year lease for an approximately 38,312-square-meter factory building in Ningbo, China, commencing September 16, 2026. We expect to incur capital expenditures to fit out the facility for production.</w:t>
            </w:r>
          </w:p>
          <w:p>
            <w:pPr>
              <w:pStyle w:val="TableContents"/>
              <w:bidi w:val="0"/>
              <w:spacing w:before="0" w:after="0"/>
              <w:ind w:left="0" w:right="0" w:hanging="0"/>
              <w:jc w:val="left"/>
              <w:rPr>
                <w:caps w:val="false"/>
                <w:smallCaps w:val="false"/>
              </w:rPr>
            </w:pPr>
            <w:r>
              <w:rPr>
                <w:caps w:val="false"/>
                <w:smallCaps w:val="false"/>
              </w:rPr>
              <w:t> </w:t>
            </w:r>
          </w:p>
        </w:tc>
      </w:tr>
    </w:tbl>
    <w:p>
      <w:pPr>
        <w:pStyle w:val="TextBody"/>
        <w:bidi w:val="0"/>
        <w:spacing w:before="0" w:after="0"/>
        <w:ind w:left="0" w:right="0" w:hanging="0"/>
        <w:jc w:val="left"/>
      </w:pPr>
      <w:r>
        <w:t> </w:t>
      </w:r>
    </w:p>
    <w:p>
      <w:pPr>
        <w:pStyle w:val="TextBody"/>
        <w:bidi w:val="0"/>
        <w:spacing w:before="0" w:after="0"/>
        <w:ind w:left="0" w:right="0" w:hanging="0"/>
        <w:jc w:val="left"/>
      </w:pPr>
      <w: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If we exercise the Hightower purchase options, our capital requirements would increase significantly. See Note 4, "Leases," and Note 18, "Commitments and Contingencies," for additional information.</w:t>
      </w:r>
    </w:p>
    <w:p>
      <w:pPr>
        <w:pStyle w:val="TextBody"/>
        <w:bidi w:val="0"/>
        <w:spacing w:before="0" w:after="0"/>
        <w:ind w:left="0" w:right="0" w:hanging="0"/>
        <w:jc w:val="left"/>
      </w:pPr>
      <w: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Management expects to continue to make investments in capacity expansion through at least the end of 2027 and believes that this expansion will provide adequate production capacity to meet expected demand for data center transceiver, semiconductor lasers, and Quantum Bandwidth broadband products, subject to demand variability, customer ramp timing, supply chain, and other factors. The Company expects to expand manufacturing operations in the U.S. and Taiwan during 2026 and 2027 primarily to support laser diode production and production of 800G and 1.6T transceivers.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Financing Activities</w:t>
      </w:r>
    </w:p>
    <w:p>
      <w:pPr>
        <w:pStyle w:val="TextBody"/>
        <w:bidi w:val="0"/>
        <w:spacing w:before="0" w:after="0"/>
        <w:ind w:left="0" w:right="0" w:hanging="0"/>
        <w:jc w:val="left"/>
      </w:pPr>
      <w: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Net cash provided by financing activities was $1.59 billion during the nine months ended September 30, 2026, compared with $348.2 million in the nine months ended September 30, 2025, an increase of 357.0%, primarily attributable to the net proceeds of $1.59 billion from the ATM Offerings, the net proceeds from line of credit borrowings of $20.5 million, the net proceeds of $40.0 million from issuance of notes payable and long-term debt, and net proceeds from bank acceptance payable of $16.5 million, partially offset by tax payments related to share-based compensation of $76.0 million.</w:t>
      </w:r>
    </w:p>
    <w:p>
      <w:pPr>
        <w:pStyle w:val="TextBody"/>
        <w:bidi w:val="0"/>
        <w:spacing w:before="0" w:after="0"/>
        <w:ind w:left="0" w:right="0" w:firstLine="720"/>
        <w:jc w:val="left"/>
      </w:pPr>
      <w: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30 </w:t>
      </w:r>
    </w:p>
    <w:p>
      <w:pPr>
        <w:pStyle w:val="HorizontalLine"/>
        <w:pBdr>
          <w:bottom w:val="double" w:sz="2" w:space="0" w:color="808080"/>
        </w:pBdr>
        <w:bidi w:val="0"/>
        <w:spacing w:before="0" w:after="283"/>
        <w:jc w:val="left"/>
      </w:pPr>
      <w:r/>
    </w:p>
    <w:p>
      <w:pPr>
        <w:pStyle w:val="TextBody"/>
        <w:bidi w:val="0"/>
        <w:jc w:val="left"/>
      </w:pPr>
      <w:hyperlink w:anchor="toc">
        <w:r>
          <w:rPr>
            <w:rStyle w:val="InternetLink"/>
            <w:rFonts w:ascii="Times New Roman;Times;serif" w:hAnsi="Times New Roman;Times;serif"/>
            <w:sz w:val="20"/>
          </w:rPr>
          <w:t>Table of Contents</w:t>
        </w:r>
      </w:hyperlink>
      <w:r>
        <w:t xml:space="preserve"> </w:t>
      </w:r>
    </w:p>
    <w:p>
      <w:pPr>
        <w:pStyle w:val="TextBody"/>
        <w:bidi w:val="0"/>
        <w:spacing w:before="0" w:after="0"/>
        <w:ind w:left="0" w:right="0" w:hanging="0"/>
        <w:jc w:val="left"/>
      </w:pPr>
      <w:r>
        <w:t> </w:t>
      </w:r>
    </w:p>
    <w:p>
      <w:pPr>
        <w:pStyle w:val="TextBody"/>
        <w:bidi w:val="0"/>
        <w:spacing w:before="0" w:after="0"/>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Loans and Commitments</w:t>
      </w:r>
    </w:p>
    <w:p>
      <w:pPr>
        <w:pStyle w:val="TextBody"/>
        <w:bidi w:val="0"/>
        <w:spacing w:before="0" w:after="0"/>
        <w:ind w:left="0" w:right="0" w:hanging="0"/>
        <w:jc w:val="left"/>
      </w:pPr>
      <w: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As of September 30, 2026, we have lending arrangements with one U.S. bank</w:t>
      </w:r>
      <w:r>
        <w:rPr>
          <w:rFonts w:ascii="Times New Roman;Times;serif" w:hAnsi="Times New Roman;Times;serif"/>
          <w:sz w:val="20"/>
        </w:rPr>
        <w:t xml:space="preserve">, four financial institutions in Taiwan, </w:t>
      </w:r>
      <w:r>
        <w:rPr>
          <w:rFonts w:ascii="Times New Roman;Times;serif" w:hAnsi="Times New Roman;Times;serif"/>
          <w:sz w:val="20"/>
          <w:shd w:fill="FFFFFF" w:val="clear"/>
        </w:rPr>
        <w:t xml:space="preserve">and five financial institutions in China. As of </w:t>
      </w:r>
      <w:r>
        <w:rPr>
          <w:rFonts w:ascii="Times New Roman;Times;serif" w:hAnsi="Times New Roman;Times;serif"/>
          <w:sz w:val="20"/>
        </w:rPr>
        <w:t>September 30, 2026</w:t>
      </w:r>
      <w:r>
        <w:rPr>
          <w:rFonts w:ascii="Times New Roman;Times;serif" w:hAnsi="Times New Roman;Times;serif"/>
          <w:sz w:val="20"/>
          <w:shd w:fill="FFFFFF" w:val="clear"/>
        </w:rPr>
        <w:t>, we were in compliance with the covenants in the lending arrangements. </w:t>
      </w:r>
      <w:r>
        <w:rPr>
          <w:rFonts w:ascii="Times New Roman;Times;serif" w:hAnsi="Times New Roman;Times;serif"/>
          <w:color w:val="000000"/>
          <w:sz w:val="20"/>
          <w:shd w:fill="FFFFFF" w:val="clear"/>
        </w:rPr>
        <w:t xml:space="preserve">As of </w:t>
      </w:r>
      <w:r>
        <w:rPr>
          <w:rFonts w:ascii="Times New Roman;Times;serif" w:hAnsi="Times New Roman;Times;serif"/>
          <w:sz w:val="20"/>
        </w:rPr>
        <w:t>September 30, 2026</w:t>
      </w:r>
      <w:r>
        <w:rPr>
          <w:rFonts w:ascii="Times New Roman;Times;serif" w:hAnsi="Times New Roman;Times;serif"/>
          <w:color w:val="000000"/>
          <w:sz w:val="20"/>
          <w:shd w:fill="FFFFFF" w:val="clear"/>
        </w:rPr>
        <w:t xml:space="preserve">, </w:t>
      </w:r>
      <w:r>
        <w:rPr>
          <w:rFonts w:ascii="Times New Roman;Times;serif" w:hAnsi="Times New Roman;Times;serif"/>
          <w:sz w:val="20"/>
        </w:rPr>
        <w:t>we had $63.4 million of unused borrowing capacity.</w:t>
      </w:r>
    </w:p>
    <w:p>
      <w:pPr>
        <w:pStyle w:val="TextBody"/>
        <w:bidi w:val="0"/>
        <w:spacing w:before="0" w:after="0"/>
        <w:ind w:left="0" w:right="0" w:firstLine="720"/>
        <w:jc w:val="left"/>
      </w:pPr>
      <w: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December 23, 2024, the Company issued $125.0 million of 2.75% convertible senior notes due 2030. The 2030 Notes will mature on January 15, 2030, unless earlier repurchased, redeemed or converted in accordance with their terms. </w:t>
      </w:r>
    </w:p>
    <w:p>
      <w:pPr>
        <w:pStyle w:val="TextBody"/>
        <w:bidi w:val="0"/>
        <w:spacing w:before="0" w:after="0"/>
        <w:ind w:left="0" w:right="0" w:firstLine="720"/>
        <w:jc w:val="left"/>
      </w:pPr>
      <w: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See Note 11 "Notes Payable and Long-term Debt" and Note 12 "Convertible Senior Notes" of our Condensed Consolidated Financial Statements for a description of our notes payable and long-term debt and convertible senior notes.</w:t>
      </w:r>
    </w:p>
    <w:p>
      <w:pPr>
        <w:pStyle w:val="TextBody"/>
        <w:bidi w:val="0"/>
        <w:spacing w:before="0" w:after="0"/>
        <w:ind w:left="0" w:right="0" w:hanging="0"/>
        <w:jc w:val="left"/>
      </w:pPr>
      <w: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Warrants</w:t>
      </w:r>
    </w:p>
    <w:p>
      <w:pPr>
        <w:pStyle w:val="TextBody"/>
        <w:bidi w:val="0"/>
        <w:spacing w:before="0" w:after="0"/>
        <w:ind w:left="0" w:right="0" w:hanging="0"/>
        <w:jc w:val="left"/>
      </w:pPr>
      <w: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On March 13, 2025, we issued a warrant (the "Customer Warrant") to an Amazon affiliate to purchase up to an aggregate of 7,945,399 shares of the Company's common stock ("Warrant Shares") at an exercise price of $23.6956 per share. The Customer Warrant has a contractual term of 10 years. At the time of issuance, the Customer Warrant is exercisable to purchase 1,324,233 Warrant Shares. The remaining 6,621,166 Warrant Shares may vest over the next 10 years, dependent on aggregate purchases by Amazon of $4 billion of our products over this time period. See Note 3 "Revenue Recognition" of our Condensed Consolidated Financial Statements for additional description of the Warrant Shares.</w:t>
      </w:r>
    </w:p>
    <w:p>
      <w:pPr>
        <w:pStyle w:val="TextBody"/>
        <w:bidi w:val="0"/>
        <w:spacing w:before="0" w:after="0"/>
        <w:ind w:left="0" w:right="0" w:hanging="0"/>
        <w:jc w:val="left"/>
      </w:pPr>
      <w: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Future Liquidity Needs</w:t>
      </w:r>
    </w:p>
    <w:p>
      <w:pPr>
        <w:pStyle w:val="TextBody"/>
        <w:bidi w:val="0"/>
        <w:spacing w:before="0" w:after="0"/>
        <w:ind w:left="0" w:right="0" w:hanging="0"/>
        <w:jc w:val="left"/>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had cash, cash equivalents and restricted cash of $621.5 million as of September 30, 2026, an increase of approximately $405.4 million compared to December 31, 2025. Our future capital requirements will depend on many factors including our growth rate, the timing and extent of spending to support our research and development efforts, the expansion of our sales and marketing activities, the introduction of new and enhanced products, the building improvement of new factories in Taiwan, China and the U.S., changes in our manufacturing capacity and the continuing market acceptance of our products. </w:t>
      </w:r>
    </w:p>
    <w:p>
      <w:pPr>
        <w:pStyle w:val="TextBody"/>
        <w:bidi w:val="0"/>
        <w:spacing w:before="0" w:after="0"/>
        <w:ind w:left="0" w:right="0" w:firstLine="720"/>
        <w:jc w:val="left"/>
      </w:pPr>
      <w: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As of September 30, 2026, we had a total loan balance (excluding convertible notes) of $96.6 million from various lenders and had $63.4 million available borrowing capacity on existing credit lines. Should additional liquidity be needed, our Board may authorize issuance of additional common stock under an at-the-market offering in the future (see the discussion of "ATM Offerings" above). </w:t>
      </w:r>
    </w:p>
    <w:p>
      <w:pPr>
        <w:pStyle w:val="TextBody"/>
        <w:bidi w:val="0"/>
        <w:spacing w:before="0" w:after="0"/>
        <w:ind w:left="0" w:right="0" w:firstLine="720"/>
        <w:jc w:val="left"/>
      </w:pPr>
      <w: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Subsequent to September 30, 2026, the Company further strengthened its liquidity position by entering into a new $200 million credit agreement consisting of $30 million in revolving credit commitments and $170 million in initial term loan commitments, with the ability to request up to an additional $50 million of incremental term loan commitments, subject to specified conditions.</w:t>
      </w:r>
    </w:p>
    <w:p>
      <w:pPr>
        <w:pStyle w:val="TextBody"/>
        <w:bidi w:val="0"/>
        <w:spacing w:before="0" w:after="0"/>
        <w:ind w:left="0" w:right="0" w:firstLine="720"/>
        <w:jc w:val="left"/>
      </w:pPr>
      <w: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the event we need additional liquidity, we will explore additional sources of liquidity. These additional sources of liquidity could include one, or a combination, of the following: (i) issuing equity or debt securities, (ii) incurring indebtedness secured by our assets and (iii) selling product lines, other assets and/or portions of our business. There can be no guarantee that we will be able to raise additional funds on terms acceptable to us, or at all.</w:t>
      </w:r>
    </w:p>
    <w:p>
      <w:pPr>
        <w:pStyle w:val="TextBody"/>
        <w:bidi w:val="0"/>
        <w:spacing w:before="0" w:after="0"/>
        <w:ind w:left="0" w:right="0" w:firstLine="360"/>
        <w:jc w:val="left"/>
      </w:pPr>
      <w:r>
        <w:t> </w:t>
      </w:r>
    </w:p>
    <w:p>
      <w:pPr>
        <w:pStyle w:val="TextBody"/>
        <w:bidi w:val="0"/>
        <w:spacing w:before="0" w:after="0"/>
        <w:ind w:left="160" w:right="0" w:hanging="180"/>
        <w:jc w:val="left"/>
        <w:rPr>
          <w:rFonts w:ascii="Times New Roman" w:hAnsi="Times New Roman"/>
          <w:b/>
          <w:caps w:val="false"/>
          <w:smallCaps w:val="false"/>
          <w:sz w:val="20"/>
        </w:rPr>
      </w:pPr>
      <w:r>
        <w:rPr>
          <w:rFonts w:ascii="Times New Roman" w:hAnsi="Times New Roman"/>
          <w:b/>
          <w:caps w:val="false"/>
          <w:smallCaps w:val="false"/>
          <w:sz w:val="20"/>
        </w:rPr>
        <w:t>Contractual Obligations and Commitments</w:t>
      </w:r>
    </w:p>
    <w:p>
      <w:pPr>
        <w:pStyle w:val="TextBody"/>
        <w:bidi w:val="0"/>
        <w:spacing w:before="0" w:after="0"/>
        <w:ind w:left="160" w:right="0" w:hanging="1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Please refer to Item 7 "Management's Discussion and Analysis of Financial Condition and Results of Operations" in the Company's Annual Report on Form 10-K for the fiscal year ended December 31, 2025 for a complete discussion of its contractual obligations and commitments.</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Except as described below, there have been no material changes during the nine months ended September 30, 2026 to the contractual obligations and commitments disclosed in Item 7 of our Annual Report on Form 10-K for the fiscal year ended December 31, 2025.</w:t>
      </w:r>
    </w:p>
    <w:p>
      <w:pPr>
        <w:pStyle w:val="TextBody"/>
        <w:bidi w:val="0"/>
        <w:spacing w:before="0" w:after="0"/>
        <w:ind w:left="0" w:right="0" w:firstLine="720"/>
        <w:jc w:val="left"/>
        <w:rPr>
          <w:caps w:val="false"/>
          <w:smallCaps w:val="false"/>
        </w:rPr>
      </w:pPr>
      <w:r>
        <w:rPr>
          <w:caps w:val="false"/>
          <w:smallCaps w:val="false"/>
        </w:rPr>
        <w:t> </w:t>
      </w:r>
    </w:p>
    <w:p>
      <w:pPr>
        <w:pStyle w:val="TextBody"/>
        <w:bidi w:val="0"/>
        <w:ind w:left="0" w:right="0" w:firstLine="720"/>
        <w:jc w:val="left"/>
      </w:pPr>
      <w:r>
        <w:t xml:space="preserve">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During the nine months ended September 30, 2026, we entered into the following agreements in connection with our manufacturing capacity expansion, each of which is described in our Current Reports on Form 8-K filed with the SEC:</w:t>
      </w:r>
    </w:p>
    <w:p>
      <w:pPr>
        <w:pStyle w:val="TextBody"/>
        <w:bidi w:val="0"/>
        <w:spacing w:before="0" w:after="0"/>
        <w:ind w:left="0" w:right="0" w:hanging="0"/>
        <w:jc w:val="left"/>
      </w:pPr>
      <w: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c>
          <w:tcPr>
            <w:tcW w:w="6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Hightower Leases.</w:t>
            </w:r>
            <w:r>
              <w:rPr>
                <w:rFonts w:ascii="Times New Roman" w:hAnsi="Times New Roman"/>
                <w:caps w:val="false"/>
                <w:smallCaps w:val="false"/>
                <w:sz w:val="20"/>
              </w:rPr>
              <w:t> Three leases with Hightower Phase I Owner, LLC, entered into on May 8, 2026, for Buildings 1, 2 and 3 in Houston, Texas, including an option to purchase the buildings for an aggregate price of $102.25 million. Two leases with its affiliate, Hightower Phase II Owner, LLC, entered into on August 31, 2026, for Buildings 4 and 5 to be constructed in Houston, Texas, each with a ten-year term and an option to purchase the buildings for an aggregate price of approximately $146.6 million, subject to adjustment. The Phase II leases may be terminated by the landlord if we do not timely exercise, or fail to close our purchase option under the Phase I leases. None of these leases had commenced as of September 30, 2026.</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c>
          <w:tcPr>
            <w:tcW w:w="6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Blue Ridge Property Purchase.</w:t>
            </w:r>
            <w:r>
              <w:rPr>
                <w:rFonts w:ascii="Times New Roman" w:hAnsi="Times New Roman"/>
                <w:caps w:val="false"/>
                <w:smallCaps w:val="false"/>
                <w:sz w:val="20"/>
              </w:rPr>
              <w:t> On September 4, 2026, we exercised our purchase option and acquired the property we previously leased from Blue Ridge Commerce Center West LLC in Houston, Texas, for approximately $26.8 million in cash.</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c>
          <w:tcPr>
            <w:tcW w:w="6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Ningbo Lease.</w:t>
            </w:r>
            <w:r>
              <w:rPr>
                <w:rFonts w:ascii="Times New Roman" w:hAnsi="Times New Roman"/>
                <w:caps w:val="false"/>
                <w:smallCaps w:val="false"/>
                <w:sz w:val="20"/>
              </w:rPr>
              <w:t> On September 10, 2026, our subsidiary Global Technology, Inc. entered into a ten-year lease for a factory building in Ningbo, China, commencing September 16, 2026, with annual rent of RMB 6.9 million, subject to periodic increases.</w:t>
            </w:r>
          </w:p>
        </w:tc>
      </w:tr>
    </w:tbl>
    <w:p>
      <w:pPr>
        <w:pStyle w:val="TextBody"/>
        <w:bidi w:val="0"/>
        <w:spacing w:before="0" w:after="0"/>
        <w:ind w:left="0" w:right="0" w:hanging="0"/>
        <w:jc w:val="left"/>
      </w:pPr>
      <w:r>
        <w:t> </w:t>
      </w:r>
    </w:p>
    <w:p>
      <w:pPr>
        <w:pStyle w:val="TextBody"/>
        <w:bidi w:val="0"/>
        <w:spacing w:before="0" w:after="0"/>
        <w:ind w:left="0" w:right="0" w:hanging="0"/>
        <w:jc w:val="left"/>
      </w:pPr>
      <w: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On November 2, 2026, we entered into supply agreements to secure a source of a key raw material used in certain of our products. The agreements include material purchase and prepayment commitments and are subject to risks relating to required regulatory approvals in China. If performed as contemplated, the agreements may materially affect our future liquidity, inventory levels and working-capital requirements. See Note 19, “Subsequent Events,” to our condensed consolidated financial statements for additional information.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See Note 4, "Leases," and Note 18, "Commitments and Contingencies," for additional information.</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Inflation </w:t>
      </w:r>
    </w:p>
    <w:p>
      <w:pPr>
        <w:pStyle w:val="TextBody"/>
        <w:bidi w:val="0"/>
        <w:spacing w:before="0" w:after="0"/>
        <w:ind w:left="0" w:right="0" w:firstLine="720"/>
        <w:jc w:val="left"/>
      </w:pPr>
      <w: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Inflation in the United States has moderated in recent periods.  However, certain cost components, including labor, materials, logistics and tariffs, remain elevated relative to historical levels. These cost pressures were partially offset by improved supply chain conditions, operational efficiencies and continued cost optimization initiatives.</w:t>
      </w:r>
      <w:r>
        <w:rPr>
          <w:rFonts w:ascii="Times New Roman" w:hAnsi="Times New Roman"/>
          <w:caps w:val="false"/>
          <w:smallCaps w:val="false"/>
          <w:color w:val="FF0000"/>
          <w:sz w:val="20"/>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During the nine months ended September 30, 2026, we continued to experience inflationary pressures in certain areas of our operations. However, these pressures did not have a material impact on our business, financial condition, or results of operations. While we have implemented pricing actions, supply chain diversification initiatives and operational efficiencies to mitigate the effects of inflation, there can be no assurance that these measures will fully offset future cost increases. Continued inflationary pressures, particularly related to labor, tariffs and raw materials, could adversely affect our cost structure, gross margins and operating results in future periods.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our Annual Report for the year ended December 31, 2025 and in the Notes to the Financial Statements herein, we identify our most critical accounting policies. In preparing the financial statements, we make assumptions, estimates and judgments that affect the amounts reported. We periodically evaluate our estimates and judgments that are most critical in nature which are related to revenue recognition, allowance for credit losses, inventory reserves, impairment of long-lived assets, service and product warranties, share based compensation expense, estimated useful lives of property and equipment, and income taxes. Our estimates are based on historical experience and on our future expectations that we believe are reasonable. The combination of these factors forms the basis for making judgments about the carrying values of assets and liabilities that are not readily apparent from other sources. Actual results are likely to differ from our current estimates and those differences may be material.</w:t>
      </w:r>
    </w:p>
    <w:p>
      <w:pPr>
        <w:pStyle w:val="TextBody"/>
        <w:bidi w:val="0"/>
        <w:spacing w:before="0" w:after="0"/>
        <w:ind w:left="0" w:right="0" w:firstLine="720"/>
        <w:jc w:val="left"/>
      </w:pPr>
      <w: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Critical Accounting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condensed consolidated financial statements are prepared in accordance with GAAP, which requires management to make estimates, assumptions and judgments that affect the reported amounts of assets, liabilities, revenue and expenses and the related disclosures. We periodically evaluate our estimates and judgments that are most critical in nature which are related to revenue recognition, allowance for credit losses, inventory reserves, valuation of long-lived assets, service and product warranty costs, share-based compensation expense, estimated useful lives of tangible and intangible assets, and income taxes. We base our estimates on historical experience and other assumptions that we believe are reasonable under the circumstances. The combination of these factors forms the basis for making judgments about the carrying values of assets and liabilities that are not readily apparent from other sources. Actual results may differ from these estimates and those differences may be material.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There have been no material changes to our critical accounting estimates as compared to those disclosed under "Management's Discussion and Analysis of Financial Condition and Results of Operations—Critical Accounting Estimates" in our Annual Report on Form 10-K for the fiscal year ended December 31, 2025.</w:t>
      </w:r>
    </w:p>
    <w:p>
      <w:pPr>
        <w:pStyle w:val="TextBody"/>
        <w:bidi w:val="0"/>
        <w:spacing w:before="0" w:after="0"/>
        <w:ind w:left="0" w:right="0" w:hanging="0"/>
        <w:jc w:val="left"/>
      </w:pPr>
      <w:r>
        <w:t> </w:t>
      </w:r>
    </w:p>
    <w:p>
      <w:pPr>
        <w:pStyle w:val="TextBody"/>
        <w:bidi w:val="0"/>
        <w:spacing w:before="0" w:after="0"/>
        <w:ind w:left="0" w:right="0" w:firstLine="720"/>
        <w:jc w:val="left"/>
      </w:pPr>
      <w: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31 </w:t>
      </w:r>
    </w:p>
    <w:p>
      <w:pPr>
        <w:pStyle w:val="HorizontalLine"/>
        <w:pBdr>
          <w:bottom w:val="double" w:sz="2" w:space="0" w:color="808080"/>
        </w:pBdr>
        <w:bidi w:val="0"/>
        <w:spacing w:before="0" w:after="283"/>
        <w:jc w:val="left"/>
      </w:pPr>
      <w:r/>
    </w:p>
    <w:p>
      <w:pPr>
        <w:pStyle w:val="TextBody"/>
        <w:bidi w:val="0"/>
        <w:spacing w:before="0" w:after="0"/>
        <w:jc w:val="left"/>
      </w:pPr>
      <w:hyperlink w:anchor="toc">
        <w:r>
          <w:rPr>
            <w:rStyle w:val="InternetLink"/>
            <w:rFonts w:ascii="Times New Roman;Times;serif" w:hAnsi="Times New Roman;Times;serif"/>
            <w:sz w:val="20"/>
          </w:rPr>
          <w:t>Table of Contents</w:t>
        </w:r>
      </w:hyperlink>
      <w:r>
        <w:t xml:space="preserve"> </w:t>
      </w:r>
    </w:p>
    <w:p>
      <w:pPr>
        <w:pStyle w:val="TextBody"/>
        <w:bidi w:val="0"/>
        <w:jc w:val="left"/>
      </w:pPr>
      <w:r>
        <w:t xml:space="preserve">  </w:t>
      </w:r>
    </w:p>
    <w:p>
      <w:pPr>
        <w:pStyle w:val="TextBody"/>
        <w:bidi w:val="0"/>
        <w:spacing w:before="0" w:after="0"/>
        <w:ind w:left="0" w:right="0" w:hanging="0"/>
        <w:jc w:val="left"/>
      </w:pPr>
      <w:r>
        <w:t> </w:t>
      </w:r>
    </w:p>
    <w:p>
      <w:pPr>
        <w:pStyle w:val="TextBody"/>
        <w:bidi w:val="0"/>
        <w:spacing w:before="0" w:after="0"/>
        <w:ind w:left="0" w:right="0" w:hanging="0"/>
        <w:jc w:val="left"/>
        <w:rPr>
          <w:rFonts w:ascii="Times New Roman;Times;serif" w:hAnsi="Times New Roman;Times;serif"/>
          <w:b/>
          <w:sz w:val="20"/>
        </w:rPr>
      </w:pPr>
      <w:bookmarkStart w:id="12" w:name="item3"/>
      <w:bookmarkEnd w:id="12"/>
      <w:r>
        <w:rPr>
          <w:rFonts w:ascii="Times New Roman;Times;serif" w:hAnsi="Times New Roman;Times;serif"/>
          <w:b/>
          <w:sz w:val="20"/>
        </w:rPr>
        <w:t>Item 3.   Quantitative and Qualitative Disclosures about Market Risk</w:t>
      </w:r>
    </w:p>
    <w:p>
      <w:pPr>
        <w:pStyle w:val="TextBody"/>
        <w:bidi w:val="0"/>
        <w:spacing w:before="0" w:after="0"/>
        <w:ind w:left="0" w:right="0" w:hanging="0"/>
        <w:jc w:val="left"/>
      </w:pPr>
      <w: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For quantitative and qualitative disclosures about market risk affecting the Company, see Item 7A – Quantitative and Qualitative Disclosures about Market Risk in our Annual Report for the fiscal year ended December 31, 2025. We do not believe the Company’s exposure to market risk has changed materially since December 31, 2025.</w:t>
      </w:r>
    </w:p>
    <w:p>
      <w:pPr>
        <w:pStyle w:val="TextBody"/>
        <w:bidi w:val="0"/>
        <w:spacing w:before="0" w:after="0"/>
        <w:ind w:left="0" w:right="0" w:firstLine="720"/>
        <w:jc w:val="left"/>
      </w:pPr>
      <w: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are affected by changes in currency exchange and interest rates. Our risk management programs are designed to reduce, but may not entirely eliminate, the impacts of these risks. We performed an evaluation of these risks to our financial positions as of December 31, 2025, and updated that analysis as of September 30, 2026, to determine whether material changes in market risks pertaining to currency and interest rates have occurred as a result of the changes in international trade policies, including tariffs and export controls. No material revisions were noted from the disclosures in Part II, Item 7A, "Quantitative and Qualitative Disclosures About Market Risk" of our Annual Report on Form 10-K for the fiscal year ended December 31, 2025.</w:t>
      </w:r>
    </w:p>
    <w:p>
      <w:pPr>
        <w:pStyle w:val="TextBody"/>
        <w:bidi w:val="0"/>
        <w:spacing w:before="0" w:after="0"/>
        <w:ind w:left="0" w:right="0" w:hanging="0"/>
        <w:jc w:val="left"/>
      </w:pPr>
      <w:r>
        <w:t> </w:t>
      </w:r>
    </w:p>
    <w:p>
      <w:pPr>
        <w:pStyle w:val="TextBody"/>
        <w:bidi w:val="0"/>
        <w:spacing w:before="0" w:after="0"/>
        <w:ind w:left="0" w:right="0" w:hanging="0"/>
        <w:jc w:val="left"/>
        <w:rPr>
          <w:rFonts w:ascii="Times New Roman;Times;serif" w:hAnsi="Times New Roman;Times;serif"/>
          <w:b/>
          <w:sz w:val="20"/>
        </w:rPr>
      </w:pPr>
      <w:bookmarkStart w:id="13" w:name="item4"/>
      <w:bookmarkEnd w:id="13"/>
      <w:r>
        <w:rPr>
          <w:rFonts w:ascii="Times New Roman;Times;serif" w:hAnsi="Times New Roman;Times;serif"/>
          <w:b/>
          <w:sz w:val="20"/>
        </w:rPr>
        <w:t>Item 4.   Controls and Procedures</w:t>
      </w:r>
    </w:p>
    <w:p>
      <w:pPr>
        <w:pStyle w:val="TextBody"/>
        <w:bidi w:val="0"/>
        <w:spacing w:before="0" w:after="0"/>
        <w:ind w:left="0" w:right="0" w:hanging="0"/>
        <w:jc w:val="left"/>
      </w:pPr>
      <w: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Our disclosure controls and procedures are designed to provide reasonable assurance of achieving their control objectives.</w:t>
      </w:r>
    </w:p>
    <w:p>
      <w:pPr>
        <w:pStyle w:val="TextBody"/>
        <w:bidi w:val="0"/>
        <w:spacing w:before="0" w:after="0"/>
        <w:ind w:left="0" w:right="0" w:firstLine="720"/>
        <w:jc w:val="left"/>
      </w:pPr>
      <w: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management, with the participation of our Chief Executive Officer and Chief Financial Officer, evaluated the effectiveness of our disclosure controls and procedures as of September 30, 2026. Based upon that evaluation, our Chief Executive Officer and Chief Financial Officer concluded that, as of the end of the period covered by this report, our disclosure controls and procedures were effective.</w:t>
      </w:r>
    </w:p>
    <w:p>
      <w:pPr>
        <w:pStyle w:val="TextBody"/>
        <w:bidi w:val="0"/>
        <w:spacing w:before="0" w:after="0"/>
        <w:ind w:left="0" w:right="0" w:firstLine="720"/>
        <w:jc w:val="left"/>
      </w:pPr>
      <w: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Changes in Internal Control over Financial Reporting</w:t>
      </w:r>
    </w:p>
    <w:p>
      <w:pPr>
        <w:pStyle w:val="TextBody"/>
        <w:bidi w:val="0"/>
        <w:spacing w:before="0" w:after="0"/>
        <w:ind w:left="0" w:right="0" w:hanging="0"/>
        <w:jc w:val="left"/>
      </w:pPr>
      <w:r>
        <w:t>​</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There were no changes in the Company’s internal control over financial reporting during the three months ended September 30, 2026 that have materially affected, or are reasonably likely to materially affect, the Company’s internal control over financial reporting.</w:t>
      </w:r>
    </w:p>
    <w:p>
      <w:pPr>
        <w:pStyle w:val="TextBody"/>
        <w:bidi w:val="0"/>
        <w:spacing w:before="0" w:after="0"/>
        <w:ind w:left="0" w:right="0" w:firstLine="720"/>
        <w:jc w:val="left"/>
      </w:pPr>
      <w: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32 </w:t>
      </w:r>
    </w:p>
    <w:p>
      <w:pPr>
        <w:pStyle w:val="HorizontalLine"/>
        <w:pBdr>
          <w:bottom w:val="double" w:sz="2" w:space="0" w:color="808080"/>
        </w:pBdr>
        <w:bidi w:val="0"/>
        <w:spacing w:before="0" w:after="283"/>
        <w:jc w:val="left"/>
      </w:pPr>
      <w:r/>
    </w:p>
    <w:p>
      <w:pPr>
        <w:pStyle w:val="TextBody"/>
        <w:bidi w:val="0"/>
        <w:jc w:val="left"/>
      </w:pPr>
      <w:hyperlink w:anchor="toc">
        <w:r>
          <w:rPr>
            <w:rStyle w:val="InternetLink"/>
            <w:rFonts w:ascii="Times New Roman;Times;serif" w:hAnsi="Times New Roman;Times;serif"/>
            <w:sz w:val="20"/>
          </w:rPr>
          <w:t>Table of Contents</w:t>
        </w:r>
      </w:hyperlink>
      <w:r>
        <w:t xml:space="preserve"> </w:t>
      </w:r>
    </w:p>
    <w:p>
      <w:pPr>
        <w:pStyle w:val="TextBody"/>
        <w:bidi w:val="0"/>
        <w:spacing w:before="0" w:after="0"/>
        <w:ind w:left="0" w:right="0" w:hanging="0"/>
        <w:jc w:val="left"/>
      </w:pPr>
      <w:r>
        <w:t> </w:t>
      </w:r>
    </w:p>
    <w:p>
      <w:pPr>
        <w:pStyle w:val="TextBody"/>
        <w:bidi w:val="0"/>
        <w:spacing w:before="0" w:after="0"/>
        <w:ind w:left="0" w:right="0" w:hanging="0"/>
        <w:jc w:val="center"/>
        <w:rPr>
          <w:rFonts w:ascii="Times New Roman;Times;serif" w:hAnsi="Times New Roman;Times;serif"/>
          <w:b/>
          <w:sz w:val="20"/>
        </w:rPr>
      </w:pPr>
      <w:bookmarkStart w:id="14" w:name="part2"/>
      <w:bookmarkEnd w:id="14"/>
      <w:r>
        <w:rPr>
          <w:rFonts w:ascii="Times New Roman;Times;serif" w:hAnsi="Times New Roman;Times;serif"/>
          <w:b/>
          <w:sz w:val="20"/>
        </w:rPr>
        <w:t>Part II. Other Information</w:t>
      </w:r>
    </w:p>
    <w:p>
      <w:pPr>
        <w:pStyle w:val="TextBody"/>
        <w:bidi w:val="0"/>
        <w:spacing w:before="0" w:after="283"/>
        <w:jc w:val="left"/>
      </w:pPr>
      <w:r>
        <w:t>​</w:t>
      </w:r>
    </w:p>
    <w:p>
      <w:pPr>
        <w:pStyle w:val="TextBody"/>
        <w:bidi w:val="0"/>
        <w:spacing w:before="0" w:after="0"/>
        <w:ind w:left="0" w:right="0" w:hanging="0"/>
        <w:jc w:val="left"/>
        <w:rPr>
          <w:rFonts w:ascii="Times New Roman;Times;serif" w:hAnsi="Times New Roman;Times;serif"/>
          <w:b/>
          <w:sz w:val="20"/>
        </w:rPr>
      </w:pPr>
      <w:bookmarkStart w:id="15" w:name="legal"/>
      <w:bookmarkEnd w:id="15"/>
      <w:r>
        <w:rPr>
          <w:rFonts w:ascii="Times New Roman;Times;serif" w:hAnsi="Times New Roman;Times;serif"/>
          <w:b/>
          <w:sz w:val="20"/>
        </w:rPr>
        <w:t>Item 1.   Legal Proceedings</w:t>
      </w:r>
    </w:p>
    <w:p>
      <w:pPr>
        <w:pStyle w:val="TextBody"/>
        <w:bidi w:val="0"/>
        <w:spacing w:before="0" w:after="0"/>
        <w:ind w:left="0" w:right="0" w:hanging="0"/>
        <w:jc w:val="left"/>
      </w:pPr>
      <w: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Information with respect to legal proceedings can be found in Note 18 to the Condensed Consolidated Financial Statements contained in Part 1, Item 1 of this report.</w:t>
      </w:r>
    </w:p>
    <w:p>
      <w:pPr>
        <w:pStyle w:val="TextBody"/>
        <w:bidi w:val="0"/>
        <w:spacing w:before="0" w:after="0"/>
        <w:ind w:left="0" w:right="0" w:firstLine="720"/>
        <w:jc w:val="left"/>
      </w:pPr>
      <w:r>
        <w:t> </w:t>
      </w:r>
    </w:p>
    <w:p>
      <w:pPr>
        <w:pStyle w:val="TextBody"/>
        <w:bidi w:val="0"/>
        <w:spacing w:before="0" w:after="0"/>
        <w:ind w:left="0" w:right="0" w:hanging="0"/>
        <w:jc w:val="left"/>
        <w:rPr>
          <w:rFonts w:ascii="Times New Roman;Times;serif" w:hAnsi="Times New Roman;Times;serif"/>
          <w:b/>
          <w:sz w:val="20"/>
        </w:rPr>
      </w:pPr>
      <w:bookmarkStart w:id="16" w:name="risk"/>
      <w:bookmarkEnd w:id="16"/>
      <w:r>
        <w:rPr>
          <w:rFonts w:ascii="Times New Roman;Times;serif" w:hAnsi="Times New Roman;Times;serif"/>
          <w:b/>
          <w:sz w:val="20"/>
        </w:rPr>
        <w:t>Item 1A.  Risk Factors</w:t>
      </w:r>
    </w:p>
    <w:p>
      <w:pPr>
        <w:pStyle w:val="TextBody"/>
        <w:bidi w:val="0"/>
        <w:spacing w:before="0" w:after="0"/>
        <w:ind w:left="0" w:right="0" w:hanging="0"/>
        <w:jc w:val="left"/>
      </w:pPr>
      <w: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Investing in our common stock involves a high degree of risk. See Part I, Item 1A, "Risk Factors", of our Annual Report on Form 10-K for the year ended</w:t>
      </w:r>
      <w:r>
        <w:rPr>
          <w:rFonts w:ascii="Times New Roman;Times;serif" w:hAnsi="Times New Roman;Times;serif"/>
          <w:sz w:val="20"/>
          <w:shd w:fill="FFFFFF" w:val="clear"/>
        </w:rPr>
        <w:t xml:space="preserve"> December 31, 2025 f</w:t>
      </w:r>
      <w:r>
        <w:rPr>
          <w:rFonts w:ascii="Times New Roman;Times;serif" w:hAnsi="Times New Roman;Times;serif"/>
          <w:sz w:val="20"/>
        </w:rPr>
        <w:t>or a detailed discussion of the risk factors affecting our Company. As of September 30, 2026, there have been no material changes to those risk factors.</w:t>
      </w:r>
    </w:p>
    <w:p>
      <w:pPr>
        <w:pStyle w:val="TextBody"/>
        <w:bidi w:val="0"/>
        <w:spacing w:before="0" w:after="0"/>
        <w:ind w:left="0" w:right="0" w:firstLine="720"/>
        <w:jc w:val="left"/>
      </w:pPr>
      <w:r>
        <w:t> </w:t>
      </w:r>
    </w:p>
    <w:p>
      <w:pPr>
        <w:pStyle w:val="TextBody"/>
        <w:bidi w:val="0"/>
        <w:spacing w:before="0" w:after="0"/>
        <w:ind w:left="0" w:right="0" w:firstLine="720"/>
        <w:jc w:val="left"/>
      </w:pPr>
      <w:r>
        <w:t> </w:t>
      </w:r>
    </w:p>
    <w:p>
      <w:pPr>
        <w:pStyle w:val="TextBody"/>
        <w:bidi w:val="0"/>
        <w:spacing w:before="0" w:after="0"/>
        <w:ind w:left="0" w:right="0" w:firstLine="720"/>
        <w:jc w:val="left"/>
      </w:pPr>
      <w: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33 </w:t>
      </w:r>
    </w:p>
    <w:p>
      <w:pPr>
        <w:pStyle w:val="HorizontalLine"/>
        <w:pBdr>
          <w:bottom w:val="double" w:sz="2" w:space="0" w:color="808080"/>
        </w:pBdr>
        <w:bidi w:val="0"/>
        <w:spacing w:before="0" w:after="283"/>
        <w:jc w:val="left"/>
      </w:pPr>
      <w:r/>
    </w:p>
    <w:p>
      <w:pPr>
        <w:pStyle w:val="TextBody"/>
        <w:bidi w:val="0"/>
        <w:spacing w:before="0" w:after="0"/>
        <w:jc w:val="left"/>
      </w:pPr>
      <w:hyperlink w:anchor="toc">
        <w:r>
          <w:rPr>
            <w:rStyle w:val="InternetLink"/>
            <w:rFonts w:ascii="Times New Roman;Times;serif" w:hAnsi="Times New Roman;Times;serif"/>
            <w:sz w:val="20"/>
          </w:rPr>
          <w:t>Table of Contents</w:t>
        </w:r>
      </w:hyperlink>
      <w:r>
        <w:t xml:space="preserve"> </w:t>
      </w:r>
    </w:p>
    <w:p>
      <w:pPr>
        <w:pStyle w:val="TextBody"/>
        <w:bidi w:val="0"/>
        <w:spacing w:before="0" w:after="283"/>
        <w:jc w:val="left"/>
      </w:pPr>
      <w:r>
        <w:t xml:space="preserve">  </w:t>
      </w:r>
    </w:p>
    <w:p>
      <w:pPr>
        <w:pStyle w:val="TextBody"/>
        <w:bidi w:val="0"/>
        <w:spacing w:before="0" w:after="0"/>
        <w:ind w:left="0" w:right="0" w:hanging="0"/>
        <w:jc w:val="both"/>
      </w:pPr>
      <w:bookmarkStart w:id="17" w:name="item5"/>
      <w:bookmarkEnd w:id="17"/>
      <w:r>
        <w:rPr>
          <w:rFonts w:ascii="Times New Roman;Times;serif" w:hAnsi="Times New Roman;Times;serif"/>
          <w:b/>
          <w:sz w:val="20"/>
        </w:rPr>
        <w:t xml:space="preserve">Item </w:t>
      </w:r>
      <w:r>
        <w:rPr>
          <w:rStyle w:val="Emphasis"/>
          <w:rFonts w:ascii="Times New Roman;Times;serif" w:hAnsi="Times New Roman;Times;serif"/>
          <w:b/>
          <w:sz w:val="20"/>
        </w:rPr>
        <w:t>5.</w:t>
      </w:r>
      <w:r>
        <w:rPr>
          <w:rFonts w:ascii="Times New Roman;Times;serif" w:hAnsi="Times New Roman;Times;serif"/>
          <w:b/>
          <w:sz w:val="20"/>
        </w:rPr>
        <w:t xml:space="preserve"> Other Information </w:t>
      </w:r>
    </w:p>
    <w:p>
      <w:pPr>
        <w:pStyle w:val="TextBody"/>
        <w:bidi w:val="0"/>
        <w:spacing w:before="0" w:after="0"/>
        <w:ind w:left="0" w:right="0" w:hanging="0"/>
        <w:jc w:val="left"/>
      </w:pPr>
      <w:r>
        <w:t> </w:t>
      </w:r>
    </w:p>
    <w:p>
      <w:pPr>
        <w:pStyle w:val="TextBody"/>
        <w:bidi w:val="0"/>
        <w:spacing w:before="0" w:after="0"/>
        <w:ind w:left="0" w:right="0" w:hanging="0"/>
        <w:jc w:val="left"/>
      </w:pPr>
      <w:r>
        <w:rPr>
          <w:rFonts w:ascii="Times New Roman;Times;serif" w:hAnsi="Times New Roman;Times;serif"/>
          <w:sz w:val="20"/>
        </w:rPr>
        <w:t>(a) </w:t>
      </w:r>
      <w:r>
        <w:rPr>
          <w:rStyle w:val="Emphasis"/>
          <w:rFonts w:ascii="Times New Roman;Times;serif" w:hAnsi="Times New Roman;Times;serif"/>
          <w:sz w:val="20"/>
        </w:rPr>
        <w:t>None</w:t>
      </w:r>
    </w:p>
    <w:p>
      <w:pPr>
        <w:pStyle w:val="TextBody"/>
        <w:bidi w:val="0"/>
        <w:spacing w:before="0" w:after="0"/>
        <w:ind w:left="0" w:right="0" w:hanging="0"/>
        <w:jc w:val="left"/>
      </w:pPr>
      <w:r>
        <w:rPr>
          <w:rFonts w:ascii="Times New Roman;Times;serif" w:hAnsi="Times New Roman;Times;serif"/>
          <w:sz w:val="20"/>
        </w:rPr>
        <w:br/>
        <w:t xml:space="preserve">(b) </w:t>
      </w:r>
      <w:r>
        <w:rPr>
          <w:rStyle w:val="Emphasis"/>
          <w:rFonts w:ascii="Times New Roman;Times;serif" w:hAnsi="Times New Roman;Times;serif"/>
          <w:sz w:val="20"/>
        </w:rPr>
        <w:t>None</w:t>
      </w:r>
    </w:p>
    <w:p>
      <w:pPr>
        <w:pStyle w:val="TextBody"/>
        <w:bidi w:val="0"/>
        <w:spacing w:before="0" w:after="0"/>
        <w:ind w:left="0" w:right="0" w:hanging="0"/>
        <w:jc w:val="left"/>
      </w:pPr>
      <w:r>
        <w:t> </w:t>
      </w:r>
    </w:p>
    <w:p>
      <w:pPr>
        <w:pStyle w:val="TextBody"/>
        <w:bidi w:val="0"/>
        <w:spacing w:before="0" w:after="0"/>
        <w:ind w:left="0" w:right="0" w:hanging="0"/>
        <w:jc w:val="left"/>
      </w:pPr>
      <w:r>
        <w:rPr>
          <w:rFonts w:ascii="Times New Roman;Times;serif" w:hAnsi="Times New Roman;Times;serif"/>
          <w:sz w:val="20"/>
        </w:rPr>
        <w:t>(c)</w:t>
      </w:r>
      <w:r>
        <w:rPr>
          <w:rFonts w:ascii="Times New Roman;Times;serif" w:hAnsi="Times New Roman;Times;serif"/>
          <w:color w:val="0782C1"/>
          <w:sz w:val="20"/>
        </w:rPr>
        <w:t> </w:t>
      </w:r>
      <w:r>
        <w:rPr>
          <w:rFonts w:ascii="Times New Roman;Times;serif" w:hAnsi="Times New Roman;Times;serif"/>
          <w:sz w:val="20"/>
        </w:rPr>
        <w:t xml:space="preserve">During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September 30, 2026, none</w:t>
      </w:r>
      <w:r>
        <w:rPr>
          <w:rFonts w:ascii="Times New Roman;Times;serif" w:hAnsi="Times New Roman;Times;serif"/>
          <w:sz w:val="20"/>
        </w:rPr>
        <w:t xml:space="preserve"> of our directors or executive officers adopted or terminated any Rule </w:t>
      </w:r>
      <w:r>
        <w:rPr>
          <w:rStyle w:val="Emphasis"/>
          <w:rFonts w:ascii="Times New Roman;Times;serif" w:hAnsi="Times New Roman;Times;serif"/>
          <w:sz w:val="20"/>
        </w:rPr>
        <w:t>10b5</w:t>
      </w:r>
      <w:r>
        <w:rPr>
          <w:rFonts w:ascii="Times New Roman;Times;serif" w:hAnsi="Times New Roman;Times;serif"/>
          <w:sz w:val="20"/>
        </w:rPr>
        <w:t>-</w:t>
      </w:r>
      <w:r>
        <w:rPr>
          <w:rStyle w:val="Emphasis"/>
          <w:rFonts w:ascii="Times New Roman;Times;serif" w:hAnsi="Times New Roman;Times;serif"/>
          <w:sz w:val="20"/>
        </w:rPr>
        <w:t>1</w:t>
      </w:r>
      <w:r>
        <w:rPr>
          <w:rFonts w:ascii="Times New Roman;Times;serif" w:hAnsi="Times New Roman;Times;serif"/>
          <w:sz w:val="20"/>
        </w:rPr>
        <w:t xml:space="preserve"> trading arrangement or any non-Rule </w:t>
      </w:r>
      <w:r>
        <w:rPr>
          <w:rStyle w:val="Emphasis"/>
          <w:rFonts w:ascii="Times New Roman;Times;serif" w:hAnsi="Times New Roman;Times;serif"/>
          <w:sz w:val="20"/>
        </w:rPr>
        <w:t>10b5</w:t>
      </w:r>
      <w:r>
        <w:rPr>
          <w:rFonts w:ascii="Times New Roman;Times;serif" w:hAnsi="Times New Roman;Times;serif"/>
          <w:sz w:val="20"/>
        </w:rPr>
        <w:t>-</w:t>
      </w:r>
      <w:r>
        <w:rPr>
          <w:rStyle w:val="Emphasis"/>
          <w:rFonts w:ascii="Times New Roman;Times;serif" w:hAnsi="Times New Roman;Times;serif"/>
          <w:sz w:val="20"/>
        </w:rPr>
        <w:t>1</w:t>
      </w:r>
      <w:r>
        <w:rPr>
          <w:rFonts w:ascii="Times New Roman;Times;serif" w:hAnsi="Times New Roman;Times;serif"/>
          <w:sz w:val="20"/>
        </w:rPr>
        <w:t xml:space="preserve"> trading arrangement (such terms are defined in Item </w:t>
      </w:r>
      <w:r>
        <w:rPr>
          <w:rStyle w:val="Emphasis"/>
          <w:rFonts w:ascii="Times New Roman;Times;serif" w:hAnsi="Times New Roman;Times;serif"/>
          <w:sz w:val="20"/>
        </w:rPr>
        <w:t>408</w:t>
      </w:r>
      <w:r>
        <w:rPr>
          <w:rFonts w:ascii="Times New Roman;Times;serif" w:hAnsi="Times New Roman;Times;serif"/>
          <w:sz w:val="20"/>
        </w:rPr>
        <w:t xml:space="preserve"> of Regulation S-K). </w:t>
      </w:r>
    </w:p>
    <w:p>
      <w:pPr>
        <w:pStyle w:val="TextBody"/>
        <w:bidi w:val="0"/>
        <w:spacing w:before="0" w:after="0"/>
        <w:ind w:left="0" w:right="0" w:hanging="0"/>
        <w:jc w:val="left"/>
      </w:pPr>
      <w: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pPr>
      <w:r>
        <w:t xml:space="preserve">  </w:t>
      </w:r>
    </w:p>
    <w:p>
      <w:pPr>
        <w:pStyle w:val="TextBody"/>
        <w:bidi w:val="0"/>
        <w:spacing w:before="0" w:after="0"/>
        <w:ind w:left="0" w:right="0" w:hanging="0"/>
        <w:jc w:val="left"/>
        <w:rPr>
          <w:rFonts w:ascii="Times New Roman;Times;serif" w:hAnsi="Times New Roman;Times;serif"/>
          <w:b/>
          <w:sz w:val="20"/>
        </w:rPr>
      </w:pPr>
      <w:bookmarkStart w:id="18" w:name="exhibits"/>
      <w:bookmarkEnd w:id="18"/>
      <w:r>
        <w:rPr>
          <w:rFonts w:ascii="Times New Roman;Times;serif" w:hAnsi="Times New Roman;Times;serif"/>
          <w:b/>
          <w:sz w:val="20"/>
        </w:rPr>
        <w:t>Item 6.   Exhibits</w:t>
      </w:r>
    </w:p>
    <w:p>
      <w:pPr>
        <w:pStyle w:val="TextBody"/>
        <w:bidi w:val="0"/>
        <w:spacing w:before="0" w:after="0"/>
        <w:ind w:left="0" w:right="0" w:hanging="0"/>
        <w:jc w:val="left"/>
      </w:pPr>
      <w: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See Exhibit Index.</w:t>
      </w:r>
    </w:p>
    <w:p>
      <w:pPr>
        <w:pStyle w:val="TextBody"/>
        <w:bidi w:val="0"/>
        <w:spacing w:before="0" w:after="0"/>
        <w:ind w:left="0" w:right="0" w:hanging="0"/>
        <w:jc w:val="left"/>
      </w:pPr>
      <w: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 INDEX</w:t>
      </w:r>
    </w:p>
    <w:p>
      <w:pPr>
        <w:pStyle w:val="TextBody"/>
        <w:bidi w:val="0"/>
        <w:spacing w:before="0" w:after="0"/>
        <w:ind w:left="0" w:right="0" w:hanging="0"/>
        <w:jc w:val="center"/>
      </w:pPr>
      <w:r>
        <w:t>​</w:t>
      </w:r>
    </w:p>
    <w:tbl>
      <w:tblPr>
        <w:tblW w:w="10205" w:type="dxa"/>
        <w:jc w:val="left"/>
        <w:tblInd w:w="0" w:type="dxa"/>
        <w:tblLayout w:type="fixed"/>
        <w:tblCellMar>
          <w:top w:w="0" w:type="dxa"/>
          <w:left w:w="0" w:type="dxa"/>
          <w:bottom w:w="28" w:type="dxa"/>
          <w:right w:w="0" w:type="dxa"/>
        </w:tblCellMar>
      </w:tblPr>
      <w:tblGrid>
        <w:gridCol w:w="710"/>
        <w:gridCol w:w="240"/>
        <w:gridCol w:w="9255"/>
      </w:tblGrid>
      <w:tr>
        <w:tc>
          <w:tcPr>
            <w:tcW w:w="71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Number</w:t>
            </w:r>
          </w:p>
        </w:tc>
        <w:tc>
          <w:tcPr>
            <w:tcW w:w="240" w:type="dxa"/>
            <w:tcBorders/>
            <w:tcMar>
              <w:bottom w:w="0" w:type="dxa"/>
            </w:tcMar>
            <w:vAlign w:val="center"/>
          </w:tcPr>
          <w:p>
            <w:pPr>
              <w:pStyle w:val="TableContents"/>
              <w:bidi w:val="0"/>
              <w:spacing w:before="0" w:after="0"/>
              <w:ind w:left="0" w:right="0" w:hanging="0"/>
              <w:jc w:val="left"/>
            </w:pPr>
            <w:r>
              <w:t>    </w:t>
            </w:r>
          </w:p>
        </w:tc>
        <w:tc>
          <w:tcPr>
            <w:tcW w:w="925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Description</w:t>
            </w:r>
          </w:p>
        </w:tc>
      </w:tr>
      <w:tr>
        <w:tc>
          <w:tcPr>
            <w:tcW w:w="710" w:type="dxa"/>
            <w:tcBorders/>
            <w:tcMar>
              <w:bottom w:w="0" w:type="dxa"/>
            </w:tcMar>
            <w:vAlign w:val="center"/>
          </w:tcPr>
          <w:p>
            <w:pPr>
              <w:pStyle w:val="TableContents"/>
              <w:bidi w:val="0"/>
              <w:spacing w:before="0" w:after="283"/>
              <w:jc w:val="left"/>
            </w:pPr>
            <w:r>
              <w:t>3.1*</w:t>
            </w:r>
          </w:p>
        </w:tc>
        <w:tc>
          <w:tcPr>
            <w:tcW w:w="240" w:type="dxa"/>
            <w:tcBorders/>
            <w:tcMar>
              <w:bottom w:w="0" w:type="dxa"/>
            </w:tcMar>
            <w:vAlign w:val="center"/>
          </w:tcPr>
          <w:p>
            <w:pPr>
              <w:pStyle w:val="TableContents"/>
              <w:bidi w:val="0"/>
              <w:spacing w:before="0" w:after="283"/>
              <w:jc w:val="left"/>
            </w:pPr>
            <w:r>
              <w:t> </w:t>
            </w:r>
          </w:p>
        </w:tc>
        <w:tc>
          <w:tcPr>
            <w:tcW w:w="9255" w:type="dxa"/>
            <w:tcBorders/>
            <w:tcMar>
              <w:bottom w:w="0" w:type="dxa"/>
            </w:tcMar>
            <w:vAlign w:val="center"/>
          </w:tcPr>
          <w:p>
            <w:pPr>
              <w:pStyle w:val="TableContents"/>
              <w:bidi w:val="0"/>
              <w:spacing w:before="0" w:after="283"/>
              <w:jc w:val="left"/>
            </w:pPr>
            <w:hyperlink r:id="rId2">
              <w:r>
                <w:rPr>
                  <w:rStyle w:val="InternetLink"/>
                </w:rPr>
                <w:t>Restated Certificate of Incorporation (filed as Exhibit 3.2 to the Registrant's Current Report on Form 8-K filed with the Securities and Exchange Commission on June 12, 2025).</w:t>
              </w:r>
            </w:hyperlink>
          </w:p>
        </w:tc>
      </w:tr>
      <w:tr>
        <w:tc>
          <w:tcPr>
            <w:tcW w:w="710" w:type="dxa"/>
            <w:tcBorders/>
            <w:tcMar>
              <w:bottom w:w="0" w:type="dxa"/>
            </w:tcMar>
            <w:vAlign w:val="center"/>
          </w:tcPr>
          <w:p>
            <w:pPr>
              <w:pStyle w:val="TableContents"/>
              <w:bidi w:val="0"/>
              <w:spacing w:before="0" w:after="0"/>
              <w:ind w:left="0" w:right="0" w:hanging="0"/>
              <w:jc w:val="left"/>
            </w:pPr>
            <w:r>
              <w:t> </w:t>
            </w:r>
          </w:p>
        </w:tc>
        <w:tc>
          <w:tcPr>
            <w:tcW w:w="240" w:type="dxa"/>
            <w:tcBorders/>
            <w:tcMar>
              <w:bottom w:w="0" w:type="dxa"/>
            </w:tcMar>
            <w:vAlign w:val="center"/>
          </w:tcPr>
          <w:p>
            <w:pPr>
              <w:pStyle w:val="TableContents"/>
              <w:bidi w:val="0"/>
              <w:spacing w:before="0" w:after="0"/>
              <w:ind w:left="0" w:right="0" w:hanging="0"/>
              <w:jc w:val="left"/>
            </w:pPr>
            <w:r>
              <w:t>​</w:t>
            </w:r>
          </w:p>
        </w:tc>
        <w:tc>
          <w:tcPr>
            <w:tcW w:w="9255" w:type="dxa"/>
            <w:tcBorders/>
            <w:tcMar>
              <w:bottom w:w="0" w:type="dxa"/>
            </w:tcMar>
            <w:vAlign w:val="center"/>
          </w:tcPr>
          <w:p>
            <w:pPr>
              <w:pStyle w:val="TableContents"/>
              <w:bidi w:val="0"/>
              <w:spacing w:before="0" w:after="0"/>
              <w:ind w:left="0" w:right="0" w:hanging="0"/>
              <w:jc w:val="left"/>
            </w:pPr>
            <w:r>
              <w:t> </w:t>
            </w:r>
          </w:p>
        </w:tc>
      </w:tr>
      <w:tr>
        <w:tc>
          <w:tcPr>
            <w:tcW w:w="71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w:t>
            </w:r>
          </w:p>
        </w:tc>
        <w:tc>
          <w:tcPr>
            <w:tcW w:w="240" w:type="dxa"/>
            <w:tcBorders/>
            <w:tcMar>
              <w:bottom w:w="0" w:type="dxa"/>
            </w:tcMar>
            <w:vAlign w:val="center"/>
          </w:tcPr>
          <w:p>
            <w:pPr>
              <w:pStyle w:val="TableContents"/>
              <w:bidi w:val="0"/>
              <w:spacing w:before="0" w:after="0"/>
              <w:ind w:left="0" w:right="0" w:hanging="0"/>
              <w:jc w:val="left"/>
            </w:pPr>
            <w:r>
              <w:t>​</w:t>
            </w:r>
          </w:p>
        </w:tc>
        <w:tc>
          <w:tcPr>
            <w:tcW w:w="9255" w:type="dxa"/>
            <w:tcBorders/>
            <w:tcMar>
              <w:bottom w:w="0" w:type="dxa"/>
            </w:tcMar>
            <w:vAlign w:val="center"/>
          </w:tcPr>
          <w:p>
            <w:pPr>
              <w:pStyle w:val="TableContents"/>
              <w:bidi w:val="0"/>
              <w:spacing w:before="0" w:after="0"/>
              <w:ind w:left="0" w:right="0" w:hanging="0"/>
              <w:jc w:val="left"/>
            </w:pPr>
            <w:hyperlink r:id="rId3">
              <w:r>
                <w:rPr>
                  <w:rStyle w:val="InternetLink"/>
                  <w:rFonts w:ascii="Times New Roman;Times;serif" w:hAnsi="Times New Roman;Times;serif"/>
                  <w:sz w:val="20"/>
                </w:rPr>
                <w:t>Amended and Restated Bylaws, as currently in effect (filed as Exhibit 3.2 to the Registrant’s Quarterly Report on Form 10-Q filed with the Securities and Exchange Commission on November 14, 2013).</w:t>
              </w:r>
            </w:hyperlink>
          </w:p>
        </w:tc>
      </w:tr>
      <w:tr>
        <w:tc>
          <w:tcPr>
            <w:tcW w:w="710" w:type="dxa"/>
            <w:tcBorders/>
            <w:tcMar>
              <w:bottom w:w="0" w:type="dxa"/>
            </w:tcMar>
            <w:vAlign w:val="center"/>
          </w:tcPr>
          <w:p>
            <w:pPr>
              <w:pStyle w:val="TableContents"/>
              <w:bidi w:val="0"/>
              <w:spacing w:before="0" w:after="0"/>
              <w:ind w:left="0" w:right="0" w:hanging="0"/>
              <w:jc w:val="left"/>
            </w:pPr>
            <w:r>
              <w:t> </w:t>
            </w:r>
          </w:p>
        </w:tc>
        <w:tc>
          <w:tcPr>
            <w:tcW w:w="240" w:type="dxa"/>
            <w:tcBorders/>
            <w:tcMar>
              <w:bottom w:w="0" w:type="dxa"/>
            </w:tcMar>
            <w:vAlign w:val="center"/>
          </w:tcPr>
          <w:p>
            <w:pPr>
              <w:pStyle w:val="TableContents"/>
              <w:bidi w:val="0"/>
              <w:spacing w:before="0" w:after="0"/>
              <w:ind w:left="0" w:right="0" w:hanging="0"/>
              <w:jc w:val="left"/>
            </w:pPr>
            <w:r>
              <w:t>​</w:t>
            </w:r>
          </w:p>
        </w:tc>
        <w:tc>
          <w:tcPr>
            <w:tcW w:w="9255" w:type="dxa"/>
            <w:tcBorders/>
            <w:tcMar>
              <w:bottom w:w="0" w:type="dxa"/>
            </w:tcMar>
            <w:vAlign w:val="center"/>
          </w:tcPr>
          <w:p>
            <w:pPr>
              <w:pStyle w:val="TableContents"/>
              <w:bidi w:val="0"/>
              <w:spacing w:before="0" w:after="0"/>
              <w:ind w:left="0" w:right="0" w:hanging="0"/>
              <w:jc w:val="left"/>
            </w:pPr>
            <w:r>
              <w:t> </w:t>
            </w:r>
          </w:p>
        </w:tc>
      </w:tr>
      <w:tr>
        <w:tc>
          <w:tcPr>
            <w:tcW w:w="710" w:type="dxa"/>
            <w:tcBorders/>
            <w:tcMar>
              <w:bottom w:w="0" w:type="dxa"/>
            </w:tcMar>
            <w:vAlign w:val="center"/>
          </w:tcPr>
          <w:p>
            <w:pPr>
              <w:pStyle w:val="TableContents"/>
              <w:bidi w:val="0"/>
              <w:spacing w:before="0" w:after="283"/>
              <w:jc w:val="left"/>
            </w:pPr>
            <w:r>
              <w:t>3.3*</w:t>
            </w:r>
          </w:p>
        </w:tc>
        <w:tc>
          <w:tcPr>
            <w:tcW w:w="240" w:type="dxa"/>
            <w:tcBorders/>
            <w:tcMar>
              <w:bottom w:w="0" w:type="dxa"/>
            </w:tcMar>
            <w:vAlign w:val="center"/>
          </w:tcPr>
          <w:p>
            <w:pPr>
              <w:pStyle w:val="TableContents"/>
              <w:bidi w:val="0"/>
              <w:spacing w:before="0" w:after="283"/>
              <w:jc w:val="left"/>
            </w:pPr>
            <w:r>
              <w:t> </w:t>
            </w:r>
          </w:p>
        </w:tc>
        <w:tc>
          <w:tcPr>
            <w:tcW w:w="9255" w:type="dxa"/>
            <w:tcBorders/>
            <w:tcMar>
              <w:bottom w:w="0" w:type="dxa"/>
            </w:tcMar>
            <w:vAlign w:val="center"/>
          </w:tcPr>
          <w:p>
            <w:pPr>
              <w:pStyle w:val="TableContents"/>
              <w:bidi w:val="0"/>
              <w:spacing w:before="0" w:after="283"/>
              <w:jc w:val="left"/>
            </w:pPr>
            <w:hyperlink r:id="rId4">
              <w:r>
                <w:rPr>
                  <w:rStyle w:val="InternetLink"/>
                  <w:u w:val="single"/>
                </w:rPr>
                <w:t>Amendment No. 1 to the Amended and Restated Bylaws, as currently in effect (filed as Exhibit 3.1 to the Registrant’s Current Report on Form 8-K filed with the Securities and Exchange Commission on April 2, 2025).</w:t>
              </w:r>
            </w:hyperlink>
          </w:p>
        </w:tc>
      </w:tr>
      <w:tr>
        <w:tc>
          <w:tcPr>
            <w:tcW w:w="710" w:type="dxa"/>
            <w:tcBorders/>
            <w:tcMar>
              <w:bottom w:w="0" w:type="dxa"/>
            </w:tcMar>
            <w:vAlign w:val="center"/>
          </w:tcPr>
          <w:p>
            <w:pPr>
              <w:pStyle w:val="TableContents"/>
              <w:bidi w:val="0"/>
              <w:spacing w:before="0" w:after="283"/>
              <w:jc w:val="left"/>
            </w:pPr>
            <w:r>
              <w:t> </w:t>
            </w:r>
          </w:p>
        </w:tc>
        <w:tc>
          <w:tcPr>
            <w:tcW w:w="240" w:type="dxa"/>
            <w:tcBorders/>
            <w:tcMar>
              <w:bottom w:w="0" w:type="dxa"/>
            </w:tcMar>
            <w:vAlign w:val="center"/>
          </w:tcPr>
          <w:p>
            <w:pPr>
              <w:pStyle w:val="TableContents"/>
              <w:bidi w:val="0"/>
              <w:spacing w:before="0" w:after="283"/>
              <w:jc w:val="left"/>
            </w:pPr>
            <w:r>
              <w:t> </w:t>
            </w:r>
          </w:p>
        </w:tc>
        <w:tc>
          <w:tcPr>
            <w:tcW w:w="9255" w:type="dxa"/>
            <w:tcBorders/>
            <w:tcMar>
              <w:bottom w:w="0" w:type="dxa"/>
            </w:tcMar>
            <w:vAlign w:val="center"/>
          </w:tcPr>
          <w:p>
            <w:pPr>
              <w:pStyle w:val="TableContents"/>
              <w:bidi w:val="0"/>
              <w:spacing w:before="0" w:after="283"/>
              <w:jc w:val="left"/>
            </w:pPr>
            <w:r>
              <w:t> </w:t>
            </w:r>
          </w:p>
        </w:tc>
      </w:tr>
      <w:tr>
        <w:tc>
          <w:tcPr>
            <w:tcW w:w="71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4.1*</w:t>
            </w:r>
          </w:p>
        </w:tc>
        <w:tc>
          <w:tcPr>
            <w:tcW w:w="240" w:type="dxa"/>
            <w:tcBorders/>
            <w:tcMar>
              <w:bottom w:w="0" w:type="dxa"/>
            </w:tcMar>
            <w:vAlign w:val="center"/>
          </w:tcPr>
          <w:p>
            <w:pPr>
              <w:pStyle w:val="TableContents"/>
              <w:bidi w:val="0"/>
              <w:spacing w:before="0" w:after="0"/>
              <w:ind w:left="0" w:right="0" w:hanging="0"/>
              <w:jc w:val="left"/>
            </w:pPr>
            <w:r>
              <w:t>​</w:t>
            </w:r>
          </w:p>
        </w:tc>
        <w:tc>
          <w:tcPr>
            <w:tcW w:w="9255" w:type="dxa"/>
            <w:tcBorders/>
            <w:tcMar>
              <w:bottom w:w="0" w:type="dxa"/>
            </w:tcMar>
            <w:vAlign w:val="center"/>
          </w:tcPr>
          <w:p>
            <w:pPr>
              <w:pStyle w:val="TableContents"/>
              <w:bidi w:val="0"/>
              <w:spacing w:before="0" w:after="0"/>
              <w:ind w:left="0" w:right="0" w:hanging="0"/>
              <w:jc w:val="left"/>
            </w:pPr>
            <w:hyperlink r:id="rId5">
              <w:r>
                <w:rPr>
                  <w:rStyle w:val="InternetLink"/>
                  <w:rFonts w:ascii="Times New Roman;Times;serif" w:hAnsi="Times New Roman;Times;serif"/>
                  <w:sz w:val="20"/>
                </w:rPr>
                <w:t>Common Stock Specimen (filed as Exhibit 4.1 to the Registrant’s Current Report on Form 8-K filed with the Securities and Exchange Commission on July 15, 2015).</w:t>
              </w:r>
            </w:hyperlink>
          </w:p>
        </w:tc>
      </w:tr>
      <w:tr>
        <w:tc>
          <w:tcPr>
            <w:tcW w:w="710" w:type="dxa"/>
            <w:tcBorders/>
            <w:tcMar>
              <w:bottom w:w="0" w:type="dxa"/>
            </w:tcMar>
            <w:vAlign w:val="center"/>
          </w:tcPr>
          <w:p>
            <w:pPr>
              <w:pStyle w:val="TableContents"/>
              <w:bidi w:val="0"/>
              <w:spacing w:before="0" w:after="0"/>
              <w:ind w:left="0" w:right="0" w:hanging="0"/>
              <w:jc w:val="left"/>
            </w:pPr>
            <w:r>
              <w:t>​</w:t>
            </w:r>
          </w:p>
        </w:tc>
        <w:tc>
          <w:tcPr>
            <w:tcW w:w="240" w:type="dxa"/>
            <w:tcBorders/>
            <w:tcMar>
              <w:bottom w:w="0" w:type="dxa"/>
            </w:tcMar>
            <w:vAlign w:val="center"/>
          </w:tcPr>
          <w:p>
            <w:pPr>
              <w:pStyle w:val="TableContents"/>
              <w:bidi w:val="0"/>
              <w:spacing w:before="0" w:after="0"/>
              <w:ind w:left="0" w:right="0" w:hanging="0"/>
              <w:jc w:val="left"/>
            </w:pPr>
            <w:r>
              <w:t>​</w:t>
            </w:r>
          </w:p>
        </w:tc>
        <w:tc>
          <w:tcPr>
            <w:tcW w:w="9255" w:type="dxa"/>
            <w:tcBorders/>
            <w:tcMar>
              <w:bottom w:w="0" w:type="dxa"/>
            </w:tcMar>
            <w:vAlign w:val="center"/>
          </w:tcPr>
          <w:p>
            <w:pPr>
              <w:pStyle w:val="TableContents"/>
              <w:bidi w:val="0"/>
              <w:spacing w:before="0" w:after="0"/>
              <w:ind w:left="0" w:right="0" w:hanging="0"/>
              <w:jc w:val="left"/>
            </w:pPr>
            <w:r>
              <w:t>​</w:t>
            </w:r>
          </w:p>
        </w:tc>
      </w:tr>
      <w:tr>
        <w:tc>
          <w:tcPr>
            <w:tcW w:w="710" w:type="dxa"/>
            <w:tcBorders/>
            <w:tcMar>
              <w:bottom w:w="0" w:type="dxa"/>
            </w:tcMar>
            <w:vAlign w:val="center"/>
          </w:tcPr>
          <w:p>
            <w:pPr>
              <w:pStyle w:val="TableContents"/>
              <w:bidi w:val="0"/>
              <w:spacing w:before="0" w:after="283"/>
              <w:jc w:val="left"/>
            </w:pPr>
            <w:r>
              <w:t>4.2*</w:t>
            </w:r>
          </w:p>
        </w:tc>
        <w:tc>
          <w:tcPr>
            <w:tcW w:w="240" w:type="dxa"/>
            <w:tcBorders/>
            <w:tcMar>
              <w:bottom w:w="0" w:type="dxa"/>
            </w:tcMar>
            <w:vAlign w:val="center"/>
          </w:tcPr>
          <w:p>
            <w:pPr>
              <w:pStyle w:val="TableContents"/>
              <w:bidi w:val="0"/>
              <w:spacing w:before="0" w:after="283"/>
              <w:jc w:val="left"/>
            </w:pPr>
            <w:r>
              <w:t> </w:t>
            </w:r>
          </w:p>
        </w:tc>
        <w:tc>
          <w:tcPr>
            <w:tcW w:w="9255" w:type="dxa"/>
            <w:tcBorders/>
            <w:tcMar>
              <w:bottom w:w="0" w:type="dxa"/>
            </w:tcMar>
            <w:vAlign w:val="center"/>
          </w:tcPr>
          <w:p>
            <w:pPr>
              <w:pStyle w:val="TableContents"/>
              <w:bidi w:val="0"/>
              <w:spacing w:before="0" w:after="283"/>
              <w:jc w:val="left"/>
            </w:pPr>
            <w:hyperlink r:id="rId6">
              <w:r>
                <w:rPr>
                  <w:rStyle w:val="InternetLink"/>
                  <w:u w:val="single"/>
                </w:rPr>
                <w:t>Indenture, dated as of December 23, 2024 between Applied Optoelectronics, Inc. and Computershare Trust Company, as trustee (filed as Exhibit 4.1 to the Registrant’s Current Report on Form 8-K filed with the Securities and Exchange Commission on December 23, 2024).</w:t>
              </w:r>
            </w:hyperlink>
          </w:p>
        </w:tc>
      </w:tr>
      <w:tr>
        <w:tc>
          <w:tcPr>
            <w:tcW w:w="710" w:type="dxa"/>
            <w:tcBorders/>
            <w:tcMar>
              <w:bottom w:w="0" w:type="dxa"/>
            </w:tcMar>
            <w:vAlign w:val="center"/>
          </w:tcPr>
          <w:p>
            <w:pPr>
              <w:pStyle w:val="TableContents"/>
              <w:bidi w:val="0"/>
              <w:spacing w:before="0" w:after="283"/>
              <w:jc w:val="left"/>
            </w:pPr>
            <w:r>
              <w:t> </w:t>
            </w:r>
          </w:p>
        </w:tc>
        <w:tc>
          <w:tcPr>
            <w:tcW w:w="240" w:type="dxa"/>
            <w:tcBorders/>
            <w:tcMar>
              <w:bottom w:w="0" w:type="dxa"/>
            </w:tcMar>
            <w:vAlign w:val="center"/>
          </w:tcPr>
          <w:p>
            <w:pPr>
              <w:pStyle w:val="TableContents"/>
              <w:bidi w:val="0"/>
              <w:spacing w:before="0" w:after="283"/>
              <w:jc w:val="left"/>
            </w:pPr>
            <w:r>
              <w:t> </w:t>
            </w:r>
          </w:p>
        </w:tc>
        <w:tc>
          <w:tcPr>
            <w:tcW w:w="9255" w:type="dxa"/>
            <w:tcBorders/>
            <w:tcMar>
              <w:bottom w:w="0" w:type="dxa"/>
            </w:tcMar>
            <w:vAlign w:val="center"/>
          </w:tcPr>
          <w:p>
            <w:pPr>
              <w:pStyle w:val="TableContents"/>
              <w:bidi w:val="0"/>
              <w:spacing w:before="0" w:after="283"/>
              <w:jc w:val="left"/>
            </w:pPr>
            <w:r>
              <w:t> </w:t>
            </w:r>
          </w:p>
        </w:tc>
      </w:tr>
      <w:tr>
        <w:tc>
          <w:tcPr>
            <w:tcW w:w="71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4.3*</w:t>
            </w:r>
          </w:p>
        </w:tc>
        <w:tc>
          <w:tcPr>
            <w:tcW w:w="240" w:type="dxa"/>
            <w:tcBorders/>
            <w:tcMar>
              <w:bottom w:w="0" w:type="dxa"/>
            </w:tcMar>
            <w:vAlign w:val="center"/>
          </w:tcPr>
          <w:p>
            <w:pPr>
              <w:pStyle w:val="TableContents"/>
              <w:bidi w:val="0"/>
              <w:spacing w:before="0" w:after="283"/>
              <w:jc w:val="left"/>
            </w:pPr>
            <w:r>
              <w:t> </w:t>
            </w:r>
          </w:p>
        </w:tc>
        <w:tc>
          <w:tcPr>
            <w:tcW w:w="9255" w:type="dxa"/>
            <w:tcBorders/>
            <w:tcMar>
              <w:bottom w:w="0" w:type="dxa"/>
            </w:tcMar>
            <w:vAlign w:val="center"/>
          </w:tcPr>
          <w:p>
            <w:pPr>
              <w:pStyle w:val="TableContents"/>
              <w:bidi w:val="0"/>
              <w:spacing w:before="0" w:after="283"/>
              <w:jc w:val="left"/>
            </w:pPr>
            <w:hyperlink r:id="rId7">
              <w:r>
                <w:rPr>
                  <w:rStyle w:val="InternetLink"/>
                  <w:u w:val="single"/>
                </w:rPr>
                <w:t>Form of Note representing the Company’s 2.75% Convertible Senior Notes due 2030 (included as Exhibit 4.2 to the Registrant’s Current Report on Form 8-K filed with the Securities and Exchange Commission on December 23, 2024).</w:t>
              </w:r>
            </w:hyperlink>
          </w:p>
        </w:tc>
      </w:tr>
      <w:tr>
        <w:tc>
          <w:tcPr>
            <w:tcW w:w="710" w:type="dxa"/>
            <w:tcBorders/>
            <w:tcMar>
              <w:bottom w:w="0" w:type="dxa"/>
            </w:tcMar>
            <w:vAlign w:val="center"/>
          </w:tcPr>
          <w:p>
            <w:pPr>
              <w:pStyle w:val="TableContents"/>
              <w:bidi w:val="0"/>
              <w:spacing w:before="0" w:after="283"/>
              <w:jc w:val="left"/>
            </w:pPr>
            <w:r>
              <w:t> </w:t>
            </w:r>
          </w:p>
        </w:tc>
        <w:tc>
          <w:tcPr>
            <w:tcW w:w="240" w:type="dxa"/>
            <w:tcBorders/>
            <w:tcMar>
              <w:bottom w:w="0" w:type="dxa"/>
            </w:tcMar>
            <w:vAlign w:val="center"/>
          </w:tcPr>
          <w:p>
            <w:pPr>
              <w:pStyle w:val="TableContents"/>
              <w:bidi w:val="0"/>
              <w:spacing w:before="0" w:after="283"/>
              <w:jc w:val="left"/>
            </w:pPr>
            <w:r>
              <w:t> </w:t>
            </w:r>
          </w:p>
        </w:tc>
        <w:tc>
          <w:tcPr>
            <w:tcW w:w="9255" w:type="dxa"/>
            <w:tcBorders/>
            <w:tcMar>
              <w:bottom w:w="0" w:type="dxa"/>
            </w:tcMar>
            <w:vAlign w:val="center"/>
          </w:tcPr>
          <w:p>
            <w:pPr>
              <w:pStyle w:val="TableContents"/>
              <w:bidi w:val="0"/>
              <w:spacing w:before="0" w:after="283"/>
              <w:jc w:val="left"/>
            </w:pPr>
            <w:r>
              <w:t> </w:t>
            </w:r>
          </w:p>
        </w:tc>
      </w:tr>
      <w:tr>
        <w:tc>
          <w:tcPr>
            <w:tcW w:w="710" w:type="dxa"/>
            <w:tcBorders/>
            <w:tcMar>
              <w:bottom w:w="0" w:type="dxa"/>
            </w:tcMar>
            <w:vAlign w:val="center"/>
          </w:tcPr>
          <w:p>
            <w:pPr>
              <w:pStyle w:val="TableContents"/>
              <w:bidi w:val="0"/>
              <w:spacing w:before="0" w:after="283"/>
              <w:jc w:val="left"/>
            </w:pPr>
            <w:r>
              <w:t>4.4*</w:t>
            </w:r>
          </w:p>
        </w:tc>
        <w:tc>
          <w:tcPr>
            <w:tcW w:w="240" w:type="dxa"/>
            <w:tcBorders/>
            <w:tcMar>
              <w:bottom w:w="0" w:type="dxa"/>
            </w:tcMar>
            <w:vAlign w:val="center"/>
          </w:tcPr>
          <w:p>
            <w:pPr>
              <w:pStyle w:val="TableContents"/>
              <w:bidi w:val="0"/>
              <w:spacing w:before="0" w:after="283"/>
              <w:jc w:val="left"/>
            </w:pPr>
            <w:r>
              <w:t> </w:t>
            </w:r>
          </w:p>
        </w:tc>
        <w:tc>
          <w:tcPr>
            <w:tcW w:w="9255" w:type="dxa"/>
            <w:tcBorders/>
            <w:tcMar>
              <w:bottom w:w="0" w:type="dxa"/>
            </w:tcMar>
            <w:vAlign w:val="center"/>
          </w:tcPr>
          <w:p>
            <w:pPr>
              <w:pStyle w:val="TableContents"/>
              <w:bidi w:val="0"/>
              <w:spacing w:before="0" w:after="283"/>
              <w:jc w:val="left"/>
            </w:pPr>
            <w:hyperlink r:id="rId8">
              <w:r>
                <w:rPr>
                  <w:rStyle w:val="InternetLink"/>
                  <w:u w:val="single"/>
                </w:rPr>
                <w:t>First Supplemental Indenture, dated as of December 23, 2024, between Applied Optoelectronics, Inc. and Computershare Trust Company, N.A., as trustee (included as Exhibit 4.3 to the Registrant’s Current Report on Form 8-K filed with the Securities and Exchange Commission on December 23, 2024).</w:t>
              </w:r>
            </w:hyperlink>
          </w:p>
        </w:tc>
      </w:tr>
      <w:tr>
        <w:tc>
          <w:tcPr>
            <w:tcW w:w="710" w:type="dxa"/>
            <w:tcBorders/>
            <w:tcMar>
              <w:bottom w:w="0" w:type="dxa"/>
            </w:tcMar>
            <w:vAlign w:val="center"/>
          </w:tcPr>
          <w:p>
            <w:pPr>
              <w:pStyle w:val="TableContents"/>
              <w:bidi w:val="0"/>
              <w:spacing w:before="0" w:after="283"/>
              <w:jc w:val="left"/>
            </w:pPr>
            <w:r>
              <w:t> </w:t>
            </w:r>
          </w:p>
        </w:tc>
        <w:tc>
          <w:tcPr>
            <w:tcW w:w="240" w:type="dxa"/>
            <w:tcBorders/>
            <w:tcMar>
              <w:bottom w:w="0" w:type="dxa"/>
            </w:tcMar>
            <w:vAlign w:val="center"/>
          </w:tcPr>
          <w:p>
            <w:pPr>
              <w:pStyle w:val="TableContents"/>
              <w:bidi w:val="0"/>
              <w:spacing w:before="0" w:after="283"/>
              <w:jc w:val="left"/>
            </w:pPr>
            <w:r>
              <w:t> </w:t>
            </w:r>
          </w:p>
        </w:tc>
        <w:tc>
          <w:tcPr>
            <w:tcW w:w="9255" w:type="dxa"/>
            <w:tcBorders/>
            <w:tcMar>
              <w:bottom w:w="0" w:type="dxa"/>
            </w:tcMar>
            <w:vAlign w:val="center"/>
          </w:tcPr>
          <w:p>
            <w:pPr>
              <w:pStyle w:val="TableContents"/>
              <w:bidi w:val="0"/>
              <w:spacing w:before="0" w:after="283"/>
              <w:jc w:val="left"/>
            </w:pPr>
            <w:r>
              <w:t> </w:t>
            </w:r>
          </w:p>
        </w:tc>
      </w:tr>
      <w:tr>
        <w:tc>
          <w:tcPr>
            <w:tcW w:w="710" w:type="dxa"/>
            <w:tcBorders/>
            <w:tcMar>
              <w:bottom w:w="0" w:type="dxa"/>
            </w:tcMar>
            <w:vAlign w:val="center"/>
          </w:tcPr>
          <w:p>
            <w:pPr>
              <w:pStyle w:val="TableContents"/>
              <w:bidi w:val="0"/>
              <w:spacing w:before="0" w:after="283"/>
              <w:jc w:val="left"/>
            </w:pPr>
            <w:r>
              <w:t>4.5*</w:t>
            </w:r>
          </w:p>
        </w:tc>
        <w:tc>
          <w:tcPr>
            <w:tcW w:w="240" w:type="dxa"/>
            <w:tcBorders/>
            <w:tcMar>
              <w:bottom w:w="0" w:type="dxa"/>
            </w:tcMar>
            <w:vAlign w:val="center"/>
          </w:tcPr>
          <w:p>
            <w:pPr>
              <w:pStyle w:val="TableContents"/>
              <w:bidi w:val="0"/>
              <w:spacing w:before="0" w:after="283"/>
              <w:jc w:val="left"/>
            </w:pPr>
            <w:r>
              <w:t> </w:t>
            </w:r>
          </w:p>
        </w:tc>
        <w:tc>
          <w:tcPr>
            <w:tcW w:w="9255" w:type="dxa"/>
            <w:tcBorders/>
            <w:tcMar>
              <w:bottom w:w="0" w:type="dxa"/>
            </w:tcMar>
            <w:vAlign w:val="center"/>
          </w:tcPr>
          <w:p>
            <w:pPr>
              <w:pStyle w:val="TableContents"/>
              <w:bidi w:val="0"/>
              <w:spacing w:before="0" w:after="283"/>
              <w:jc w:val="left"/>
            </w:pPr>
            <w:hyperlink r:id="rId9">
              <w:r>
                <w:rPr>
                  <w:rStyle w:val="InternetLink"/>
                  <w:u w:val="single"/>
                </w:rPr>
                <w:t>Warrant to Purchase Common Stock of Applied Optoelectronics, Inc. by and between Applied Optoelectronics, Inc. and Amazon.com NV Investment Holdings LLC, dated as of March 13, 2025 (included as Exhibit 4.1 to the Registrant’</w:t>
              </w:r>
            </w:hyperlink>
            <w:hyperlink r:id="rId10">
              <w:r>
                <w:rPr>
                  <w:rStyle w:val="InternetLink"/>
                </w:rPr>
                <w:t>﻿</w:t>
              </w:r>
            </w:hyperlink>
            <w:hyperlink r:id="rId11">
              <w:r>
                <w:rPr>
                  <w:rStyle w:val="InternetLink"/>
                  <w:u w:val="single"/>
                </w:rPr>
                <w:t>s Current Report on Form 8-K filed with the Securities and Exchange Commission on March 13, 2025).</w:t>
              </w:r>
            </w:hyperlink>
          </w:p>
        </w:tc>
      </w:tr>
      <w:tr>
        <w:tc>
          <w:tcPr>
            <w:tcW w:w="710" w:type="dxa"/>
            <w:tcBorders/>
            <w:tcMar>
              <w:bottom w:w="0" w:type="dxa"/>
            </w:tcMar>
            <w:vAlign w:val="center"/>
          </w:tcPr>
          <w:p>
            <w:pPr>
              <w:pStyle w:val="TableContents"/>
              <w:bidi w:val="0"/>
              <w:spacing w:before="0" w:after="283"/>
              <w:jc w:val="left"/>
            </w:pPr>
            <w:r>
              <w:t> </w:t>
            </w:r>
          </w:p>
        </w:tc>
        <w:tc>
          <w:tcPr>
            <w:tcW w:w="240" w:type="dxa"/>
            <w:tcBorders/>
            <w:tcMar>
              <w:bottom w:w="0" w:type="dxa"/>
            </w:tcMar>
            <w:vAlign w:val="center"/>
          </w:tcPr>
          <w:p>
            <w:pPr>
              <w:pStyle w:val="TableContents"/>
              <w:bidi w:val="0"/>
              <w:spacing w:before="0" w:after="283"/>
              <w:jc w:val="left"/>
            </w:pPr>
            <w:r>
              <w:t> </w:t>
            </w:r>
          </w:p>
        </w:tc>
        <w:tc>
          <w:tcPr>
            <w:tcW w:w="9255" w:type="dxa"/>
            <w:tcBorders/>
            <w:tcMar>
              <w:bottom w:w="0" w:type="dxa"/>
            </w:tcMar>
            <w:vAlign w:val="center"/>
          </w:tcPr>
          <w:p>
            <w:pPr>
              <w:pStyle w:val="TableContents"/>
              <w:bidi w:val="0"/>
              <w:spacing w:before="0" w:after="283"/>
              <w:jc w:val="left"/>
            </w:pPr>
            <w:r>
              <w:t> </w:t>
            </w:r>
          </w:p>
        </w:tc>
      </w:tr>
      <w:tr>
        <w:tc>
          <w:tcPr>
            <w:tcW w:w="710" w:type="dxa"/>
            <w:tcBorders/>
            <w:tcMar>
              <w:bottom w:w="0" w:type="dxa"/>
            </w:tcMar>
            <w:vAlign w:val="center"/>
          </w:tcPr>
          <w:p>
            <w:pPr>
              <w:pStyle w:val="TableContents"/>
              <w:bidi w:val="0"/>
              <w:spacing w:before="0" w:after="283"/>
              <w:jc w:val="left"/>
            </w:pPr>
            <w:r>
              <w:t> </w:t>
            </w:r>
          </w:p>
        </w:tc>
        <w:tc>
          <w:tcPr>
            <w:tcW w:w="240" w:type="dxa"/>
            <w:tcBorders/>
            <w:tcMar>
              <w:bottom w:w="0" w:type="dxa"/>
            </w:tcMar>
            <w:vAlign w:val="center"/>
          </w:tcPr>
          <w:p>
            <w:pPr>
              <w:pStyle w:val="TableContents"/>
              <w:bidi w:val="0"/>
              <w:spacing w:before="0" w:after="283"/>
              <w:jc w:val="left"/>
            </w:pPr>
            <w:r>
              <w:t> </w:t>
            </w:r>
          </w:p>
        </w:tc>
        <w:tc>
          <w:tcPr>
            <w:tcW w:w="9255" w:type="dxa"/>
            <w:tcBorders/>
            <w:tcMar>
              <w:bottom w:w="0" w:type="dxa"/>
            </w:tcMar>
            <w:vAlign w:val="center"/>
          </w:tcPr>
          <w:p>
            <w:pPr>
              <w:pStyle w:val="TableContents"/>
              <w:bidi w:val="0"/>
              <w:spacing w:before="0" w:after="283"/>
              <w:jc w:val="left"/>
            </w:pPr>
            <w:r>
              <w:t> </w:t>
            </w:r>
          </w:p>
        </w:tc>
      </w:tr>
    </w:tbl>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34 </w:t>
      </w:r>
    </w:p>
    <w:p>
      <w:pPr>
        <w:pStyle w:val="HorizontalLine"/>
        <w:pBdr>
          <w:bottom w:val="double" w:sz="2" w:space="0" w:color="808080"/>
        </w:pBdr>
        <w:bidi w:val="0"/>
        <w:spacing w:before="0" w:after="283"/>
        <w:jc w:val="left"/>
      </w:pPr>
      <w:r/>
    </w:p>
    <w:p>
      <w:pPr>
        <w:pStyle w:val="TextBody"/>
        <w:bidi w:val="0"/>
        <w:jc w:val="left"/>
      </w:pPr>
      <w:hyperlink w:anchor="toc">
        <w:r>
          <w:rPr>
            <w:rStyle w:val="InternetLink"/>
            <w:rFonts w:ascii="Times New Roman;Times;serif" w:hAnsi="Times New Roman;Times;serif"/>
            <w:sz w:val="20"/>
          </w:rPr>
          <w:t>Table of Contents</w:t>
        </w:r>
      </w:hyperlink>
      <w:r>
        <w:t xml:space="preserve"> </w:t>
      </w:r>
    </w:p>
    <w:p>
      <w:pPr>
        <w:pStyle w:val="TextBody"/>
        <w:bidi w:val="0"/>
        <w:spacing w:before="0" w:after="0"/>
        <w:ind w:left="0" w:right="0" w:hanging="0"/>
        <w:jc w:val="left"/>
      </w:pPr>
      <w:r>
        <w:t> </w:t>
      </w:r>
    </w:p>
    <w:tbl>
      <w:tblPr>
        <w:tblW w:w="10205" w:type="dxa"/>
        <w:jc w:val="left"/>
        <w:tblInd w:w="0" w:type="dxa"/>
        <w:tblLayout w:type="fixed"/>
        <w:tblCellMar>
          <w:top w:w="0" w:type="dxa"/>
          <w:left w:w="0" w:type="dxa"/>
          <w:bottom w:w="0" w:type="dxa"/>
          <w:right w:w="0" w:type="dxa"/>
        </w:tblCellMar>
      </w:tblPr>
      <w:tblGrid>
        <w:gridCol w:w="659"/>
        <w:gridCol w:w="60"/>
        <w:gridCol w:w="9486"/>
      </w:tblGrid>
      <w:tr>
        <w:tc>
          <w:tcPr>
            <w:tcW w:w="659"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 †</w:t>
            </w:r>
          </w:p>
        </w:tc>
        <w:tc>
          <w:tcPr>
            <w:tcW w:w="60" w:type="dxa"/>
            <w:tcBorders/>
            <w:vAlign w:val="bottom"/>
          </w:tcPr>
          <w:p>
            <w:pPr>
              <w:pStyle w:val="TableContents"/>
              <w:bidi w:val="0"/>
              <w:spacing w:before="0" w:after="0"/>
              <w:ind w:left="0" w:right="0" w:hanging="0"/>
              <w:jc w:val="left"/>
            </w:pPr>
            <w:r>
              <w:t> </w:t>
            </w:r>
          </w:p>
        </w:tc>
        <w:tc>
          <w:tcPr>
            <w:tcW w:w="9486" w:type="dxa"/>
            <w:tcBorders/>
          </w:tcPr>
          <w:p>
            <w:pPr>
              <w:pStyle w:val="TableContents"/>
              <w:bidi w:val="0"/>
              <w:spacing w:before="0" w:after="283"/>
              <w:jc w:val="left"/>
            </w:pPr>
            <w:hyperlink r:id="rId12">
              <w:r>
                <w:rPr>
                  <w:rStyle w:val="InternetLink"/>
                </w:rPr>
                <w:t>Form of Indemnification Agreement (included as Exhibit 10.1 to the Registrant’s Current Report on Form 8-K filed with the Securities and Exchange Commission on August 24, 2026).</w:t>
              </w:r>
            </w:hyperlink>
          </w:p>
        </w:tc>
      </w:tr>
      <w:tr>
        <w:tc>
          <w:tcPr>
            <w:tcW w:w="659" w:type="dxa"/>
            <w:tcBorders/>
          </w:tcPr>
          <w:p>
            <w:pPr>
              <w:pStyle w:val="TableContents"/>
              <w:bidi w:val="0"/>
              <w:spacing w:before="0" w:after="0"/>
              <w:ind w:left="0" w:right="0" w:hanging="0"/>
              <w:jc w:val="left"/>
            </w:pPr>
            <w:r>
              <w:t> </w:t>
            </w:r>
          </w:p>
        </w:tc>
        <w:tc>
          <w:tcPr>
            <w:tcW w:w="60" w:type="dxa"/>
            <w:tcBorders/>
            <w:vAlign w:val="bottom"/>
          </w:tcPr>
          <w:p>
            <w:pPr>
              <w:pStyle w:val="TableContents"/>
              <w:bidi w:val="0"/>
              <w:spacing w:before="0" w:after="0"/>
              <w:ind w:left="0" w:right="0" w:hanging="0"/>
              <w:jc w:val="left"/>
            </w:pPr>
            <w:r>
              <w:t> </w:t>
            </w:r>
          </w:p>
        </w:tc>
        <w:tc>
          <w:tcPr>
            <w:tcW w:w="9486" w:type="dxa"/>
            <w:tcBorders/>
          </w:tcPr>
          <w:p>
            <w:pPr>
              <w:pStyle w:val="TableContents"/>
              <w:bidi w:val="0"/>
              <w:spacing w:before="0" w:after="0"/>
              <w:ind w:left="0" w:right="0" w:hanging="0"/>
              <w:jc w:val="left"/>
            </w:pPr>
            <w:r>
              <w:t> </w:t>
            </w:r>
          </w:p>
        </w:tc>
      </w:tr>
      <w:tr>
        <w:tc>
          <w:tcPr>
            <w:tcW w:w="659"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w:t>
            </w:r>
          </w:p>
        </w:tc>
        <w:tc>
          <w:tcPr>
            <w:tcW w:w="60" w:type="dxa"/>
            <w:tcBorders/>
            <w:vAlign w:val="bottom"/>
          </w:tcPr>
          <w:p>
            <w:pPr>
              <w:pStyle w:val="TableContents"/>
              <w:bidi w:val="0"/>
              <w:spacing w:before="0" w:after="0"/>
              <w:ind w:left="0" w:right="0" w:hanging="0"/>
              <w:jc w:val="left"/>
            </w:pPr>
            <w:r>
              <w:t> </w:t>
            </w:r>
          </w:p>
        </w:tc>
        <w:tc>
          <w:tcPr>
            <w:tcW w:w="9486" w:type="dxa"/>
            <w:tcBorders/>
          </w:tcPr>
          <w:p>
            <w:pPr>
              <w:pStyle w:val="TableContents"/>
              <w:bidi w:val="0"/>
              <w:spacing w:before="0" w:after="0"/>
              <w:ind w:left="0" w:right="0" w:hanging="0"/>
              <w:jc w:val="left"/>
            </w:pPr>
            <w:hyperlink r:id="rId13">
              <w:r>
                <w:rPr>
                  <w:rStyle w:val="InternetLink"/>
                  <w:rFonts w:ascii="Times New Roman;Times;serif" w:hAnsi="Times New Roman;Times;serif"/>
                  <w:sz w:val="20"/>
                </w:rPr>
                <w:t>Lease Agreement (Building 4), dated August 31, 2026, by and between Applied Optoelectronics, Inc., and Hightower Phase II Owner, LLC. (included as Exhibit 10.1 to the Registrant’s Current Report on Form 8-K filed with the Securities and Exchange Commission on September 1, 2026).</w:t>
              </w:r>
            </w:hyperlink>
          </w:p>
        </w:tc>
      </w:tr>
      <w:tr>
        <w:tc>
          <w:tcPr>
            <w:tcW w:w="659" w:type="dxa"/>
            <w:tcBorders/>
          </w:tcPr>
          <w:p>
            <w:pPr>
              <w:pStyle w:val="TableContents"/>
              <w:bidi w:val="0"/>
              <w:spacing w:before="0" w:after="0"/>
              <w:ind w:left="0" w:right="0" w:hanging="0"/>
              <w:jc w:val="left"/>
            </w:pPr>
            <w:r>
              <w:t> </w:t>
            </w:r>
          </w:p>
        </w:tc>
        <w:tc>
          <w:tcPr>
            <w:tcW w:w="60" w:type="dxa"/>
            <w:tcBorders/>
            <w:vAlign w:val="bottom"/>
          </w:tcPr>
          <w:p>
            <w:pPr>
              <w:pStyle w:val="TableContents"/>
              <w:bidi w:val="0"/>
              <w:spacing w:before="0" w:after="0"/>
              <w:ind w:left="0" w:right="0" w:hanging="0"/>
              <w:jc w:val="left"/>
            </w:pPr>
            <w:r>
              <w:t> </w:t>
            </w:r>
          </w:p>
        </w:tc>
        <w:tc>
          <w:tcPr>
            <w:tcW w:w="9486" w:type="dxa"/>
            <w:tcBorders/>
          </w:tcPr>
          <w:p>
            <w:pPr>
              <w:pStyle w:val="TableContents"/>
              <w:bidi w:val="0"/>
              <w:spacing w:before="0" w:after="0"/>
              <w:ind w:left="0" w:right="0" w:hanging="0"/>
              <w:jc w:val="left"/>
            </w:pPr>
            <w:r>
              <w:t> </w:t>
            </w:r>
          </w:p>
        </w:tc>
      </w:tr>
      <w:tr>
        <w:tc>
          <w:tcPr>
            <w:tcW w:w="659"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10.2.1*</w:t>
            </w:r>
          </w:p>
        </w:tc>
        <w:tc>
          <w:tcPr>
            <w:tcW w:w="60" w:type="dxa"/>
            <w:tcBorders/>
            <w:vAlign w:val="bottom"/>
          </w:tcPr>
          <w:p>
            <w:pPr>
              <w:pStyle w:val="TableContents"/>
              <w:bidi w:val="0"/>
              <w:spacing w:before="0" w:after="0"/>
              <w:ind w:left="0" w:right="0" w:hanging="0"/>
              <w:jc w:val="left"/>
            </w:pPr>
            <w:r>
              <w:t> </w:t>
            </w:r>
          </w:p>
        </w:tc>
        <w:tc>
          <w:tcPr>
            <w:tcW w:w="9486" w:type="dxa"/>
            <w:tcBorders/>
          </w:tcPr>
          <w:p>
            <w:pPr>
              <w:pStyle w:val="TableContents"/>
              <w:bidi w:val="0"/>
              <w:spacing w:before="0" w:after="0"/>
              <w:ind w:left="0" w:right="0" w:hanging="0"/>
              <w:jc w:val="left"/>
            </w:pPr>
            <w:hyperlink r:id="rId14">
              <w:r>
                <w:rPr>
                  <w:rStyle w:val="InternetLink"/>
                  <w:rFonts w:ascii="Times New Roman;Times;serif" w:hAnsi="Times New Roman;Times;serif"/>
                  <w:sz w:val="20"/>
                </w:rPr>
                <w:t>Lease Agreement (Building 5), dated August 31, 2026, by and between Applied Optoelectronics, Inc., and Hightower Phase II Owner, LLC. (included as Exhibit 10.2 to the Registrant’s Current Report on Form 8-K filed with the Securities and Exchange Commission on September 1, 2026)</w:t>
              </w:r>
            </w:hyperlink>
            <w:r>
              <w:rPr>
                <w:rFonts w:ascii="Times New Roman;Times;serif" w:hAnsi="Times New Roman;Times;serif"/>
                <w:sz w:val="20"/>
              </w:rPr>
              <w:t>.</w:t>
            </w:r>
          </w:p>
        </w:tc>
      </w:tr>
      <w:tr>
        <w:tc>
          <w:tcPr>
            <w:tcW w:w="659" w:type="dxa"/>
            <w:tcBorders/>
          </w:tcPr>
          <w:p>
            <w:pPr>
              <w:pStyle w:val="TableContents"/>
              <w:bidi w:val="0"/>
              <w:spacing w:before="0" w:after="0"/>
              <w:ind w:left="0" w:right="0" w:hanging="0"/>
              <w:jc w:val="left"/>
            </w:pPr>
            <w:r>
              <w:t> </w:t>
            </w:r>
          </w:p>
        </w:tc>
        <w:tc>
          <w:tcPr>
            <w:tcW w:w="60" w:type="dxa"/>
            <w:tcBorders/>
            <w:vAlign w:val="bottom"/>
          </w:tcPr>
          <w:p>
            <w:pPr>
              <w:pStyle w:val="TableContents"/>
              <w:bidi w:val="0"/>
              <w:spacing w:before="0" w:after="0"/>
              <w:ind w:left="0" w:right="0" w:hanging="0"/>
              <w:jc w:val="left"/>
            </w:pPr>
            <w:r>
              <w:t> </w:t>
            </w:r>
          </w:p>
        </w:tc>
        <w:tc>
          <w:tcPr>
            <w:tcW w:w="9486" w:type="dxa"/>
            <w:tcBorders/>
          </w:tcPr>
          <w:p>
            <w:pPr>
              <w:pStyle w:val="TableContents"/>
              <w:bidi w:val="0"/>
              <w:spacing w:before="0" w:after="0"/>
              <w:ind w:left="0" w:right="0" w:hanging="0"/>
              <w:jc w:val="left"/>
            </w:pPr>
            <w:r>
              <w:t> </w:t>
            </w:r>
          </w:p>
        </w:tc>
      </w:tr>
      <w:tr>
        <w:tc>
          <w:tcPr>
            <w:tcW w:w="659"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10.3*</w:t>
            </w:r>
          </w:p>
        </w:tc>
        <w:tc>
          <w:tcPr>
            <w:tcW w:w="60" w:type="dxa"/>
            <w:tcBorders/>
            <w:vAlign w:val="bottom"/>
          </w:tcPr>
          <w:p>
            <w:pPr>
              <w:pStyle w:val="TableContents"/>
              <w:bidi w:val="0"/>
              <w:spacing w:before="0" w:after="0"/>
              <w:ind w:left="0" w:right="0" w:hanging="0"/>
              <w:jc w:val="left"/>
            </w:pPr>
            <w:r>
              <w:t> </w:t>
            </w:r>
          </w:p>
        </w:tc>
        <w:tc>
          <w:tcPr>
            <w:tcW w:w="9486" w:type="dxa"/>
            <w:tcBorders/>
          </w:tcPr>
          <w:p>
            <w:pPr>
              <w:pStyle w:val="TableContents"/>
              <w:bidi w:val="0"/>
              <w:spacing w:before="0" w:after="0"/>
              <w:ind w:left="0" w:right="0" w:hanging="0"/>
              <w:jc w:val="left"/>
            </w:pPr>
            <w:hyperlink r:id="rId15">
              <w:r>
                <w:rPr>
                  <w:rStyle w:val="InternetLink"/>
                  <w:rFonts w:ascii="Times New Roman;Times;serif" w:hAnsi="Times New Roman;Times;serif"/>
                  <w:sz w:val="20"/>
                </w:rPr>
                <w:t>Purchase and Sale Agreement, dated September 4, 2026, by and between Applied Optoelectronics, Inc. and Blue Ridge Commerce Center West LLC. (included as Exhibit 10.1 to the Registrant’s Current Report on Form 8-K filed with the Securities and Exchange Commission on September 10, 2026).</w:t>
              </w:r>
            </w:hyperlink>
          </w:p>
        </w:tc>
      </w:tr>
      <w:tr>
        <w:tc>
          <w:tcPr>
            <w:tcW w:w="659" w:type="dxa"/>
            <w:tcBorders/>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9486" w:type="dxa"/>
            <w:tcBorders/>
          </w:tcPr>
          <w:p>
            <w:pPr>
              <w:pStyle w:val="TableContents"/>
              <w:bidi w:val="0"/>
              <w:spacing w:before="0" w:after="283"/>
              <w:jc w:val="left"/>
            </w:pPr>
            <w:r>
              <w:t> </w:t>
            </w:r>
          </w:p>
        </w:tc>
      </w:tr>
      <w:tr>
        <w:tc>
          <w:tcPr>
            <w:tcW w:w="659" w:type="dxa"/>
            <w:tcBorders/>
          </w:tcPr>
          <w:p>
            <w:pPr>
              <w:pStyle w:val="TableContents"/>
              <w:bidi w:val="0"/>
              <w:spacing w:before="0" w:after="283"/>
              <w:jc w:val="left"/>
            </w:pPr>
            <w:r>
              <w:t>10.4*</w:t>
            </w:r>
          </w:p>
        </w:tc>
        <w:tc>
          <w:tcPr>
            <w:tcW w:w="60" w:type="dxa"/>
            <w:tcBorders/>
            <w:vAlign w:val="bottom"/>
          </w:tcPr>
          <w:p>
            <w:pPr>
              <w:pStyle w:val="TableContents"/>
              <w:bidi w:val="0"/>
              <w:spacing w:before="0" w:after="283"/>
              <w:jc w:val="left"/>
            </w:pPr>
            <w:r>
              <w:t> </w:t>
            </w:r>
          </w:p>
        </w:tc>
        <w:tc>
          <w:tcPr>
            <w:tcW w:w="9486" w:type="dxa"/>
            <w:tcBorders/>
          </w:tcPr>
          <w:p>
            <w:pPr>
              <w:pStyle w:val="TableContents"/>
              <w:bidi w:val="0"/>
              <w:spacing w:before="0" w:after="283"/>
              <w:jc w:val="left"/>
            </w:pPr>
            <w:hyperlink r:id="rId16">
              <w:r>
                <w:rPr>
                  <w:rStyle w:val="InternetLink"/>
                </w:rPr>
                <w:t>Translation of the Factory Premises Lease Agreement, dated September 10, 2026, between Global Technology, Inc. and Ningbo Yiduofu Industrial Co., Ltd. (included as Exhibit 10.1 to the Registrant's Current Report on Form 8-K filed with the Securities and Exchange Commission on September 15, 2026).</w:t>
              </w:r>
            </w:hyperlink>
          </w:p>
        </w:tc>
      </w:tr>
      <w:tr>
        <w:tc>
          <w:tcPr>
            <w:tcW w:w="659"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9486" w:type="dxa"/>
            <w:tcBorders/>
            <w:vAlign w:val="center"/>
          </w:tcPr>
          <w:p>
            <w:pPr>
              <w:pStyle w:val="TableContents"/>
              <w:bidi w:val="0"/>
              <w:spacing w:before="0" w:after="283"/>
              <w:jc w:val="left"/>
            </w:pPr>
            <w:r>
              <w:t> </w:t>
            </w:r>
          </w:p>
        </w:tc>
      </w:tr>
      <w:tr>
        <w:tc>
          <w:tcPr>
            <w:tcW w:w="659" w:type="dxa"/>
            <w:tcBorders/>
            <w:vAlign w:val="center"/>
          </w:tcPr>
          <w:p>
            <w:pPr>
              <w:pStyle w:val="TableContents"/>
              <w:bidi w:val="0"/>
              <w:spacing w:before="0" w:after="283"/>
              <w:jc w:val="left"/>
            </w:pPr>
            <w:r>
              <w:t>31.1**</w:t>
            </w:r>
          </w:p>
        </w:tc>
        <w:tc>
          <w:tcPr>
            <w:tcW w:w="60" w:type="dxa"/>
            <w:tcBorders/>
            <w:vAlign w:val="center"/>
          </w:tcPr>
          <w:p>
            <w:pPr>
              <w:pStyle w:val="TableContents"/>
              <w:bidi w:val="0"/>
              <w:spacing w:before="0" w:after="283"/>
              <w:jc w:val="left"/>
            </w:pPr>
            <w:r>
              <w:t> </w:t>
            </w:r>
          </w:p>
        </w:tc>
        <w:tc>
          <w:tcPr>
            <w:tcW w:w="9486" w:type="dxa"/>
            <w:tcBorders/>
            <w:vAlign w:val="center"/>
          </w:tcPr>
          <w:p>
            <w:pPr>
              <w:pStyle w:val="TableContents"/>
              <w:bidi w:val="0"/>
              <w:spacing w:before="0" w:after="283"/>
              <w:jc w:val="left"/>
            </w:pPr>
            <w:hyperlink w:anchor="ex_1009219.htm">
              <w:r>
                <w:rPr>
                  <w:rStyle w:val="InternetLink"/>
                </w:rPr>
                <w:t>Certification of Chief Executive Officer pursuant to Exchange Act Rule, 13a-14(a) and 15d-14(a), as adopted pursuant to Section 302 of the Sarbanes-Oxley Act of 2002.</w:t>
              </w:r>
            </w:hyperlink>
          </w:p>
        </w:tc>
      </w:tr>
      <w:tr>
        <w:tc>
          <w:tcPr>
            <w:tcW w:w="659"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9486" w:type="dxa"/>
            <w:tcBorders/>
            <w:vAlign w:val="center"/>
          </w:tcPr>
          <w:p>
            <w:pPr>
              <w:pStyle w:val="TableContents"/>
              <w:bidi w:val="0"/>
              <w:spacing w:before="0" w:after="283"/>
              <w:jc w:val="left"/>
            </w:pPr>
            <w:r>
              <w:t> </w:t>
            </w:r>
          </w:p>
        </w:tc>
      </w:tr>
      <w:tr>
        <w:tc>
          <w:tcPr>
            <w:tcW w:w="6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60" w:type="dxa"/>
            <w:tcBorders/>
            <w:vAlign w:val="center"/>
          </w:tcPr>
          <w:p>
            <w:pPr>
              <w:pStyle w:val="TableContents"/>
              <w:bidi w:val="0"/>
              <w:spacing w:before="0" w:after="0"/>
              <w:ind w:left="0" w:right="0" w:hanging="0"/>
              <w:jc w:val="left"/>
            </w:pPr>
            <w:r>
              <w:t>​</w:t>
            </w:r>
          </w:p>
        </w:tc>
        <w:tc>
          <w:tcPr>
            <w:tcW w:w="9486" w:type="dxa"/>
            <w:tcBorders/>
            <w:vAlign w:val="center"/>
          </w:tcPr>
          <w:p>
            <w:pPr>
              <w:pStyle w:val="TableContents"/>
              <w:bidi w:val="0"/>
              <w:spacing w:before="0" w:after="0"/>
              <w:ind w:left="0" w:right="0" w:hanging="0"/>
              <w:jc w:val="left"/>
            </w:pPr>
            <w:hyperlink w:anchor="ex_1009220.htm">
              <w:r>
                <w:rPr>
                  <w:rStyle w:val="InternetLink"/>
                  <w:rFonts w:ascii="Times New Roman;Times;serif" w:hAnsi="Times New Roman;Times;serif"/>
                  <w:sz w:val="20"/>
                </w:rPr>
                <w:t>Certification of Chief Financial Officer pursuant to Exchange Act Rule, 13a-14(a) and 15d-14(a), as adopted pursuant to Section 302 of the Sarbanes-Oxley Act of 2002.</w:t>
              </w:r>
            </w:hyperlink>
          </w:p>
        </w:tc>
      </w:tr>
      <w:tr>
        <w:tc>
          <w:tcPr>
            <w:tcW w:w="659" w:type="dxa"/>
            <w:tcBorders/>
            <w:vAlign w:val="center"/>
          </w:tcPr>
          <w:p>
            <w:pPr>
              <w:pStyle w:val="TableContents"/>
              <w:bidi w:val="0"/>
              <w:spacing w:before="0" w:after="0"/>
              <w:ind w:left="0" w:right="0" w:hanging="0"/>
              <w:jc w:val="left"/>
            </w:pPr>
            <w:r>
              <w:t> </w:t>
            </w:r>
          </w:p>
        </w:tc>
        <w:tc>
          <w:tcPr>
            <w:tcW w:w="60" w:type="dxa"/>
            <w:tcBorders/>
            <w:vAlign w:val="center"/>
          </w:tcPr>
          <w:p>
            <w:pPr>
              <w:pStyle w:val="TableContents"/>
              <w:bidi w:val="0"/>
              <w:spacing w:before="0" w:after="0"/>
              <w:ind w:left="0" w:right="0" w:hanging="0"/>
              <w:jc w:val="left"/>
            </w:pPr>
            <w:r>
              <w:t>​</w:t>
            </w:r>
          </w:p>
        </w:tc>
        <w:tc>
          <w:tcPr>
            <w:tcW w:w="9486" w:type="dxa"/>
            <w:tcBorders/>
            <w:vAlign w:val="center"/>
          </w:tcPr>
          <w:p>
            <w:pPr>
              <w:pStyle w:val="TableContents"/>
              <w:bidi w:val="0"/>
              <w:spacing w:before="0" w:after="0"/>
              <w:ind w:left="0" w:right="0" w:hanging="0"/>
              <w:jc w:val="left"/>
            </w:pPr>
            <w:r>
              <w:t> </w:t>
            </w:r>
          </w:p>
        </w:tc>
      </w:tr>
      <w:tr>
        <w:tc>
          <w:tcPr>
            <w:tcW w:w="6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32.1**</w:t>
            </w:r>
          </w:p>
        </w:tc>
        <w:tc>
          <w:tcPr>
            <w:tcW w:w="60" w:type="dxa"/>
            <w:tcBorders/>
            <w:vAlign w:val="center"/>
          </w:tcPr>
          <w:p>
            <w:pPr>
              <w:pStyle w:val="TableContents"/>
              <w:bidi w:val="0"/>
              <w:spacing w:before="0" w:after="0"/>
              <w:ind w:left="0" w:right="0" w:hanging="0"/>
              <w:jc w:val="left"/>
            </w:pPr>
            <w:r>
              <w:t>​</w:t>
            </w:r>
          </w:p>
        </w:tc>
        <w:tc>
          <w:tcPr>
            <w:tcW w:w="9486" w:type="dxa"/>
            <w:tcBorders/>
            <w:vAlign w:val="center"/>
          </w:tcPr>
          <w:p>
            <w:pPr>
              <w:pStyle w:val="TableContents"/>
              <w:bidi w:val="0"/>
              <w:spacing w:before="0" w:after="0"/>
              <w:ind w:left="0" w:right="0" w:hanging="0"/>
              <w:jc w:val="left"/>
            </w:pPr>
            <w:hyperlink w:anchor="ex_1009221.htm">
              <w:r>
                <w:rPr>
                  <w:rStyle w:val="InternetLink"/>
                  <w:rFonts w:ascii="Times New Roman;Times;serif" w:hAnsi="Times New Roman;Times;serif"/>
                  <w:sz w:val="20"/>
                </w:rPr>
                <w:t>Certification pursuant to 18 U.S.C. 1350, adopted pursuant to Section 906 of the Sarbanes-Oxley Act of 2002, by Chief Executive Officer and Chief Financial Officer.</w:t>
              </w:r>
            </w:hyperlink>
          </w:p>
        </w:tc>
      </w:tr>
      <w:tr>
        <w:tc>
          <w:tcPr>
            <w:tcW w:w="659" w:type="dxa"/>
            <w:tcBorders/>
            <w:vAlign w:val="center"/>
          </w:tcPr>
          <w:p>
            <w:pPr>
              <w:pStyle w:val="TableContents"/>
              <w:bidi w:val="0"/>
              <w:spacing w:before="0" w:after="0"/>
              <w:ind w:left="0" w:right="0" w:hanging="0"/>
              <w:jc w:val="left"/>
            </w:pPr>
            <w:r>
              <w:t> </w:t>
            </w:r>
          </w:p>
        </w:tc>
        <w:tc>
          <w:tcPr>
            <w:tcW w:w="60" w:type="dxa"/>
            <w:tcBorders/>
            <w:vAlign w:val="center"/>
          </w:tcPr>
          <w:p>
            <w:pPr>
              <w:pStyle w:val="TableContents"/>
              <w:bidi w:val="0"/>
              <w:spacing w:before="0" w:after="0"/>
              <w:ind w:left="0" w:right="0" w:hanging="0"/>
              <w:jc w:val="left"/>
            </w:pPr>
            <w:r>
              <w:t>​</w:t>
            </w:r>
          </w:p>
        </w:tc>
        <w:tc>
          <w:tcPr>
            <w:tcW w:w="9486" w:type="dxa"/>
            <w:tcBorders/>
            <w:vAlign w:val="center"/>
          </w:tcPr>
          <w:p>
            <w:pPr>
              <w:pStyle w:val="TableContents"/>
              <w:bidi w:val="0"/>
              <w:spacing w:before="0" w:after="0"/>
              <w:ind w:left="0" w:right="0" w:hanging="0"/>
              <w:jc w:val="left"/>
            </w:pPr>
            <w:r>
              <w:t> </w:t>
            </w:r>
          </w:p>
        </w:tc>
      </w:tr>
      <w:tr>
        <w:tc>
          <w:tcPr>
            <w:tcW w:w="6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101.INS**</w:t>
            </w:r>
          </w:p>
        </w:tc>
        <w:tc>
          <w:tcPr>
            <w:tcW w:w="60" w:type="dxa"/>
            <w:tcBorders/>
            <w:vAlign w:val="center"/>
          </w:tcPr>
          <w:p>
            <w:pPr>
              <w:pStyle w:val="TableContents"/>
              <w:bidi w:val="0"/>
              <w:spacing w:before="0" w:after="0"/>
              <w:ind w:left="0" w:right="0" w:hanging="0"/>
              <w:jc w:val="left"/>
            </w:pPr>
            <w:r>
              <w:t>​</w:t>
            </w:r>
          </w:p>
        </w:tc>
        <w:tc>
          <w:tcPr>
            <w:tcW w:w="9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Instance – the instance document does not appear in the Interactive Data File because its XBRL tags are embedded within the Inline XBRL document.</w:t>
            </w:r>
          </w:p>
        </w:tc>
      </w:tr>
      <w:tr>
        <w:tc>
          <w:tcPr>
            <w:tcW w:w="659"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0"/>
              <w:ind w:left="0" w:right="0" w:hanging="0"/>
              <w:jc w:val="left"/>
            </w:pPr>
            <w:r>
              <w:t>​</w:t>
            </w:r>
          </w:p>
        </w:tc>
        <w:tc>
          <w:tcPr>
            <w:tcW w:w="9486" w:type="dxa"/>
            <w:tcBorders/>
            <w:vAlign w:val="center"/>
          </w:tcPr>
          <w:p>
            <w:pPr>
              <w:pStyle w:val="TableContents"/>
              <w:bidi w:val="0"/>
              <w:spacing w:before="0" w:after="283"/>
              <w:jc w:val="left"/>
            </w:pPr>
            <w:r>
              <w:t> </w:t>
            </w:r>
          </w:p>
        </w:tc>
      </w:tr>
      <w:tr>
        <w:tc>
          <w:tcPr>
            <w:tcW w:w="6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101.SCH**</w:t>
            </w:r>
          </w:p>
        </w:tc>
        <w:tc>
          <w:tcPr>
            <w:tcW w:w="60" w:type="dxa"/>
            <w:tcBorders/>
            <w:vAlign w:val="center"/>
          </w:tcPr>
          <w:p>
            <w:pPr>
              <w:pStyle w:val="TableContents"/>
              <w:bidi w:val="0"/>
              <w:spacing w:before="0" w:after="0"/>
              <w:ind w:left="0" w:right="0" w:hanging="0"/>
              <w:jc w:val="left"/>
            </w:pPr>
            <w:r>
              <w:t>​</w:t>
            </w:r>
          </w:p>
        </w:tc>
        <w:tc>
          <w:tcPr>
            <w:tcW w:w="9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w:t>
            </w:r>
          </w:p>
        </w:tc>
      </w:tr>
      <w:tr>
        <w:tc>
          <w:tcPr>
            <w:tcW w:w="659"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0"/>
              <w:ind w:left="0" w:right="0" w:hanging="0"/>
              <w:jc w:val="left"/>
            </w:pPr>
            <w:r>
              <w:t>​</w:t>
            </w:r>
          </w:p>
        </w:tc>
        <w:tc>
          <w:tcPr>
            <w:tcW w:w="9486" w:type="dxa"/>
            <w:tcBorders/>
            <w:vAlign w:val="center"/>
          </w:tcPr>
          <w:p>
            <w:pPr>
              <w:pStyle w:val="TableContents"/>
              <w:bidi w:val="0"/>
              <w:spacing w:before="0" w:after="283"/>
              <w:jc w:val="left"/>
            </w:pPr>
            <w:r>
              <w:t> </w:t>
            </w:r>
          </w:p>
        </w:tc>
      </w:tr>
      <w:tr>
        <w:tc>
          <w:tcPr>
            <w:tcW w:w="6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101.CAL**</w:t>
            </w:r>
          </w:p>
        </w:tc>
        <w:tc>
          <w:tcPr>
            <w:tcW w:w="60" w:type="dxa"/>
            <w:tcBorders/>
            <w:vAlign w:val="center"/>
          </w:tcPr>
          <w:p>
            <w:pPr>
              <w:pStyle w:val="TableContents"/>
              <w:bidi w:val="0"/>
              <w:spacing w:before="0" w:after="0"/>
              <w:ind w:left="0" w:right="0" w:hanging="0"/>
              <w:jc w:val="left"/>
            </w:pPr>
            <w:r>
              <w:t>​</w:t>
            </w:r>
          </w:p>
        </w:tc>
        <w:tc>
          <w:tcPr>
            <w:tcW w:w="9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c>
          <w:tcPr>
            <w:tcW w:w="659" w:type="dxa"/>
            <w:tcBorders/>
            <w:vAlign w:val="center"/>
          </w:tcPr>
          <w:p>
            <w:pPr>
              <w:pStyle w:val="TableContents"/>
              <w:bidi w:val="0"/>
              <w:spacing w:before="0" w:after="0"/>
              <w:ind w:left="0" w:right="0" w:hanging="0"/>
              <w:jc w:val="left"/>
            </w:pPr>
            <w:r>
              <w:t>​</w:t>
            </w:r>
          </w:p>
        </w:tc>
        <w:tc>
          <w:tcPr>
            <w:tcW w:w="60" w:type="dxa"/>
            <w:tcBorders/>
            <w:vAlign w:val="center"/>
          </w:tcPr>
          <w:p>
            <w:pPr>
              <w:pStyle w:val="TableContents"/>
              <w:bidi w:val="0"/>
              <w:spacing w:before="0" w:after="0"/>
              <w:ind w:left="0" w:right="0" w:hanging="0"/>
              <w:jc w:val="left"/>
            </w:pPr>
            <w:r>
              <w:t>​</w:t>
            </w:r>
          </w:p>
        </w:tc>
        <w:tc>
          <w:tcPr>
            <w:tcW w:w="9486" w:type="dxa"/>
            <w:tcBorders/>
            <w:vAlign w:val="center"/>
          </w:tcPr>
          <w:p>
            <w:pPr>
              <w:pStyle w:val="TableContents"/>
              <w:bidi w:val="0"/>
              <w:spacing w:before="0" w:after="0"/>
              <w:ind w:left="0" w:right="0" w:hanging="0"/>
              <w:jc w:val="left"/>
            </w:pPr>
            <w:r>
              <w:t>​</w:t>
            </w:r>
          </w:p>
        </w:tc>
      </w:tr>
      <w:tr>
        <w:tc>
          <w:tcPr>
            <w:tcW w:w="6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101.DEF**</w:t>
            </w:r>
          </w:p>
        </w:tc>
        <w:tc>
          <w:tcPr>
            <w:tcW w:w="60" w:type="dxa"/>
            <w:tcBorders/>
            <w:vAlign w:val="center"/>
          </w:tcPr>
          <w:p>
            <w:pPr>
              <w:pStyle w:val="TableContents"/>
              <w:bidi w:val="0"/>
              <w:spacing w:before="0" w:after="0"/>
              <w:ind w:left="0" w:right="0" w:hanging="0"/>
              <w:jc w:val="left"/>
            </w:pPr>
            <w:r>
              <w:t>​</w:t>
            </w:r>
          </w:p>
        </w:tc>
        <w:tc>
          <w:tcPr>
            <w:tcW w:w="9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r>
      <w:tr>
        <w:tc>
          <w:tcPr>
            <w:tcW w:w="659" w:type="dxa"/>
            <w:tcBorders/>
            <w:vAlign w:val="center"/>
          </w:tcPr>
          <w:p>
            <w:pPr>
              <w:pStyle w:val="TableContents"/>
              <w:bidi w:val="0"/>
              <w:spacing w:before="0" w:after="0"/>
              <w:ind w:left="0" w:right="0" w:hanging="0"/>
              <w:jc w:val="left"/>
            </w:pPr>
            <w:r>
              <w:t>​</w:t>
            </w:r>
          </w:p>
        </w:tc>
        <w:tc>
          <w:tcPr>
            <w:tcW w:w="60" w:type="dxa"/>
            <w:tcBorders/>
            <w:vAlign w:val="center"/>
          </w:tcPr>
          <w:p>
            <w:pPr>
              <w:pStyle w:val="TableContents"/>
              <w:bidi w:val="0"/>
              <w:spacing w:before="0" w:after="0"/>
              <w:ind w:left="0" w:right="0" w:hanging="0"/>
              <w:jc w:val="left"/>
            </w:pPr>
            <w:r>
              <w:t>​</w:t>
            </w:r>
          </w:p>
        </w:tc>
        <w:tc>
          <w:tcPr>
            <w:tcW w:w="9486" w:type="dxa"/>
            <w:tcBorders/>
            <w:vAlign w:val="center"/>
          </w:tcPr>
          <w:p>
            <w:pPr>
              <w:pStyle w:val="TableContents"/>
              <w:bidi w:val="0"/>
              <w:spacing w:before="0" w:after="0"/>
              <w:ind w:left="0" w:right="0" w:hanging="0"/>
              <w:jc w:val="left"/>
            </w:pPr>
            <w:r>
              <w:t>​</w:t>
            </w:r>
          </w:p>
        </w:tc>
      </w:tr>
      <w:tr>
        <w:tc>
          <w:tcPr>
            <w:tcW w:w="6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101.LAB**</w:t>
            </w:r>
          </w:p>
        </w:tc>
        <w:tc>
          <w:tcPr>
            <w:tcW w:w="60" w:type="dxa"/>
            <w:tcBorders/>
            <w:vAlign w:val="center"/>
          </w:tcPr>
          <w:p>
            <w:pPr>
              <w:pStyle w:val="TableContents"/>
              <w:bidi w:val="0"/>
              <w:spacing w:before="0" w:after="0"/>
              <w:ind w:left="0" w:right="0" w:hanging="0"/>
              <w:jc w:val="left"/>
            </w:pPr>
            <w:r>
              <w:t>​</w:t>
            </w:r>
          </w:p>
        </w:tc>
        <w:tc>
          <w:tcPr>
            <w:tcW w:w="9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Label Linkbase Document.</w:t>
            </w:r>
          </w:p>
        </w:tc>
      </w:tr>
      <w:tr>
        <w:tc>
          <w:tcPr>
            <w:tcW w:w="659" w:type="dxa"/>
            <w:tcBorders/>
            <w:vAlign w:val="center"/>
          </w:tcPr>
          <w:p>
            <w:pPr>
              <w:pStyle w:val="TableContents"/>
              <w:bidi w:val="0"/>
              <w:spacing w:before="0" w:after="0"/>
              <w:ind w:left="0" w:right="0" w:hanging="0"/>
              <w:jc w:val="left"/>
            </w:pPr>
            <w:r>
              <w:t>​</w:t>
            </w:r>
          </w:p>
        </w:tc>
        <w:tc>
          <w:tcPr>
            <w:tcW w:w="60" w:type="dxa"/>
            <w:tcBorders/>
            <w:vAlign w:val="center"/>
          </w:tcPr>
          <w:p>
            <w:pPr>
              <w:pStyle w:val="TableContents"/>
              <w:bidi w:val="0"/>
              <w:spacing w:before="0" w:after="0"/>
              <w:ind w:left="0" w:right="0" w:hanging="0"/>
              <w:jc w:val="left"/>
            </w:pPr>
            <w:r>
              <w:t>​</w:t>
            </w:r>
          </w:p>
        </w:tc>
        <w:tc>
          <w:tcPr>
            <w:tcW w:w="9486" w:type="dxa"/>
            <w:tcBorders/>
            <w:vAlign w:val="center"/>
          </w:tcPr>
          <w:p>
            <w:pPr>
              <w:pStyle w:val="TableContents"/>
              <w:bidi w:val="0"/>
              <w:spacing w:before="0" w:after="0"/>
              <w:ind w:left="0" w:right="0" w:hanging="0"/>
              <w:jc w:val="left"/>
            </w:pPr>
            <w:r>
              <w:t>​</w:t>
            </w:r>
          </w:p>
        </w:tc>
      </w:tr>
      <w:tr>
        <w:tc>
          <w:tcPr>
            <w:tcW w:w="6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101.PRE**</w:t>
            </w:r>
          </w:p>
        </w:tc>
        <w:tc>
          <w:tcPr>
            <w:tcW w:w="60" w:type="dxa"/>
            <w:tcBorders/>
            <w:vAlign w:val="center"/>
          </w:tcPr>
          <w:p>
            <w:pPr>
              <w:pStyle w:val="TableContents"/>
              <w:bidi w:val="0"/>
              <w:spacing w:before="0" w:after="0"/>
              <w:ind w:left="0" w:right="0" w:hanging="0"/>
              <w:jc w:val="left"/>
            </w:pPr>
            <w:r>
              <w:t>​</w:t>
            </w:r>
          </w:p>
        </w:tc>
        <w:tc>
          <w:tcPr>
            <w:tcW w:w="9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c>
          <w:tcPr>
            <w:tcW w:w="659" w:type="dxa"/>
            <w:tcBorders/>
            <w:vAlign w:val="center"/>
          </w:tcPr>
          <w:p>
            <w:pPr>
              <w:pStyle w:val="TableContents"/>
              <w:bidi w:val="0"/>
              <w:spacing w:before="0" w:after="0"/>
              <w:ind w:left="0" w:right="0" w:hanging="0"/>
              <w:jc w:val="left"/>
            </w:pPr>
            <w:r>
              <w:t>​</w:t>
            </w:r>
          </w:p>
        </w:tc>
        <w:tc>
          <w:tcPr>
            <w:tcW w:w="60" w:type="dxa"/>
            <w:tcBorders/>
            <w:vAlign w:val="center"/>
          </w:tcPr>
          <w:p>
            <w:pPr>
              <w:pStyle w:val="TableContents"/>
              <w:bidi w:val="0"/>
              <w:spacing w:before="0" w:after="0"/>
              <w:ind w:left="0" w:right="0" w:hanging="0"/>
              <w:jc w:val="left"/>
            </w:pPr>
            <w:r>
              <w:t>​</w:t>
            </w:r>
          </w:p>
        </w:tc>
        <w:tc>
          <w:tcPr>
            <w:tcW w:w="9486" w:type="dxa"/>
            <w:tcBorders/>
            <w:vAlign w:val="center"/>
          </w:tcPr>
          <w:p>
            <w:pPr>
              <w:pStyle w:val="TableContents"/>
              <w:bidi w:val="0"/>
              <w:spacing w:before="0" w:after="0"/>
              <w:ind w:left="0" w:right="0" w:hanging="0"/>
              <w:jc w:val="left"/>
            </w:pPr>
            <w:r>
              <w:t>​</w:t>
            </w:r>
          </w:p>
        </w:tc>
      </w:tr>
      <w:tr>
        <w:tc>
          <w:tcPr>
            <w:tcW w:w="6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60" w:type="dxa"/>
            <w:tcBorders/>
            <w:vAlign w:val="center"/>
          </w:tcPr>
          <w:p>
            <w:pPr>
              <w:pStyle w:val="TableContents"/>
              <w:bidi w:val="0"/>
              <w:spacing w:before="0" w:after="0"/>
              <w:ind w:left="0" w:right="0" w:hanging="0"/>
              <w:jc w:val="left"/>
            </w:pPr>
            <w:r>
              <w:t>​</w:t>
            </w:r>
          </w:p>
        </w:tc>
        <w:tc>
          <w:tcPr>
            <w:tcW w:w="9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r>
    </w:tbl>
    <w:p>
      <w:pPr>
        <w:pStyle w:val="HorizontalLine"/>
        <w:pBdr>
          <w:bottom w:val="double" w:sz="2" w:space="0" w:color="808080"/>
        </w:pBdr>
        <w:bidi w:val="0"/>
        <w:spacing w:before="0" w:after="283"/>
        <w:jc w:val="left"/>
      </w:pPr>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Incorporated herein by reference to the indicated filing.</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Filed herewith.</w:t>
      </w:r>
    </w:p>
    <w:p>
      <w:pPr>
        <w:pStyle w:val="TextBody"/>
        <w:bidi w:val="0"/>
        <w:spacing w:before="0" w:after="0"/>
        <w:ind w:left="0" w:right="0" w:hanging="0"/>
        <w:jc w:val="left"/>
      </w:pPr>
      <w:r>
        <w:t xml:space="preserve">†          </w:t>
      </w:r>
      <w:r>
        <w:rPr>
          <w:rFonts w:ascii="Times New Roman;Times;serif" w:hAnsi="Times New Roman;Times;serif"/>
          <w:sz w:val="20"/>
        </w:rPr>
        <w:t>Management contract, compensatory plan or arrangement.</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35 </w:t>
      </w:r>
    </w:p>
    <w:p>
      <w:pPr>
        <w:pStyle w:val="HorizontalLine"/>
        <w:pBdr>
          <w:bottom w:val="double" w:sz="2" w:space="0" w:color="808080"/>
        </w:pBdr>
        <w:bidi w:val="0"/>
        <w:spacing w:before="0" w:after="283"/>
        <w:jc w:val="left"/>
      </w:pPr>
      <w:r/>
    </w:p>
    <w:p>
      <w:pPr>
        <w:pStyle w:val="TextBody"/>
        <w:bidi w:val="0"/>
        <w:jc w:val="left"/>
      </w:pPr>
      <w:hyperlink w:anchor="toc">
        <w:r>
          <w:rPr>
            <w:rStyle w:val="InternetLink"/>
            <w:rFonts w:ascii="Times New Roman;Times;serif" w:hAnsi="Times New Roman;Times;serif"/>
            <w:sz w:val="20"/>
          </w:rPr>
          <w:t>Table of Contents</w:t>
        </w:r>
      </w:hyperlink>
      <w:r>
        <w:t xml:space="preserve"> </w:t>
      </w:r>
    </w:p>
    <w:p>
      <w:pPr>
        <w:pStyle w:val="TextBody"/>
        <w:bidi w:val="0"/>
        <w:spacing w:before="0" w:after="0"/>
        <w:ind w:left="0" w:right="0" w:hanging="0"/>
        <w:jc w:val="left"/>
      </w:pPr>
      <w:r>
        <w:t> </w:t>
      </w:r>
    </w:p>
    <w:p>
      <w:pPr>
        <w:pStyle w:val="TextBody"/>
        <w:bidi w:val="0"/>
        <w:spacing w:before="0" w:after="0"/>
        <w:ind w:left="0" w:right="0" w:hanging="0"/>
        <w:jc w:val="center"/>
        <w:rPr>
          <w:rFonts w:ascii="Times New Roman;Times;serif" w:hAnsi="Times New Roman;Times;serif"/>
          <w:b/>
          <w:sz w:val="20"/>
        </w:rPr>
      </w:pPr>
      <w:bookmarkStart w:id="19" w:name="sigs"/>
      <w:bookmarkEnd w:id="19"/>
      <w:r>
        <w:rPr>
          <w:rFonts w:ascii="Times New Roman;Times;serif" w:hAnsi="Times New Roman;Times;serif"/>
          <w:b/>
          <w:sz w:val="20"/>
        </w:rPr>
        <w:t>SIGNATURES</w:t>
      </w:r>
    </w:p>
    <w:p>
      <w:pPr>
        <w:pStyle w:val="TextBody"/>
        <w:bidi w:val="0"/>
        <w:spacing w:before="0" w:after="0"/>
        <w:ind w:left="0" w:right="0" w:hanging="0"/>
        <w:jc w:val="center"/>
      </w:pPr>
      <w: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pPr>
      <w:r>
        <w:t>​</w:t>
      </w:r>
    </w:p>
    <w:tbl>
      <w:tblPr>
        <w:tblW w:w="7335" w:type="dxa"/>
        <w:jc w:val="left"/>
        <w:tblInd w:w="0" w:type="dxa"/>
        <w:tblLayout w:type="fixed"/>
        <w:tblCellMar>
          <w:top w:w="0" w:type="dxa"/>
          <w:left w:w="0" w:type="dxa"/>
          <w:bottom w:w="0" w:type="dxa"/>
          <w:right w:w="0" w:type="dxa"/>
        </w:tblCellMar>
      </w:tblPr>
      <w:tblGrid>
        <w:gridCol w:w="2000"/>
        <w:gridCol w:w="320"/>
        <w:gridCol w:w="5015"/>
      </w:tblGrid>
      <w:tr>
        <w:tc>
          <w:tcPr>
            <w:tcW w:w="2000" w:type="dxa"/>
            <w:tcBorders/>
            <w:vAlign w:val="center"/>
          </w:tcPr>
          <w:p>
            <w:pPr>
              <w:pStyle w:val="TableContents"/>
              <w:bidi w:val="0"/>
              <w:spacing w:before="0" w:after="0"/>
              <w:ind w:left="0" w:right="0" w:hanging="0"/>
              <w:jc w:val="left"/>
            </w:pPr>
            <w:r>
              <w:t>​</w:t>
            </w:r>
          </w:p>
        </w:tc>
        <w:tc>
          <w:tcPr>
            <w:tcW w:w="5335"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APPLIED OPTOELECTRONICS, INC.</w:t>
            </w:r>
          </w:p>
        </w:tc>
      </w:tr>
      <w:tr>
        <w:tc>
          <w:tcPr>
            <w:tcW w:w="2000" w:type="dxa"/>
            <w:tcBorders/>
            <w:vAlign w:val="center"/>
          </w:tcPr>
          <w:p>
            <w:pPr>
              <w:pStyle w:val="TableContents"/>
              <w:bidi w:val="0"/>
              <w:spacing w:before="0" w:after="0"/>
              <w:ind w:left="0" w:right="0" w:hanging="0"/>
              <w:jc w:val="left"/>
            </w:pPr>
            <w:r>
              <w:t>​</w:t>
            </w:r>
          </w:p>
        </w:tc>
        <w:tc>
          <w:tcPr>
            <w:tcW w:w="320" w:type="dxa"/>
            <w:tcBorders/>
            <w:vAlign w:val="center"/>
          </w:tcPr>
          <w:p>
            <w:pPr>
              <w:pStyle w:val="TableContents"/>
              <w:bidi w:val="0"/>
              <w:spacing w:before="0" w:after="0"/>
              <w:ind w:left="0" w:right="0" w:hanging="0"/>
              <w:jc w:val="left"/>
            </w:pPr>
            <w:r>
              <w:t>​</w:t>
            </w:r>
          </w:p>
        </w:tc>
        <w:tc>
          <w:tcPr>
            <w:tcW w:w="5015" w:type="dxa"/>
            <w:tcBorders/>
            <w:vAlign w:val="center"/>
          </w:tcPr>
          <w:p>
            <w:pPr>
              <w:pStyle w:val="TableContents"/>
              <w:bidi w:val="0"/>
              <w:spacing w:before="0" w:after="0"/>
              <w:ind w:left="0" w:right="0" w:hanging="0"/>
              <w:jc w:val="left"/>
            </w:pPr>
            <w:r>
              <w:t>​</w:t>
            </w:r>
          </w:p>
        </w:tc>
      </w:tr>
      <w:tr>
        <w:tc>
          <w:tcPr>
            <w:tcW w:w="20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5, 2026</w:t>
            </w:r>
          </w:p>
        </w:tc>
        <w:tc>
          <w:tcPr>
            <w:tcW w:w="3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501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STEFAN J. MURRY</w:t>
            </w:r>
          </w:p>
        </w:tc>
      </w:tr>
      <w:tr>
        <w:tc>
          <w:tcPr>
            <w:tcW w:w="2000" w:type="dxa"/>
            <w:tcBorders/>
            <w:vAlign w:val="center"/>
          </w:tcPr>
          <w:p>
            <w:pPr>
              <w:pStyle w:val="TableContents"/>
              <w:bidi w:val="0"/>
              <w:spacing w:before="0" w:after="0"/>
              <w:ind w:left="0" w:right="0" w:hanging="0"/>
              <w:jc w:val="left"/>
            </w:pPr>
            <w:r>
              <w:t>​</w:t>
            </w:r>
          </w:p>
        </w:tc>
        <w:tc>
          <w:tcPr>
            <w:tcW w:w="320" w:type="dxa"/>
            <w:tcBorders/>
            <w:vAlign w:val="center"/>
          </w:tcPr>
          <w:p>
            <w:pPr>
              <w:pStyle w:val="TableContents"/>
              <w:bidi w:val="0"/>
              <w:spacing w:before="0" w:after="0"/>
              <w:ind w:left="0" w:right="0" w:hanging="0"/>
              <w:jc w:val="left"/>
            </w:pPr>
            <w:r>
              <w:t>​</w:t>
            </w:r>
          </w:p>
        </w:tc>
        <w:tc>
          <w:tcPr>
            <w:tcW w:w="5015" w:type="dxa"/>
            <w:tcBorders/>
            <w:vAlign w:val="center"/>
          </w:tcPr>
          <w:p>
            <w:pPr>
              <w:pStyle w:val="TableContents"/>
              <w:bidi w:val="0"/>
              <w:spacing w:before="0" w:after="0"/>
              <w:ind w:left="0" w:right="0" w:hanging="0"/>
              <w:jc w:val="left"/>
              <w:rPr>
                <w:rFonts w:ascii="Times New Roman;Times;serif" w:hAnsi="Times New Roman;Times;serif"/>
                <w:smallCaps/>
                <w:sz w:val="20"/>
              </w:rPr>
            </w:pPr>
            <w:r>
              <w:rPr>
                <w:rFonts w:ascii="Times New Roman;Times;serif" w:hAnsi="Times New Roman;Times;serif"/>
                <w:smallCaps/>
                <w:sz w:val="20"/>
              </w:rPr>
              <w:t>Stefan J. Murry</w:t>
            </w:r>
          </w:p>
        </w:tc>
      </w:tr>
      <w:tr>
        <w:tc>
          <w:tcPr>
            <w:tcW w:w="2000" w:type="dxa"/>
            <w:tcBorders/>
            <w:vAlign w:val="center"/>
          </w:tcPr>
          <w:p>
            <w:pPr>
              <w:pStyle w:val="TableContents"/>
              <w:bidi w:val="0"/>
              <w:spacing w:before="0" w:after="0"/>
              <w:ind w:left="0" w:right="0" w:hanging="0"/>
              <w:jc w:val="left"/>
            </w:pPr>
            <w:r>
              <w:t>​</w:t>
            </w:r>
          </w:p>
        </w:tc>
        <w:tc>
          <w:tcPr>
            <w:tcW w:w="320" w:type="dxa"/>
            <w:tcBorders/>
            <w:vAlign w:val="center"/>
          </w:tcPr>
          <w:p>
            <w:pPr>
              <w:pStyle w:val="TableContents"/>
              <w:bidi w:val="0"/>
              <w:spacing w:before="0" w:after="0"/>
              <w:ind w:left="0" w:right="0" w:hanging="0"/>
              <w:jc w:val="left"/>
            </w:pPr>
            <w:r>
              <w:t>​</w:t>
            </w:r>
          </w:p>
        </w:tc>
        <w:tc>
          <w:tcPr>
            <w:tcW w:w="50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c>
          <w:tcPr>
            <w:tcW w:w="2000" w:type="dxa"/>
            <w:tcBorders/>
            <w:vAlign w:val="center"/>
          </w:tcPr>
          <w:p>
            <w:pPr>
              <w:pStyle w:val="TableContents"/>
              <w:bidi w:val="0"/>
              <w:spacing w:before="0" w:after="0"/>
              <w:ind w:left="0" w:right="0" w:hanging="0"/>
              <w:jc w:val="left"/>
            </w:pPr>
            <w:r>
              <w:t>​</w:t>
            </w:r>
          </w:p>
        </w:tc>
        <w:tc>
          <w:tcPr>
            <w:tcW w:w="320" w:type="dxa"/>
            <w:tcBorders/>
            <w:vAlign w:val="center"/>
          </w:tcPr>
          <w:p>
            <w:pPr>
              <w:pStyle w:val="TableContents"/>
              <w:bidi w:val="0"/>
              <w:spacing w:before="0" w:after="0"/>
              <w:ind w:left="0" w:right="0" w:hanging="0"/>
              <w:jc w:val="left"/>
            </w:pPr>
            <w:r>
              <w:t>​</w:t>
            </w:r>
          </w:p>
        </w:tc>
        <w:tc>
          <w:tcPr>
            <w:tcW w:w="5015"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(principal financial officer and principal accounting officer)</w:t>
            </w:r>
          </w:p>
        </w:tc>
      </w:tr>
    </w:tbl>
    <w:p>
      <w:pPr>
        <w:pStyle w:val="TextBody"/>
        <w:bidi w:val="0"/>
        <w:spacing w:before="0" w:after="0"/>
        <w:ind w:left="0" w:right="0" w:hanging="0"/>
        <w:jc w:val="left"/>
      </w:pPr>
      <w:r>
        <w:t>​</w:t>
      </w:r>
    </w:p>
    <w:p>
      <w:pPr>
        <w:pStyle w:val="TextBody"/>
        <w:bidi w:val="0"/>
        <w:spacing w:before="0" w:after="0"/>
        <w:ind w:left="0" w:right="0" w:hanging="0"/>
        <w:jc w:val="left"/>
      </w:pPr>
      <w:r>
        <w:t>​</w:t>
      </w:r>
    </w:p>
    <w:p>
      <w:pPr>
        <w:pStyle w:val="TextBody"/>
        <w:bidi w:val="0"/>
        <w:spacing w:before="0" w:after="0"/>
        <w:ind w:left="0" w:right="0" w:hanging="0"/>
        <w:jc w:val="left"/>
      </w:pPr>
      <w:r>
        <w:t> </w:t>
      </w:r>
    </w:p>
    <w:p>
      <w:pPr>
        <w:pStyle w:val="TextBody"/>
        <w:bidi w:val="0"/>
        <w:spacing w:before="0" w:after="0"/>
        <w:ind w:left="0" w:right="0" w:hanging="0"/>
        <w:jc w:val="left"/>
      </w:pPr>
      <w:r>
        <w:t> </w:t>
      </w:r>
    </w:p>
    <w:p>
      <w:pPr>
        <w:pStyle w:val="TextBody"/>
        <w:bidi w:val="0"/>
        <w:spacing w:before="0" w:after="0"/>
        <w:ind w:left="0" w:right="0" w:hanging="0"/>
        <w:jc w:val="left"/>
      </w:pPr>
      <w:r>
        <w:t> </w:t>
      </w:r>
    </w:p>
    <w:p>
      <w:pPr>
        <w:pStyle w:val="TextBody"/>
        <w:bidi w:val="0"/>
        <w:spacing w:before="0" w:after="0"/>
        <w:ind w:left="0" w:right="0" w:hanging="0"/>
        <w:jc w:val="left"/>
      </w:pPr>
      <w:r>
        <w:t> </w:t>
      </w:r>
    </w:p>
    <w:p>
      <w:pPr>
        <w:pStyle w:val="TextBody"/>
        <w:bidi w:val="0"/>
        <w:spacing w:before="0" w:after="0"/>
        <w:ind w:left="0" w:right="0" w:hanging="0"/>
        <w:jc w:val="left"/>
      </w:pPr>
      <w:r>
        <w:t> </w:t>
      </w:r>
    </w:p>
    <w:p>
      <w:pPr>
        <w:pStyle w:val="TextBody"/>
        <w:bidi w:val="0"/>
        <w:spacing w:before="0" w:after="0"/>
        <w:ind w:left="0" w:right="0" w:hanging="0"/>
        <w:jc w:val="left"/>
      </w:pPr>
      <w:r>
        <w:t> </w:t>
      </w:r>
    </w:p>
    <w:p>
      <w:pPr>
        <w:pStyle w:val="TextBody"/>
        <w:bidi w:val="0"/>
        <w:spacing w:before="0" w:after="0"/>
        <w:ind w:left="0" w:right="0" w:hanging="0"/>
        <w:jc w:val="left"/>
      </w:pPr>
      <w:r>
        <w:t> </w:t>
      </w:r>
    </w:p>
    <w:p>
      <w:pPr>
        <w:pStyle w:val="TextBody"/>
        <w:bidi w:val="0"/>
        <w:spacing w:before="0" w:after="0"/>
        <w:ind w:left="0" w:right="0" w:hanging="0"/>
        <w:jc w:val="left"/>
      </w:pPr>
      <w:r>
        <w:t> </w:t>
      </w:r>
    </w:p>
    <w:p>
      <w:pPr>
        <w:pStyle w:val="TextBody"/>
        <w:bidi w:val="0"/>
        <w:spacing w:before="0" w:after="0"/>
        <w:ind w:left="0" w:right="0" w:hanging="0"/>
        <w:jc w:val="left"/>
      </w:pPr>
      <w:r>
        <w:t> </w:t>
      </w:r>
    </w:p>
    <w:p>
      <w:pPr>
        <w:pStyle w:val="TextBody"/>
        <w:bidi w:val="0"/>
        <w:spacing w:before="0" w:after="0"/>
        <w:ind w:left="0" w:right="0" w:hanging="0"/>
        <w:jc w:val="left"/>
      </w:pPr>
      <w:r>
        <w:t> </w:t>
      </w:r>
    </w:p>
    <w:p>
      <w:pPr>
        <w:pStyle w:val="TextBody"/>
        <w:bidi w:val="0"/>
        <w:jc w:val="center"/>
        <w:rPr>
          <w:rFonts w:ascii="Times New Roman" w:hAnsi="Times New Roman"/>
          <w:sz w:val="20"/>
        </w:rPr>
      </w:pPr>
      <w:r>
        <w:rPr>
          <w:rFonts w:ascii="Times New Roman" w:hAnsi="Times New Roman"/>
          <w:sz w:val="20"/>
        </w:rPr>
        <w:t xml:space="preserve">36 </w:t>
      </w:r>
    </w:p>
    <w:p>
      <w:pPr>
        <w:pStyle w:val="TextBody"/>
        <w:bidi w:val="0"/>
        <w:spacing w:before="0" w:after="0"/>
        <w:ind w:left="0" w:right="0" w:hanging="0"/>
        <w:jc w:val="right"/>
        <w:rPr>
          <w:rFonts w:ascii="Times New Roman;Times;serif" w:hAnsi="Times New Roman;Times;serif"/>
          <w:sz w:val="20"/>
        </w:rPr>
      </w:pPr>
      <w:bookmarkStart w:id="20" w:name="ex_1009219.htm"/>
      <w:bookmarkStart w:id="21" w:name="ksex_1009219"/>
      <w:bookmarkEnd w:id="20"/>
      <w:bookmarkEnd w:id="21"/>
      <w:r>
        <w:rPr>
          <w:rFonts w:ascii="Times New Roman;Times;serif" w:hAnsi="Times New Roman;Times;serif"/>
          <w:b/>
          <w:sz w:val="20"/>
        </w:rPr>
        <w:t>Exhibit 31.1</w:t>
      </w:r>
      <w:r>
        <w:rPr>
          <w:rFonts w:ascii="Times New Roman;Times;serif" w:hAnsi="Times New Roman;Times;serif"/>
          <w:sz w:val="20"/>
        </w:rPr>
        <w:t> </w:t>
      </w:r>
      <w:r>
        <w:br w:type="page"/>
      </w:r>
    </w:p>
    <w:p>
      <w:pPr>
        <w:pStyle w:val="TextBody"/>
        <w:bidi w:val="0"/>
        <w:spacing w:before="0" w:after="0"/>
        <w:ind w:left="0" w:right="0" w:hanging="0"/>
        <w:jc w:val="center"/>
      </w:pPr>
      <w: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Certification</w:t>
      </w:r>
      <w:r>
        <w:rPr>
          <w:rFonts w:ascii="Times New Roman;Times;serif" w:hAnsi="Times New Roman;Times;serif"/>
          <w:sz w:val="20"/>
        </w:rPr>
        <w:t> </w:t>
      </w:r>
    </w:p>
    <w:p>
      <w:pPr>
        <w:pStyle w:val="TextBody"/>
        <w:bidi w:val="0"/>
        <w:spacing w:before="0" w:after="0"/>
        <w:ind w:left="0" w:right="0" w:hanging="0"/>
        <w:jc w:val="center"/>
      </w:pPr>
      <w: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Chih-Hsiang (Thompson) Lin, certify that:</w:t>
      </w:r>
    </w:p>
    <w:p>
      <w:pPr>
        <w:pStyle w:val="TextBody"/>
        <w:bidi w:val="0"/>
        <w:spacing w:before="0" w:after="0"/>
        <w:ind w:left="0" w:right="0" w:hanging="0"/>
        <w:jc w:val="left"/>
      </w:pPr>
      <w:r>
        <w:t>  </w:t>
      </w:r>
    </w:p>
    <w:tbl>
      <w:tblPr>
        <w:tblW w:w="7090" w:type="dxa"/>
        <w:jc w:val="left"/>
        <w:tblInd w:w="0" w:type="dxa"/>
        <w:tblLayout w:type="fixed"/>
        <w:tblCellMar>
          <w:top w:w="0" w:type="dxa"/>
          <w:left w:w="0" w:type="dxa"/>
          <w:bottom w:w="0" w:type="dxa"/>
          <w:right w:w="0" w:type="dxa"/>
        </w:tblCellMar>
      </w:tblPr>
      <w:tblGrid>
        <w:gridCol w:w="170"/>
        <w:gridCol w:w="6920"/>
      </w:tblGrid>
      <w:tr>
        <w:tc>
          <w:tcPr>
            <w:tcW w:w="1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69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have reviewed this Quarterly Report on Form 10-Q of Applied Optoelectronics, Inc.;</w:t>
            </w:r>
          </w:p>
        </w:tc>
      </w:tr>
    </w:tbl>
    <w:p>
      <w:pPr>
        <w:pStyle w:val="TextBody"/>
        <w:bidi w:val="0"/>
        <w:spacing w:before="0" w:after="0"/>
        <w:ind w:left="720" w:right="0" w:hanging="720"/>
        <w:jc w:val="left"/>
      </w:pPr>
      <w:r>
        <w:t>  </w:t>
      </w:r>
    </w:p>
    <w:tbl>
      <w:tblPr>
        <w:tblW w:w="10205" w:type="dxa"/>
        <w:jc w:val="left"/>
        <w:tblInd w:w="0" w:type="dxa"/>
        <w:tblLayout w:type="fixed"/>
        <w:tblCellMar>
          <w:top w:w="0" w:type="dxa"/>
          <w:left w:w="0" w:type="dxa"/>
          <w:bottom w:w="0" w:type="dxa"/>
          <w:right w:w="0" w:type="dxa"/>
        </w:tblCellMar>
      </w:tblPr>
      <w:tblGrid>
        <w:gridCol w:w="142"/>
        <w:gridCol w:w="10063"/>
      </w:tblGrid>
      <w:tr>
        <w:tc>
          <w:tcPr>
            <w:tcW w:w="1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720" w:right="0" w:hanging="720"/>
        <w:jc w:val="left"/>
      </w:pPr>
      <w:r>
        <w:t>  </w:t>
      </w:r>
    </w:p>
    <w:tbl>
      <w:tblPr>
        <w:tblW w:w="10205" w:type="dxa"/>
        <w:jc w:val="left"/>
        <w:tblInd w:w="0" w:type="dxa"/>
        <w:tblLayout w:type="fixed"/>
        <w:tblCellMar>
          <w:top w:w="0" w:type="dxa"/>
          <w:left w:w="0" w:type="dxa"/>
          <w:bottom w:w="0" w:type="dxa"/>
          <w:right w:w="0" w:type="dxa"/>
        </w:tblCellMar>
      </w:tblPr>
      <w:tblGrid>
        <w:gridCol w:w="144"/>
        <w:gridCol w:w="10061"/>
      </w:tblGrid>
      <w:tr>
        <w:tc>
          <w:tcPr>
            <w:tcW w:w="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 and for, the periods presented in this report;</w:t>
            </w:r>
          </w:p>
        </w:tc>
      </w:tr>
    </w:tbl>
    <w:p>
      <w:pPr>
        <w:pStyle w:val="TextBody"/>
        <w:bidi w:val="0"/>
        <w:spacing w:before="0" w:after="0"/>
        <w:ind w:left="720" w:right="0" w:hanging="720"/>
        <w:jc w:val="left"/>
      </w:pPr>
      <w:r>
        <w:t>  </w:t>
      </w:r>
    </w:p>
    <w:tbl>
      <w:tblPr>
        <w:tblW w:w="10205" w:type="dxa"/>
        <w:jc w:val="left"/>
        <w:tblInd w:w="0" w:type="dxa"/>
        <w:tblLayout w:type="fixed"/>
        <w:tblCellMar>
          <w:top w:w="0" w:type="dxa"/>
          <w:left w:w="0" w:type="dxa"/>
          <w:bottom w:w="0" w:type="dxa"/>
          <w:right w:w="0" w:type="dxa"/>
        </w:tblCellMar>
      </w:tblPr>
      <w:tblGrid>
        <w:gridCol w:w="141"/>
        <w:gridCol w:w="10064"/>
      </w:tblGrid>
      <w:tr>
        <w:tc>
          <w:tcPr>
            <w:tcW w:w="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pPr>
      <w:r>
        <w:t>  </w:t>
      </w:r>
    </w:p>
    <w:tbl>
      <w:tblPr>
        <w:tblW w:w="10205" w:type="dxa"/>
        <w:jc w:val="left"/>
        <w:tblInd w:w="0" w:type="dxa"/>
        <w:tblLayout w:type="fixed"/>
        <w:tblCellMar>
          <w:top w:w="0" w:type="dxa"/>
          <w:left w:w="0" w:type="dxa"/>
          <w:bottom w:w="0" w:type="dxa"/>
          <w:right w:w="0" w:type="dxa"/>
        </w:tblCellMar>
      </w:tblPr>
      <w:tblGrid>
        <w:gridCol w:w="60"/>
        <w:gridCol w:w="129"/>
        <w:gridCol w:w="10016"/>
      </w:tblGrid>
      <w:tr>
        <w:tc>
          <w:tcPr>
            <w:tcW w:w="60" w:type="dxa"/>
            <w:tcBorders/>
            <w:vAlign w:val="center"/>
          </w:tcPr>
          <w:p>
            <w:pPr>
              <w:pStyle w:val="TableContents"/>
              <w:bidi w:val="0"/>
              <w:spacing w:before="0" w:after="283"/>
              <w:jc w:val="left"/>
            </w:pPr>
            <w:r>
              <w:t> </w:t>
            </w:r>
          </w:p>
        </w:tc>
        <w:tc>
          <w:tcPr>
            <w:tcW w:w="1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10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1440" w:right="0" w:hanging="360"/>
        <w:jc w:val="left"/>
      </w:pPr>
      <w: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c>
          <w:tcPr>
            <w:tcW w:w="60" w:type="dxa"/>
            <w:tcBorders/>
            <w:vAlign w:val="center"/>
          </w:tcPr>
          <w:p>
            <w:pPr>
              <w:pStyle w:val="TableContents"/>
              <w:bidi w:val="0"/>
              <w:spacing w:before="0" w:after="283"/>
              <w:jc w:val="left"/>
            </w:pPr>
            <w:r>
              <w:t> </w:t>
            </w:r>
          </w:p>
        </w:tc>
        <w:tc>
          <w:tcPr>
            <w:tcW w:w="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10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1440" w:right="0" w:hanging="360"/>
        <w:jc w:val="left"/>
      </w:pPr>
      <w:r>
        <w:t>  </w:t>
      </w:r>
    </w:p>
    <w:tbl>
      <w:tblPr>
        <w:tblW w:w="10205" w:type="dxa"/>
        <w:jc w:val="left"/>
        <w:tblInd w:w="0" w:type="dxa"/>
        <w:tblLayout w:type="fixed"/>
        <w:tblCellMar>
          <w:top w:w="0" w:type="dxa"/>
          <w:left w:w="0" w:type="dxa"/>
          <w:bottom w:w="0" w:type="dxa"/>
          <w:right w:w="0" w:type="dxa"/>
        </w:tblCellMar>
      </w:tblPr>
      <w:tblGrid>
        <w:gridCol w:w="60"/>
        <w:gridCol w:w="135"/>
        <w:gridCol w:w="10010"/>
      </w:tblGrid>
      <w:tr>
        <w:tc>
          <w:tcPr>
            <w:tcW w:w="60" w:type="dxa"/>
            <w:tcBorders/>
            <w:vAlign w:val="center"/>
          </w:tcPr>
          <w:p>
            <w:pPr>
              <w:pStyle w:val="TableContents"/>
              <w:bidi w:val="0"/>
              <w:spacing w:before="0" w:after="283"/>
              <w:jc w:val="left"/>
            </w:pPr>
            <w:r>
              <w:t> </w:t>
            </w:r>
          </w:p>
        </w:tc>
        <w:tc>
          <w:tcPr>
            <w:tcW w:w="1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w:t>
            </w:r>
          </w:p>
        </w:tc>
        <w:tc>
          <w:tcPr>
            <w:tcW w:w="100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1440" w:right="0" w:hanging="360"/>
        <w:jc w:val="left"/>
      </w:pPr>
      <w: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c>
          <w:tcPr>
            <w:tcW w:w="60" w:type="dxa"/>
            <w:tcBorders/>
            <w:vAlign w:val="center"/>
          </w:tcPr>
          <w:p>
            <w:pPr>
              <w:pStyle w:val="TableContents"/>
              <w:bidi w:val="0"/>
              <w:spacing w:before="0" w:after="283"/>
              <w:jc w:val="left"/>
            </w:pPr>
            <w:r>
              <w:t> </w:t>
            </w:r>
          </w:p>
        </w:tc>
        <w:tc>
          <w:tcPr>
            <w:tcW w:w="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w:t>
            </w:r>
          </w:p>
        </w:tc>
        <w:tc>
          <w:tcPr>
            <w:tcW w:w="10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pPr>
      <w:r>
        <w:t>  </w:t>
      </w:r>
    </w:p>
    <w:tbl>
      <w:tblPr>
        <w:tblW w:w="10205" w:type="dxa"/>
        <w:jc w:val="left"/>
        <w:tblInd w:w="0" w:type="dxa"/>
        <w:tblLayout w:type="fixed"/>
        <w:tblCellMar>
          <w:top w:w="0" w:type="dxa"/>
          <w:left w:w="0" w:type="dxa"/>
          <w:bottom w:w="0" w:type="dxa"/>
          <w:right w:w="0" w:type="dxa"/>
        </w:tblCellMar>
      </w:tblPr>
      <w:tblGrid>
        <w:gridCol w:w="144"/>
        <w:gridCol w:w="10061"/>
      </w:tblGrid>
      <w:tr>
        <w:tc>
          <w:tcPr>
            <w:tcW w:w="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w:t>
            </w:r>
          </w:p>
        </w:tc>
        <w:tc>
          <w:tcPr>
            <w:tcW w:w="10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pPr>
      <w:r>
        <w:t>  </w:t>
      </w:r>
    </w:p>
    <w:tbl>
      <w:tblPr>
        <w:tblW w:w="10205" w:type="dxa"/>
        <w:jc w:val="left"/>
        <w:tblInd w:w="0" w:type="dxa"/>
        <w:tblLayout w:type="fixed"/>
        <w:tblCellMar>
          <w:top w:w="0" w:type="dxa"/>
          <w:left w:w="0" w:type="dxa"/>
          <w:bottom w:w="0" w:type="dxa"/>
          <w:right w:w="0" w:type="dxa"/>
        </w:tblCellMar>
      </w:tblPr>
      <w:tblGrid>
        <w:gridCol w:w="60"/>
        <w:gridCol w:w="137"/>
        <w:gridCol w:w="10008"/>
      </w:tblGrid>
      <w:tr>
        <w:tc>
          <w:tcPr>
            <w:tcW w:w="60" w:type="dxa"/>
            <w:tcBorders/>
            <w:vAlign w:val="center"/>
          </w:tcPr>
          <w:p>
            <w:pPr>
              <w:pStyle w:val="TableContents"/>
              <w:bidi w:val="0"/>
              <w:spacing w:before="0" w:after="283"/>
              <w:jc w:val="left"/>
            </w:pPr>
            <w:r>
              <w:t> </w:t>
            </w:r>
          </w:p>
        </w:tc>
        <w:tc>
          <w:tcPr>
            <w:tcW w:w="1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100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1440" w:right="0" w:hanging="360"/>
        <w:jc w:val="left"/>
      </w:pPr>
      <w:r>
        <w:t>  </w:t>
      </w:r>
    </w:p>
    <w:tbl>
      <w:tblPr>
        <w:tblW w:w="10205" w:type="dxa"/>
        <w:jc w:val="left"/>
        <w:tblInd w:w="0" w:type="dxa"/>
        <w:tblLayout w:type="fixed"/>
        <w:tblCellMar>
          <w:top w:w="0" w:type="dxa"/>
          <w:left w:w="0" w:type="dxa"/>
          <w:bottom w:w="0" w:type="dxa"/>
          <w:right w:w="0" w:type="dxa"/>
        </w:tblCellMar>
      </w:tblPr>
      <w:tblGrid>
        <w:gridCol w:w="60"/>
        <w:gridCol w:w="167"/>
        <w:gridCol w:w="9978"/>
      </w:tblGrid>
      <w:tr>
        <w:tc>
          <w:tcPr>
            <w:tcW w:w="60" w:type="dxa"/>
            <w:tcBorders/>
            <w:vAlign w:val="center"/>
          </w:tcPr>
          <w:p>
            <w:pPr>
              <w:pStyle w:val="TableContents"/>
              <w:bidi w:val="0"/>
              <w:spacing w:before="0" w:after="283"/>
              <w:jc w:val="left"/>
            </w:pPr>
            <w:r>
              <w:t> </w:t>
            </w:r>
          </w:p>
        </w:tc>
        <w:tc>
          <w:tcPr>
            <w:tcW w:w="1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pPr>
      <w:r>
        <w:t>  </w:t>
      </w:r>
    </w:p>
    <w:p>
      <w:pPr>
        <w:pStyle w:val="TextBody"/>
        <w:bidi w:val="0"/>
        <w:spacing w:before="0" w:after="0"/>
        <w:ind w:left="0" w:right="0" w:hanging="0"/>
        <w:jc w:val="left"/>
      </w:pPr>
      <w: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5, 2026</w:t>
      </w:r>
    </w:p>
    <w:p>
      <w:pPr>
        <w:pStyle w:val="TextBody"/>
        <w:bidi w:val="0"/>
        <w:spacing w:before="0" w:after="0"/>
        <w:ind w:left="0" w:right="0" w:hanging="0"/>
        <w:jc w:val="center"/>
      </w:pPr>
      <w:r>
        <w:t>  </w:t>
      </w:r>
    </w:p>
    <w:tbl>
      <w:tblPr>
        <w:tblW w:w="3140" w:type="dxa"/>
        <w:jc w:val="left"/>
        <w:tblInd w:w="0" w:type="dxa"/>
        <w:tblLayout w:type="fixed"/>
        <w:tblCellMar>
          <w:top w:w="0" w:type="dxa"/>
          <w:left w:w="0" w:type="dxa"/>
          <w:bottom w:w="28" w:type="dxa"/>
          <w:right w:w="0" w:type="dxa"/>
        </w:tblCellMar>
      </w:tblPr>
      <w:tblGrid>
        <w:gridCol w:w="3080"/>
        <w:gridCol w:w="60"/>
      </w:tblGrid>
      <w:tr>
        <w:tc>
          <w:tcPr>
            <w:tcW w:w="308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CHIH-HSIANG (THOMPSON) LIN</w:t>
            </w:r>
          </w:p>
        </w:tc>
        <w:tc>
          <w:tcPr>
            <w:tcW w:w="60" w:type="dxa"/>
            <w:tcBorders/>
            <w:tcMar>
              <w:bottom w:w="0" w:type="dxa"/>
            </w:tcMar>
            <w:vAlign w:val="center"/>
          </w:tcPr>
          <w:p>
            <w:pPr>
              <w:pStyle w:val="TableContents"/>
              <w:bidi w:val="0"/>
              <w:spacing w:before="0" w:after="0"/>
              <w:ind w:left="0" w:right="0" w:hanging="0"/>
              <w:jc w:val="left"/>
            </w:pPr>
            <w:r>
              <w:t> </w:t>
            </w:r>
          </w:p>
        </w:tc>
      </w:tr>
      <w:tr>
        <w:tc>
          <w:tcPr>
            <w:tcW w:w="308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CHIH-HSIANG (THOMPSON) LIN</w:t>
            </w:r>
          </w:p>
        </w:tc>
        <w:tc>
          <w:tcPr>
            <w:tcW w:w="60" w:type="dxa"/>
            <w:tcBorders/>
            <w:tcMar>
              <w:bottom w:w="0" w:type="dxa"/>
            </w:tcMar>
            <w:vAlign w:val="center"/>
          </w:tcPr>
          <w:p>
            <w:pPr>
              <w:pStyle w:val="TableContents"/>
              <w:bidi w:val="0"/>
              <w:spacing w:before="0" w:after="0"/>
              <w:ind w:left="0" w:right="0" w:hanging="0"/>
              <w:jc w:val="left"/>
            </w:pPr>
            <w:r>
              <w:t> </w:t>
            </w:r>
          </w:p>
        </w:tc>
      </w:tr>
      <w:tr>
        <w:tc>
          <w:tcPr>
            <w:tcW w:w="308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c>
          <w:tcPr>
            <w:tcW w:w="60" w:type="dxa"/>
            <w:tcBorders/>
            <w:tcMar>
              <w:bottom w:w="0" w:type="dxa"/>
            </w:tcMar>
            <w:vAlign w:val="center"/>
          </w:tcPr>
          <w:p>
            <w:pPr>
              <w:pStyle w:val="TableContents"/>
              <w:bidi w:val="0"/>
              <w:spacing w:before="0" w:after="0"/>
              <w:ind w:left="0" w:right="0" w:hanging="0"/>
              <w:jc w:val="left"/>
            </w:pPr>
            <w:r>
              <w:t> </w:t>
            </w:r>
          </w:p>
        </w:tc>
      </w:tr>
    </w:tbl>
    <w:p>
      <w:pPr>
        <w:pStyle w:val="TextBody"/>
        <w:bidi w:val="0"/>
        <w:spacing w:before="0" w:after="0"/>
        <w:ind w:left="0" w:right="0" w:hanging="0"/>
        <w:jc w:val="left"/>
      </w:pPr>
      <w:r>
        <w:t>  </w:t>
      </w:r>
    </w:p>
    <w:p>
      <w:pPr>
        <w:pStyle w:val="TextBody"/>
        <w:bidi w:val="0"/>
        <w:spacing w:before="0" w:after="283"/>
        <w:jc w:val="left"/>
      </w:pPr>
      <w:r>
        <w:t> </w:t>
      </w:r>
    </w:p>
    <w:p>
      <w:pPr>
        <w:pStyle w:val="TextBody"/>
        <w:bidi w:val="0"/>
        <w:spacing w:before="0" w:after="0"/>
        <w:ind w:left="0" w:right="0" w:hanging="0"/>
        <w:jc w:val="right"/>
        <w:rPr>
          <w:rFonts w:ascii="Times New Roman;Times;serif" w:hAnsi="Times New Roman;Times;serif"/>
          <w:sz w:val="20"/>
        </w:rPr>
      </w:pPr>
      <w:bookmarkStart w:id="22" w:name="ex_1009220.htm"/>
      <w:bookmarkStart w:id="23" w:name="ksex_1009220"/>
      <w:bookmarkEnd w:id="22"/>
      <w:bookmarkEnd w:id="23"/>
      <w:r>
        <w:rPr>
          <w:rFonts w:ascii="Times New Roman;Times;serif" w:hAnsi="Times New Roman;Times;serif"/>
          <w:b/>
          <w:sz w:val="20"/>
        </w:rPr>
        <w:t>Exhibit 31.2</w:t>
      </w:r>
      <w:r>
        <w:rPr>
          <w:rFonts w:ascii="Times New Roman;Times;serif" w:hAnsi="Times New Roman;Times;serif"/>
          <w:sz w:val="20"/>
        </w:rPr>
        <w:t> </w:t>
      </w:r>
      <w:r>
        <w:br w:type="page"/>
      </w:r>
    </w:p>
    <w:p>
      <w:pPr>
        <w:pStyle w:val="TextBody"/>
        <w:bidi w:val="0"/>
        <w:spacing w:before="0" w:after="0"/>
        <w:ind w:left="0" w:right="0" w:hanging="0"/>
        <w:jc w:val="left"/>
      </w:pPr>
      <w: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Certification</w:t>
      </w:r>
      <w:r>
        <w:rPr>
          <w:rFonts w:ascii="Times New Roman;Times;serif" w:hAnsi="Times New Roman;Times;serif"/>
          <w:sz w:val="20"/>
        </w:rPr>
        <w:t> </w:t>
      </w:r>
    </w:p>
    <w:p>
      <w:pPr>
        <w:pStyle w:val="TextBody"/>
        <w:bidi w:val="0"/>
        <w:spacing w:before="0" w:after="0"/>
        <w:ind w:left="0" w:right="0" w:hanging="0"/>
        <w:jc w:val="center"/>
      </w:pPr>
      <w: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Stefan J. Murry, certify that:</w:t>
      </w:r>
    </w:p>
    <w:p>
      <w:pPr>
        <w:pStyle w:val="TextBody"/>
        <w:bidi w:val="0"/>
        <w:spacing w:before="0" w:after="0"/>
        <w:ind w:left="0" w:right="0" w:hanging="0"/>
        <w:jc w:val="left"/>
      </w:pPr>
      <w:r>
        <w:t>  </w:t>
      </w:r>
    </w:p>
    <w:tbl>
      <w:tblPr>
        <w:tblW w:w="7090" w:type="dxa"/>
        <w:jc w:val="left"/>
        <w:tblInd w:w="0" w:type="dxa"/>
        <w:tblLayout w:type="fixed"/>
        <w:tblCellMar>
          <w:top w:w="0" w:type="dxa"/>
          <w:left w:w="0" w:type="dxa"/>
          <w:bottom w:w="0" w:type="dxa"/>
          <w:right w:w="0" w:type="dxa"/>
        </w:tblCellMar>
      </w:tblPr>
      <w:tblGrid>
        <w:gridCol w:w="170"/>
        <w:gridCol w:w="6920"/>
      </w:tblGrid>
      <w:tr>
        <w:tc>
          <w:tcPr>
            <w:tcW w:w="1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69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have reviewed this Quarterly Report on Form 10-Q of Applied Optoelectronics, Inc.;</w:t>
            </w:r>
          </w:p>
        </w:tc>
      </w:tr>
    </w:tbl>
    <w:p>
      <w:pPr>
        <w:pStyle w:val="TextBody"/>
        <w:bidi w:val="0"/>
        <w:spacing w:before="0" w:after="0"/>
        <w:ind w:left="720" w:right="0" w:hanging="720"/>
        <w:jc w:val="left"/>
      </w:pPr>
      <w:r>
        <w:t>  </w:t>
      </w:r>
    </w:p>
    <w:tbl>
      <w:tblPr>
        <w:tblW w:w="10205" w:type="dxa"/>
        <w:jc w:val="left"/>
        <w:tblInd w:w="0" w:type="dxa"/>
        <w:tblLayout w:type="fixed"/>
        <w:tblCellMar>
          <w:top w:w="0" w:type="dxa"/>
          <w:left w:w="0" w:type="dxa"/>
          <w:bottom w:w="0" w:type="dxa"/>
          <w:right w:w="0" w:type="dxa"/>
        </w:tblCellMar>
      </w:tblPr>
      <w:tblGrid>
        <w:gridCol w:w="142"/>
        <w:gridCol w:w="10063"/>
      </w:tblGrid>
      <w:tr>
        <w:tc>
          <w:tcPr>
            <w:tcW w:w="1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720" w:right="0" w:hanging="720"/>
        <w:jc w:val="left"/>
      </w:pPr>
      <w:r>
        <w:t>  </w:t>
      </w:r>
    </w:p>
    <w:tbl>
      <w:tblPr>
        <w:tblW w:w="10205" w:type="dxa"/>
        <w:jc w:val="left"/>
        <w:tblInd w:w="0" w:type="dxa"/>
        <w:tblLayout w:type="fixed"/>
        <w:tblCellMar>
          <w:top w:w="0" w:type="dxa"/>
          <w:left w:w="0" w:type="dxa"/>
          <w:bottom w:w="0" w:type="dxa"/>
          <w:right w:w="0" w:type="dxa"/>
        </w:tblCellMar>
      </w:tblPr>
      <w:tblGrid>
        <w:gridCol w:w="144"/>
        <w:gridCol w:w="10061"/>
      </w:tblGrid>
      <w:tr>
        <w:tc>
          <w:tcPr>
            <w:tcW w:w="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 and for, the periods presented in this report;</w:t>
            </w:r>
          </w:p>
        </w:tc>
      </w:tr>
    </w:tbl>
    <w:p>
      <w:pPr>
        <w:pStyle w:val="TextBody"/>
        <w:bidi w:val="0"/>
        <w:spacing w:before="0" w:after="0"/>
        <w:ind w:left="720" w:right="0" w:hanging="720"/>
        <w:jc w:val="left"/>
      </w:pPr>
      <w:r>
        <w:t>  </w:t>
      </w:r>
    </w:p>
    <w:tbl>
      <w:tblPr>
        <w:tblW w:w="10205" w:type="dxa"/>
        <w:jc w:val="left"/>
        <w:tblInd w:w="0" w:type="dxa"/>
        <w:tblLayout w:type="fixed"/>
        <w:tblCellMar>
          <w:top w:w="0" w:type="dxa"/>
          <w:left w:w="0" w:type="dxa"/>
          <w:bottom w:w="0" w:type="dxa"/>
          <w:right w:w="0" w:type="dxa"/>
        </w:tblCellMar>
      </w:tblPr>
      <w:tblGrid>
        <w:gridCol w:w="141"/>
        <w:gridCol w:w="10064"/>
      </w:tblGrid>
      <w:tr>
        <w:tc>
          <w:tcPr>
            <w:tcW w:w="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pPr>
      <w:r>
        <w:t>  </w:t>
      </w:r>
    </w:p>
    <w:tbl>
      <w:tblPr>
        <w:tblW w:w="10205" w:type="dxa"/>
        <w:jc w:val="left"/>
        <w:tblInd w:w="0" w:type="dxa"/>
        <w:tblLayout w:type="fixed"/>
        <w:tblCellMar>
          <w:top w:w="0" w:type="dxa"/>
          <w:left w:w="0" w:type="dxa"/>
          <w:bottom w:w="0" w:type="dxa"/>
          <w:right w:w="0" w:type="dxa"/>
        </w:tblCellMar>
      </w:tblPr>
      <w:tblGrid>
        <w:gridCol w:w="60"/>
        <w:gridCol w:w="129"/>
        <w:gridCol w:w="10016"/>
      </w:tblGrid>
      <w:tr>
        <w:tc>
          <w:tcPr>
            <w:tcW w:w="60" w:type="dxa"/>
            <w:tcBorders/>
            <w:vAlign w:val="center"/>
          </w:tcPr>
          <w:p>
            <w:pPr>
              <w:pStyle w:val="TableContents"/>
              <w:bidi w:val="0"/>
              <w:spacing w:before="0" w:after="283"/>
              <w:jc w:val="left"/>
            </w:pPr>
            <w:r>
              <w:t> </w:t>
            </w:r>
          </w:p>
        </w:tc>
        <w:tc>
          <w:tcPr>
            <w:tcW w:w="1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10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1440" w:right="0" w:hanging="360"/>
        <w:jc w:val="left"/>
      </w:pPr>
      <w: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c>
          <w:tcPr>
            <w:tcW w:w="60" w:type="dxa"/>
            <w:tcBorders/>
            <w:vAlign w:val="center"/>
          </w:tcPr>
          <w:p>
            <w:pPr>
              <w:pStyle w:val="TableContents"/>
              <w:bidi w:val="0"/>
              <w:spacing w:before="0" w:after="283"/>
              <w:jc w:val="left"/>
            </w:pPr>
            <w:r>
              <w:t> </w:t>
            </w:r>
          </w:p>
        </w:tc>
        <w:tc>
          <w:tcPr>
            <w:tcW w:w="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10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1440" w:right="0" w:hanging="360"/>
        <w:jc w:val="left"/>
      </w:pPr>
      <w:r>
        <w:t>  </w:t>
      </w:r>
    </w:p>
    <w:tbl>
      <w:tblPr>
        <w:tblW w:w="10205" w:type="dxa"/>
        <w:jc w:val="left"/>
        <w:tblInd w:w="0" w:type="dxa"/>
        <w:tblLayout w:type="fixed"/>
        <w:tblCellMar>
          <w:top w:w="0" w:type="dxa"/>
          <w:left w:w="0" w:type="dxa"/>
          <w:bottom w:w="0" w:type="dxa"/>
          <w:right w:w="0" w:type="dxa"/>
        </w:tblCellMar>
      </w:tblPr>
      <w:tblGrid>
        <w:gridCol w:w="60"/>
        <w:gridCol w:w="135"/>
        <w:gridCol w:w="10010"/>
      </w:tblGrid>
      <w:tr>
        <w:tc>
          <w:tcPr>
            <w:tcW w:w="60" w:type="dxa"/>
            <w:tcBorders/>
            <w:vAlign w:val="center"/>
          </w:tcPr>
          <w:p>
            <w:pPr>
              <w:pStyle w:val="TableContents"/>
              <w:bidi w:val="0"/>
              <w:spacing w:before="0" w:after="283"/>
              <w:jc w:val="left"/>
            </w:pPr>
            <w:r>
              <w:t> </w:t>
            </w:r>
          </w:p>
        </w:tc>
        <w:tc>
          <w:tcPr>
            <w:tcW w:w="1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w:t>
            </w:r>
          </w:p>
        </w:tc>
        <w:tc>
          <w:tcPr>
            <w:tcW w:w="100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1440" w:right="0" w:hanging="360"/>
        <w:jc w:val="left"/>
      </w:pPr>
      <w: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c>
          <w:tcPr>
            <w:tcW w:w="60" w:type="dxa"/>
            <w:tcBorders/>
            <w:vAlign w:val="center"/>
          </w:tcPr>
          <w:p>
            <w:pPr>
              <w:pStyle w:val="TableContents"/>
              <w:bidi w:val="0"/>
              <w:spacing w:before="0" w:after="283"/>
              <w:jc w:val="left"/>
            </w:pPr>
            <w:r>
              <w:t> </w:t>
            </w:r>
          </w:p>
        </w:tc>
        <w:tc>
          <w:tcPr>
            <w:tcW w:w="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w:t>
            </w:r>
          </w:p>
        </w:tc>
        <w:tc>
          <w:tcPr>
            <w:tcW w:w="10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pPr>
      <w:r>
        <w:t>  </w:t>
      </w:r>
    </w:p>
    <w:tbl>
      <w:tblPr>
        <w:tblW w:w="10205" w:type="dxa"/>
        <w:jc w:val="left"/>
        <w:tblInd w:w="0" w:type="dxa"/>
        <w:tblLayout w:type="fixed"/>
        <w:tblCellMar>
          <w:top w:w="0" w:type="dxa"/>
          <w:left w:w="0" w:type="dxa"/>
          <w:bottom w:w="0" w:type="dxa"/>
          <w:right w:w="0" w:type="dxa"/>
        </w:tblCellMar>
      </w:tblPr>
      <w:tblGrid>
        <w:gridCol w:w="144"/>
        <w:gridCol w:w="10061"/>
      </w:tblGrid>
      <w:tr>
        <w:tc>
          <w:tcPr>
            <w:tcW w:w="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w:t>
            </w:r>
          </w:p>
        </w:tc>
        <w:tc>
          <w:tcPr>
            <w:tcW w:w="10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pPr>
      <w:r>
        <w:t>  </w:t>
      </w:r>
    </w:p>
    <w:tbl>
      <w:tblPr>
        <w:tblW w:w="10205" w:type="dxa"/>
        <w:jc w:val="left"/>
        <w:tblInd w:w="0" w:type="dxa"/>
        <w:tblLayout w:type="fixed"/>
        <w:tblCellMar>
          <w:top w:w="0" w:type="dxa"/>
          <w:left w:w="0" w:type="dxa"/>
          <w:bottom w:w="0" w:type="dxa"/>
          <w:right w:w="0" w:type="dxa"/>
        </w:tblCellMar>
      </w:tblPr>
      <w:tblGrid>
        <w:gridCol w:w="60"/>
        <w:gridCol w:w="137"/>
        <w:gridCol w:w="10008"/>
      </w:tblGrid>
      <w:tr>
        <w:tc>
          <w:tcPr>
            <w:tcW w:w="60" w:type="dxa"/>
            <w:tcBorders/>
            <w:vAlign w:val="center"/>
          </w:tcPr>
          <w:p>
            <w:pPr>
              <w:pStyle w:val="TableContents"/>
              <w:bidi w:val="0"/>
              <w:spacing w:before="0" w:after="283"/>
              <w:jc w:val="left"/>
            </w:pPr>
            <w:r>
              <w:t> </w:t>
            </w:r>
          </w:p>
        </w:tc>
        <w:tc>
          <w:tcPr>
            <w:tcW w:w="1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100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1440" w:right="0" w:hanging="360"/>
        <w:jc w:val="left"/>
      </w:pPr>
      <w:r>
        <w:t>  </w:t>
      </w:r>
    </w:p>
    <w:tbl>
      <w:tblPr>
        <w:tblW w:w="10205" w:type="dxa"/>
        <w:jc w:val="left"/>
        <w:tblInd w:w="0" w:type="dxa"/>
        <w:tblLayout w:type="fixed"/>
        <w:tblCellMar>
          <w:top w:w="0" w:type="dxa"/>
          <w:left w:w="0" w:type="dxa"/>
          <w:bottom w:w="0" w:type="dxa"/>
          <w:right w:w="0" w:type="dxa"/>
        </w:tblCellMar>
      </w:tblPr>
      <w:tblGrid>
        <w:gridCol w:w="60"/>
        <w:gridCol w:w="167"/>
        <w:gridCol w:w="9978"/>
      </w:tblGrid>
      <w:tr>
        <w:tc>
          <w:tcPr>
            <w:tcW w:w="60" w:type="dxa"/>
            <w:tcBorders/>
            <w:vAlign w:val="center"/>
          </w:tcPr>
          <w:p>
            <w:pPr>
              <w:pStyle w:val="TableContents"/>
              <w:bidi w:val="0"/>
              <w:spacing w:before="0" w:after="283"/>
              <w:jc w:val="left"/>
            </w:pPr>
            <w:r>
              <w:t> </w:t>
            </w:r>
          </w:p>
        </w:tc>
        <w:tc>
          <w:tcPr>
            <w:tcW w:w="1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both"/>
      </w:pPr>
      <w:r>
        <w:t>  </w:t>
      </w:r>
    </w:p>
    <w:p>
      <w:pPr>
        <w:pStyle w:val="TextBody"/>
        <w:bidi w:val="0"/>
        <w:spacing w:before="0" w:after="0"/>
        <w:ind w:left="0" w:right="0" w:hanging="0"/>
        <w:jc w:val="left"/>
      </w:pPr>
      <w: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5, 2026</w:t>
      </w:r>
    </w:p>
    <w:p>
      <w:pPr>
        <w:pStyle w:val="TextBody"/>
        <w:bidi w:val="0"/>
        <w:spacing w:before="0" w:after="0"/>
        <w:ind w:left="0" w:right="0" w:hanging="0"/>
        <w:jc w:val="left"/>
      </w:pPr>
      <w:r>
        <w:t>    </w:t>
      </w:r>
    </w:p>
    <w:tbl>
      <w:tblPr>
        <w:tblW w:w="1970" w:type="dxa"/>
        <w:jc w:val="left"/>
        <w:tblInd w:w="0" w:type="dxa"/>
        <w:tblLayout w:type="fixed"/>
        <w:tblCellMar>
          <w:top w:w="0" w:type="dxa"/>
          <w:left w:w="0" w:type="dxa"/>
          <w:bottom w:w="28" w:type="dxa"/>
          <w:right w:w="0" w:type="dxa"/>
        </w:tblCellMar>
      </w:tblPr>
      <w:tblGrid>
        <w:gridCol w:w="1910"/>
        <w:gridCol w:w="60"/>
      </w:tblGrid>
      <w:tr>
        <w:tc>
          <w:tcPr>
            <w:tcW w:w="191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STEFAN J. MURRY</w:t>
            </w:r>
          </w:p>
        </w:tc>
        <w:tc>
          <w:tcPr>
            <w:tcW w:w="60" w:type="dxa"/>
            <w:tcBorders/>
            <w:tcMar>
              <w:bottom w:w="0" w:type="dxa"/>
            </w:tcMar>
            <w:vAlign w:val="center"/>
          </w:tcPr>
          <w:p>
            <w:pPr>
              <w:pStyle w:val="TableContents"/>
              <w:bidi w:val="0"/>
              <w:spacing w:before="0" w:after="0"/>
              <w:ind w:left="0" w:right="0" w:hanging="0"/>
              <w:jc w:val="left"/>
            </w:pPr>
            <w:r>
              <w:t> </w:t>
            </w:r>
          </w:p>
        </w:tc>
      </w:tr>
      <w:tr>
        <w:tc>
          <w:tcPr>
            <w:tcW w:w="191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STEFAN J. MURRY</w:t>
            </w:r>
          </w:p>
        </w:tc>
        <w:tc>
          <w:tcPr>
            <w:tcW w:w="60" w:type="dxa"/>
            <w:tcBorders/>
            <w:tcMar>
              <w:bottom w:w="0" w:type="dxa"/>
            </w:tcMar>
            <w:vAlign w:val="center"/>
          </w:tcPr>
          <w:p>
            <w:pPr>
              <w:pStyle w:val="TableContents"/>
              <w:bidi w:val="0"/>
              <w:spacing w:before="0" w:after="0"/>
              <w:ind w:left="0" w:right="0" w:hanging="0"/>
              <w:jc w:val="left"/>
            </w:pPr>
            <w:r>
              <w:t> </w:t>
            </w:r>
          </w:p>
        </w:tc>
      </w:tr>
      <w:tr>
        <w:tc>
          <w:tcPr>
            <w:tcW w:w="191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c>
          <w:tcPr>
            <w:tcW w:w="60" w:type="dxa"/>
            <w:tcBorders/>
            <w:tcMar>
              <w:bottom w:w="0" w:type="dxa"/>
            </w:tcMar>
            <w:vAlign w:val="center"/>
          </w:tcPr>
          <w:p>
            <w:pPr>
              <w:pStyle w:val="TableContents"/>
              <w:bidi w:val="0"/>
              <w:spacing w:before="0" w:after="0"/>
              <w:ind w:left="0" w:right="0" w:hanging="0"/>
              <w:jc w:val="left"/>
            </w:pPr>
            <w:r>
              <w:t> </w:t>
            </w:r>
          </w:p>
        </w:tc>
      </w:tr>
    </w:tbl>
    <w:p>
      <w:pPr>
        <w:pStyle w:val="TextBody"/>
        <w:bidi w:val="0"/>
        <w:spacing w:before="0" w:after="0"/>
        <w:ind w:left="0" w:right="0" w:hanging="0"/>
        <w:jc w:val="left"/>
      </w:pPr>
      <w:r>
        <w:t>  </w:t>
      </w:r>
    </w:p>
    <w:p>
      <w:pPr>
        <w:pStyle w:val="TextBody"/>
        <w:bidi w:val="0"/>
        <w:spacing w:before="0" w:after="283"/>
        <w:jc w:val="left"/>
      </w:pPr>
      <w:r>
        <w:t> </w:t>
      </w:r>
    </w:p>
    <w:p>
      <w:pPr>
        <w:pStyle w:val="TextBody"/>
        <w:bidi w:val="0"/>
        <w:spacing w:before="0" w:after="0"/>
        <w:ind w:left="0" w:right="0" w:hanging="0"/>
        <w:jc w:val="right"/>
        <w:rPr>
          <w:rFonts w:ascii="Times New Roman;Times;serif" w:hAnsi="Times New Roman;Times;serif"/>
          <w:sz w:val="20"/>
        </w:rPr>
      </w:pPr>
      <w:bookmarkStart w:id="24" w:name="ex_1009221.htm"/>
      <w:bookmarkStart w:id="25" w:name="ksex_1009221"/>
      <w:bookmarkEnd w:id="24"/>
      <w:bookmarkEnd w:id="25"/>
      <w:r>
        <w:rPr>
          <w:rFonts w:ascii="Times New Roman;Times;serif" w:hAnsi="Times New Roman;Times;serif"/>
          <w:b/>
          <w:sz w:val="20"/>
        </w:rPr>
        <w:t>Exhibit 32.1</w:t>
      </w:r>
      <w:r>
        <w:rPr>
          <w:rFonts w:ascii="Times New Roman;Times;serif" w:hAnsi="Times New Roman;Times;serif"/>
          <w:sz w:val="20"/>
        </w:rPr>
        <w:t> </w:t>
      </w:r>
      <w:r>
        <w:br w:type="page"/>
      </w:r>
    </w:p>
    <w:p>
      <w:pPr>
        <w:pStyle w:val="TextBody"/>
        <w:bidi w:val="0"/>
        <w:spacing w:before="0" w:after="0"/>
        <w:ind w:left="0" w:right="0" w:hanging="0"/>
        <w:jc w:val="left"/>
      </w:pPr>
      <w: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Certification</w:t>
      </w:r>
      <w:r>
        <w:rPr>
          <w:rFonts w:ascii="Times New Roman;Times;serif" w:hAnsi="Times New Roman;Times;serif"/>
          <w:sz w:val="20"/>
        </w:rPr>
        <w:t> </w:t>
      </w:r>
    </w:p>
    <w:p>
      <w:pPr>
        <w:pStyle w:val="TextBody"/>
        <w:bidi w:val="0"/>
        <w:spacing w:before="0" w:after="0"/>
        <w:ind w:left="0" w:right="0" w:hanging="0"/>
        <w:jc w:val="center"/>
      </w:pPr>
      <w: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Pursuant to the requirement set forth in Rule 13a-14(b) of the Securities Exchange Act of 1934, as amended (the “Exchange Act”), and Section 1350 of Chapter 63 of Title 18 of the U.S. Code (18 U.S.C. § 1350), Chih-Hsiang (Thompson) Lin, President and Chief Executive Officer of Applied Optoelectronics, Inc. (the “Company”), and Stefan J. Murry, Chief Financial Officer and Senior Vice President of the Company, each hereby certifies that, to the best of his knowledge:</w:t>
      </w:r>
    </w:p>
    <w:p>
      <w:pPr>
        <w:pStyle w:val="TextBody"/>
        <w:bidi w:val="0"/>
        <w:spacing w:before="0" w:after="0"/>
        <w:ind w:left="0" w:right="0" w:firstLine="720"/>
        <w:jc w:val="left"/>
      </w:pPr>
      <w: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c>
          <w:tcPr>
            <w:tcW w:w="60" w:type="dxa"/>
            <w:tcBorders/>
            <w:vAlign w:val="center"/>
          </w:tcPr>
          <w:p>
            <w:pPr>
              <w:pStyle w:val="TableContents"/>
              <w:bidi w:val="0"/>
              <w:spacing w:before="0" w:after="283"/>
              <w:jc w:val="left"/>
            </w:pPr>
            <w:r>
              <w:t> </w:t>
            </w:r>
          </w:p>
        </w:tc>
        <w:tc>
          <w:tcPr>
            <w:tcW w:w="14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w:t>
            </w:r>
          </w:p>
        </w:tc>
        <w:tc>
          <w:tcPr>
            <w:tcW w:w="1000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Company’s Quarterly Report on Form 10-Q for the period ended </w:t>
            </w:r>
            <w:bookmarkStart w:id="26" w:name="led539606F20242211711043696668"/>
            <w:bookmarkEnd w:id="26"/>
            <w:r>
              <w:rPr>
                <w:rFonts w:ascii="Times New Roman;Times;serif" w:hAnsi="Times New Roman;Times;serif"/>
                <w:sz w:val="20"/>
              </w:rPr>
              <w:t>September 30, 2026, to which this Certification is attached as Exhibit 32.1 (the “Quarterly Report”) fully complies with the requirements of Section 13(a) or Section 15(d) of the Exchange Act; and</w:t>
            </w:r>
          </w:p>
        </w:tc>
      </w:tr>
    </w:tbl>
    <w:p>
      <w:pPr>
        <w:pStyle w:val="TextBody"/>
        <w:bidi w:val="0"/>
        <w:spacing w:before="0" w:after="0"/>
        <w:ind w:left="864" w:right="0" w:hanging="504"/>
        <w:jc w:val="both"/>
      </w:pPr>
      <w:r>
        <w:t>  </w:t>
      </w:r>
    </w:p>
    <w:tbl>
      <w:tblPr>
        <w:tblW w:w="10205" w:type="dxa"/>
        <w:jc w:val="left"/>
        <w:tblInd w:w="0" w:type="dxa"/>
        <w:tblLayout w:type="fixed"/>
        <w:tblCellMar>
          <w:top w:w="0" w:type="dxa"/>
          <w:left w:w="0" w:type="dxa"/>
          <w:bottom w:w="0" w:type="dxa"/>
          <w:right w:w="0" w:type="dxa"/>
        </w:tblCellMar>
      </w:tblPr>
      <w:tblGrid>
        <w:gridCol w:w="60"/>
        <w:gridCol w:w="159"/>
        <w:gridCol w:w="9986"/>
      </w:tblGrid>
      <w:tr>
        <w:tc>
          <w:tcPr>
            <w:tcW w:w="60" w:type="dxa"/>
            <w:tcBorders/>
            <w:vAlign w:val="center"/>
          </w:tcPr>
          <w:p>
            <w:pPr>
              <w:pStyle w:val="TableContents"/>
              <w:bidi w:val="0"/>
              <w:spacing w:before="0" w:after="283"/>
              <w:jc w:val="left"/>
            </w:pPr>
            <w:r>
              <w:t> </w:t>
            </w:r>
          </w:p>
        </w:tc>
        <w:tc>
          <w:tcPr>
            <w:tcW w:w="159"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w:t>
            </w:r>
          </w:p>
        </w:tc>
        <w:tc>
          <w:tcPr>
            <w:tcW w:w="998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information contained in the Quarterly Report fairly presents, in all material respects, the financial condition and results of operations of the Company.</w:t>
            </w:r>
          </w:p>
        </w:tc>
      </w:tr>
    </w:tbl>
    <w:p>
      <w:pPr>
        <w:pStyle w:val="TextBody"/>
        <w:bidi w:val="0"/>
        <w:spacing w:before="0" w:after="0"/>
        <w:ind w:left="0" w:right="0" w:hanging="0"/>
        <w:jc w:val="left"/>
      </w:pPr>
      <w: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Witness Whereof, the undersigned have set their hands hereto as of the 5th day of November, 2026.</w:t>
      </w:r>
    </w:p>
    <w:p>
      <w:pPr>
        <w:pStyle w:val="TextBody"/>
        <w:bidi w:val="0"/>
        <w:spacing w:before="0" w:after="0"/>
        <w:ind w:left="0" w:right="0" w:hanging="0"/>
        <w:jc w:val="center"/>
      </w:pPr>
      <w:r>
        <w:t>  </w:t>
      </w:r>
    </w:p>
    <w:tbl>
      <w:tblPr>
        <w:tblW w:w="5230" w:type="dxa"/>
        <w:jc w:val="left"/>
        <w:tblInd w:w="0" w:type="dxa"/>
        <w:tblLayout w:type="fixed"/>
        <w:tblCellMar>
          <w:top w:w="0" w:type="dxa"/>
          <w:left w:w="0" w:type="dxa"/>
          <w:bottom w:w="28" w:type="dxa"/>
          <w:right w:w="0" w:type="dxa"/>
        </w:tblCellMar>
      </w:tblPr>
      <w:tblGrid>
        <w:gridCol w:w="3080"/>
        <w:gridCol w:w="240"/>
        <w:gridCol w:w="1910"/>
      </w:tblGrid>
      <w:tr>
        <w:tc>
          <w:tcPr>
            <w:tcW w:w="308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CHIH-HSIANG (THOMPSON) LIN</w:t>
            </w:r>
          </w:p>
        </w:tc>
        <w:tc>
          <w:tcPr>
            <w:tcW w:w="240" w:type="dxa"/>
            <w:tcBorders/>
            <w:tcMar>
              <w:bottom w:w="0" w:type="dxa"/>
            </w:tcMar>
            <w:vAlign w:val="center"/>
          </w:tcPr>
          <w:p>
            <w:pPr>
              <w:pStyle w:val="TableContents"/>
              <w:bidi w:val="0"/>
              <w:spacing w:before="0" w:after="0"/>
              <w:ind w:left="0" w:right="0" w:hanging="0"/>
              <w:jc w:val="left"/>
            </w:pPr>
            <w:r>
              <w:t>    </w:t>
            </w:r>
          </w:p>
        </w:tc>
        <w:tc>
          <w:tcPr>
            <w:tcW w:w="191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STEFAN J. MURRY</w:t>
            </w:r>
          </w:p>
        </w:tc>
      </w:tr>
      <w:tr>
        <w:tc>
          <w:tcPr>
            <w:tcW w:w="308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CHIH-HSIANG (THOMPSON) LIN</w:t>
            </w:r>
          </w:p>
        </w:tc>
        <w:tc>
          <w:tcPr>
            <w:tcW w:w="240" w:type="dxa"/>
            <w:tcBorders/>
            <w:tcMar>
              <w:bottom w:w="0" w:type="dxa"/>
            </w:tcMar>
            <w:vAlign w:val="center"/>
          </w:tcPr>
          <w:p>
            <w:pPr>
              <w:pStyle w:val="TableContents"/>
              <w:bidi w:val="0"/>
              <w:spacing w:before="0" w:after="0"/>
              <w:ind w:left="0" w:right="0" w:hanging="0"/>
              <w:jc w:val="left"/>
            </w:pPr>
            <w:r>
              <w:t> </w:t>
            </w:r>
          </w:p>
        </w:tc>
        <w:tc>
          <w:tcPr>
            <w:tcW w:w="191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STEFAN J. MURRY</w:t>
            </w:r>
          </w:p>
        </w:tc>
      </w:tr>
      <w:tr>
        <w:tc>
          <w:tcPr>
            <w:tcW w:w="308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c>
          <w:tcPr>
            <w:tcW w:w="240" w:type="dxa"/>
            <w:tcBorders/>
            <w:tcMar>
              <w:bottom w:w="0" w:type="dxa"/>
            </w:tcMar>
            <w:vAlign w:val="center"/>
          </w:tcPr>
          <w:p>
            <w:pPr>
              <w:pStyle w:val="TableContents"/>
              <w:bidi w:val="0"/>
              <w:spacing w:before="0" w:after="0"/>
              <w:ind w:left="0" w:right="0" w:hanging="0"/>
              <w:jc w:val="left"/>
            </w:pPr>
            <w:r>
              <w:t> </w:t>
            </w:r>
          </w:p>
        </w:tc>
        <w:tc>
          <w:tcPr>
            <w:tcW w:w="191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pPr>
      <w:r>
        <w:t>  </w:t>
      </w:r>
    </w:p>
    <w:p>
      <w:pPr>
        <w:pStyle w:val="TextBody"/>
        <w:bidi w:val="0"/>
        <w:spacing w:before="0" w:after="0"/>
        <w:ind w:left="0" w:right="0" w:hanging="0"/>
        <w:jc w:val="left"/>
      </w:pPr>
      <w: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This certification accompanies the Quarterly Report to which it relates, is not deemed filed with the Securities and Exchange Commission and is not to be incorporated by reference into any filing of Applied Optoelectronics, Inc. under the Securities Act of 1933, as amended, or the Securities Exchange Act of 1934, as amended (whether made before or after the date of the Quarterly Report), irrespective of any general incorporation language contained in such filing.</w:t>
      </w:r>
    </w:p>
    <w:p>
      <w:pPr>
        <w:pStyle w:val="TextBody"/>
        <w:bidi w:val="0"/>
        <w:spacing w:before="0" w:after="0"/>
        <w:ind w:left="0" w:right="0" w:hanging="0"/>
        <w:jc w:val="left"/>
      </w:pPr>
      <w:r>
        <w:t> </w:t>
      </w:r>
    </w:p>
    <w:p>
      <w:pPr>
        <w:pStyle w:val="TextBody"/>
        <w:bidi w:val="0"/>
        <w:spacing w:before="0" w:after="283"/>
        <w:jc w:val="left"/>
      </w:pPr>
      <w: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158114/000168316825004444/aaoi_ex0302.htm" TargetMode="External"/><Relationship Id="rId3" Type="http://schemas.openxmlformats.org/officeDocument/2006/relationships/hyperlink" Target="http://www.sec.gov/Archives/edgar/data/1158114/000101968713004306/aaoi_10q-ex0302.htm" TargetMode="External"/><Relationship Id="rId4" Type="http://schemas.openxmlformats.org/officeDocument/2006/relationships/hyperlink" Target="http://www.sec.gov/Archives/edgar/data/1158114/000110465925030932/tm2511114d1_ex3-1.htm" TargetMode="External"/><Relationship Id="rId5" Type="http://schemas.openxmlformats.org/officeDocument/2006/relationships/hyperlink" Target="http://www.sec.gov/Archives/edgar/data/1158114/000110465915051289/a15-15715_1ex4d1.htm" TargetMode="External"/><Relationship Id="rId6" Type="http://schemas.openxmlformats.org/officeDocument/2006/relationships/hyperlink" Target="http://www.sec.gov/Archives/edgar/data/0001158114/000110465924131385/tm2431223d10_ex4-1.htm" TargetMode="External"/><Relationship Id="rId7" Type="http://schemas.openxmlformats.org/officeDocument/2006/relationships/hyperlink" Target="http://www.sec.gov/Archives/edgar/data/0001158114/000110465924131385/tm2431223d10_ex4-1.htm" TargetMode="External"/><Relationship Id="rId8" Type="http://schemas.openxmlformats.org/officeDocument/2006/relationships/hyperlink" Target="http://www.sec.gov/Archives/edgar/data/1158114/000110465924131385/tm2431223d10_ex4-3.htm" TargetMode="External"/><Relationship Id="rId9" Type="http://schemas.openxmlformats.org/officeDocument/2006/relationships/hyperlink" Target="http://www.sec.gov/Archives/edgar/data/1158114/000168316825001580/appliedopto_ex0401.htm" TargetMode="External"/><Relationship Id="rId10" Type="http://schemas.openxmlformats.org/officeDocument/2006/relationships/hyperlink" Target="http://www.sec.gov/Archives/edgar/data/1158114/000168316825001580/appliedopto_ex0401.htm" TargetMode="External"/><Relationship Id="rId11" Type="http://schemas.openxmlformats.org/officeDocument/2006/relationships/hyperlink" Target="http://www.sec.gov/Archives/edgar/data/1158114/000168316825001580/appliedopto_ex0401.htm" TargetMode="External"/><Relationship Id="rId12" Type="http://schemas.openxmlformats.org/officeDocument/2006/relationships/hyperlink" Target="http://www.sec.gov/Archives/edgar/data/1158114/000168316826006693/aaoi_ex1001.htm" TargetMode="External"/><Relationship Id="rId13" Type="http://schemas.openxmlformats.org/officeDocument/2006/relationships/hyperlink" Target="http://www.sec.gov/Archives/edgar/data/1158114/000168316826006862/aaoi_ex1001.htm" TargetMode="External"/><Relationship Id="rId14" Type="http://schemas.openxmlformats.org/officeDocument/2006/relationships/hyperlink" Target="http://www.sec.gov/Archives/edgar/data/1158114/000168316826006862/aaoi_ex1002.htm" TargetMode="External"/><Relationship Id="rId15" Type="http://schemas.openxmlformats.org/officeDocument/2006/relationships/hyperlink" Target="http://www.sec.gov/Archives/edgar/data/1158114/000168316826007057/aaoi_ex1001.htm" TargetMode="External"/><Relationship Id="rId16" Type="http://schemas.openxmlformats.org/officeDocument/2006/relationships/hyperlink" Target="http://www.sec.gov/Archives/edgar/data/1158114/000168316826007160/aaoi_ex1001.htm" TargetMode="External"/><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24735</Words>
  <Characters>134964</Characters>
  <CharactersWithSpaces>162420</CharactersWithSpaces>
  <Paragraphs>8688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