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0001587599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TEXAS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Murry Stefan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65"/>
        <w:gridCol w:w="1167"/>
        <w:gridCol w:w="1375"/>
        <w:gridCol w:w="1551"/>
        <w:gridCol w:w="1566"/>
        <w:gridCol w:w="1407"/>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65"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7"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65" w:type="dxa"/>
            <w:tcBorders/>
            <w:vAlign w:val="center"/>
          </w:tcPr>
          <w:p>
            <w:pPr>
              <w:pStyle w:val="TableContents"/>
              <w:bidi w:val="0"/>
              <w:spacing w:before="0" w:after="0"/>
              <w:jc w:val="left"/>
              <w:rPr/>
            </w:pPr>
            <w:r>
              <w:rPr/>
              <w:t>Raymond James and Associates</w:t>
              <w:br/>
              <w:t>880 Carillon Parkway</w:t>
              <w:br/>
              <w:t>St. Petersburg   FL   33716</w:t>
            </w:r>
          </w:p>
        </w:tc>
        <w:tc>
          <w:tcPr>
            <w:tcW w:w="1167" w:type="dxa"/>
            <w:tcBorders/>
            <w:vAlign w:val="center"/>
          </w:tcPr>
          <w:p>
            <w:pPr>
              <w:pStyle w:val="TableContents"/>
              <w:bidi w:val="0"/>
              <w:spacing w:before="0" w:after="283"/>
              <w:jc w:val="left"/>
              <w:rPr/>
            </w:pPr>
            <w:r>
              <w:rPr/>
              <w:t>4000</w:t>
            </w:r>
          </w:p>
        </w:tc>
        <w:tc>
          <w:tcPr>
            <w:tcW w:w="1375" w:type="dxa"/>
            <w:tcBorders/>
            <w:vAlign w:val="center"/>
          </w:tcPr>
          <w:p>
            <w:pPr>
              <w:pStyle w:val="TableContents"/>
              <w:bidi w:val="0"/>
              <w:spacing w:before="0" w:after="283"/>
              <w:jc w:val="left"/>
              <w:rPr/>
            </w:pPr>
            <w:r>
              <w:rPr/>
              <w:t>421313.60</w:t>
            </w:r>
          </w:p>
        </w:tc>
        <w:tc>
          <w:tcPr>
            <w:tcW w:w="1551" w:type="dxa"/>
            <w:tcBorders/>
            <w:vAlign w:val="center"/>
          </w:tcPr>
          <w:p>
            <w:pPr>
              <w:pStyle w:val="TableContents"/>
              <w:bidi w:val="0"/>
              <w:spacing w:before="0" w:after="283"/>
              <w:jc w:val="left"/>
              <w:rPr/>
            </w:pPr>
            <w:r>
              <w:rPr/>
              <w:t>84906289</w:t>
            </w:r>
          </w:p>
        </w:tc>
        <w:tc>
          <w:tcPr>
            <w:tcW w:w="1566" w:type="dxa"/>
            <w:tcBorders/>
            <w:vAlign w:val="center"/>
          </w:tcPr>
          <w:p>
            <w:pPr>
              <w:pStyle w:val="TableContents"/>
              <w:bidi w:val="0"/>
              <w:spacing w:before="0" w:after="283"/>
              <w:jc w:val="left"/>
              <w:rPr/>
            </w:pPr>
            <w:r>
              <w:rPr/>
              <w:t>09/10/2026</w:t>
            </w:r>
          </w:p>
        </w:tc>
        <w:tc>
          <w:tcPr>
            <w:tcW w:w="140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05/19/2026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Stefan Murry</w:t>
              <w:br/>
              <w:t>2007 Milford St.</w:t>
              <w:br/>
              <w:t>Houston   TX   77098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07/10/2026</w:t>
            </w:r>
          </w:p>
        </w:tc>
        <w:tc>
          <w:tcPr>
            <w:tcW w:w="1575" w:type="dxa"/>
            <w:tcBorders/>
            <w:vAlign w:val="center"/>
          </w:tcPr>
          <w:p>
            <w:pPr>
              <w:pStyle w:val="TableContents"/>
              <w:bidi w:val="0"/>
              <w:spacing w:before="0" w:after="283"/>
              <w:jc w:val="left"/>
              <w:rPr/>
            </w:pPr>
            <w:r>
              <w:rPr/>
              <w:t>4000</w:t>
            </w:r>
          </w:p>
        </w:tc>
        <w:tc>
          <w:tcPr>
            <w:tcW w:w="1777" w:type="dxa"/>
            <w:tcBorders/>
            <w:vAlign w:val="center"/>
          </w:tcPr>
          <w:p>
            <w:pPr>
              <w:pStyle w:val="TableContents"/>
              <w:bidi w:val="0"/>
              <w:spacing w:before="0" w:after="283"/>
              <w:jc w:val="left"/>
              <w:rPr/>
            </w:pPr>
            <w:r>
              <w:rPr/>
              <w:t>488364.00</w:t>
            </w:r>
          </w:p>
        </w:tc>
      </w:tr>
      <w:tr>
        <w:trPr/>
        <w:tc>
          <w:tcPr>
            <w:tcW w:w="2907" w:type="dxa"/>
            <w:tcBorders/>
            <w:vAlign w:val="center"/>
          </w:tcPr>
          <w:p>
            <w:pPr>
              <w:pStyle w:val="TableContents"/>
              <w:bidi w:val="0"/>
              <w:spacing w:before="0" w:after="283"/>
              <w:jc w:val="left"/>
              <w:rPr/>
            </w:pPr>
            <w:r>
              <w:rPr/>
              <w:t>Stefan Murry</w:t>
              <w:br/>
              <w:t>2007 Milford St.</w:t>
              <w:br/>
              <w:t>Houston   TX   77098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08/10/2026</w:t>
            </w:r>
          </w:p>
        </w:tc>
        <w:tc>
          <w:tcPr>
            <w:tcW w:w="1575" w:type="dxa"/>
            <w:tcBorders/>
            <w:vAlign w:val="center"/>
          </w:tcPr>
          <w:p>
            <w:pPr>
              <w:pStyle w:val="TableContents"/>
              <w:bidi w:val="0"/>
              <w:spacing w:before="0" w:after="283"/>
              <w:jc w:val="left"/>
              <w:rPr/>
            </w:pPr>
            <w:r>
              <w:rPr/>
              <w:t>4000</w:t>
            </w:r>
          </w:p>
        </w:tc>
        <w:tc>
          <w:tcPr>
            <w:tcW w:w="1777" w:type="dxa"/>
            <w:tcBorders/>
            <w:vAlign w:val="center"/>
          </w:tcPr>
          <w:p>
            <w:pPr>
              <w:pStyle w:val="TableContents"/>
              <w:bidi w:val="0"/>
              <w:spacing w:before="0" w:after="283"/>
              <w:jc w:val="left"/>
              <w:rPr/>
            </w:pPr>
            <w:r>
              <w:rPr/>
              <w:t>579170.00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09/10/2026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Rashida Mitchell, as duly authorized representative of Raymond James &amp; Associates, Inc., as attorney-in-fact for Stefan John Murry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3243</Characters>
  <CharactersWithSpaces>3819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