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389-1_424b5.htm"/>
        <w:bookmarkStart w:id="1" w:name="kstm2623389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153" w:right="0" w:hanging="0"/>
        <w:jc w:val="right"/>
        <w:rPr>
          <w:caps w:val="false"/>
          <w:smallCaps w:val="false"/>
          <w:color w:val="000000"/>
        </w:rPr>
      </w:pPr>
      <w:r>
        <w:rPr>
          <w:caps w:val="false"/>
          <w:smallCaps w:val="false"/>
          <w:color w:val="000000"/>
        </w:rPr>
        <w:t> </w:t>
      </w:r>
      <w:r>
        <w:rPr>
          <w:rFonts w:ascii="Palatino Linotype;Book Antiqua;Palatino;serif" w:hAnsi="Palatino Linotype;Book Antiqua;Palatino;serif"/>
          <w:b/>
          <w:i w:val="false"/>
          <w:caps w:val="false"/>
          <w:smallCaps w:val="false"/>
          <w:color w:val="000000"/>
          <w:sz w:val="20"/>
        </w:rPr>
        <w:t>Filed pursuant to Rule 424(b)(5)​</w:t>
      </w:r>
    </w:p>
    <w:p>
      <w:pPr>
        <w:pStyle w:val="TextBody"/>
        <w:bidi w:val="0"/>
        <w:spacing w:lineRule="atLeast" w:line="200" w:before="557" w:after="437"/>
        <w:jc w:val="right"/>
        <w:rPr>
          <w:caps w:val="false"/>
          <w:smallCaps w:val="false"/>
          <w:color w:val="000000"/>
        </w:rPr>
      </w:pPr>
      <w:r>
        <w:rPr>
          <w:caps w:val="false"/>
          <w:smallCaps w:val="false"/>
          <w:color w:val="000000"/>
        </w:rPr>
        <w:t> </w:t>
      </w:r>
      <w:r>
        <w:rPr>
          <w:rFonts w:ascii="Palatino Linotype;Book Antiqua;Palatino;serif" w:hAnsi="Palatino Linotype;Book Antiqua;Palatino;serif"/>
          <w:b/>
          <w:i w:val="false"/>
          <w:caps w:val="false"/>
          <w:smallCaps w:val="false"/>
          <w:color w:val="000000"/>
          <w:sz w:val="20"/>
        </w:rPr>
        <w:t>Registration No. 333-283905​</w:t>
      </w:r>
    </w:p>
    <w:p>
      <w:pPr>
        <w:pStyle w:val="TextBody"/>
        <w:bidi w:val="0"/>
        <w:spacing w:lineRule="atLeast" w:line="230" w:before="236" w:after="283"/>
        <w:jc w:val="left"/>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val="false"/>
          <w:smallCaps w:val="false"/>
          <w:color w:val="000000"/>
          <w:sz w:val="20"/>
        </w:rPr>
        <w:t xml:space="preserve">PROSPECTUS SUPPLEMENT </w:t>
        <w:br/>
        <w:t>(To Prospectus dated December 18, 2024)</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340" w:before="240"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color w:val="000000"/>
          <w:sz w:val="30"/>
        </w:rPr>
        <w:t>$600,000,000</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136" w:after="283"/>
        <w:jc w:val="center"/>
        <w:rPr>
          <w:caps w:val="false"/>
          <w:smallCaps w:val="false"/>
          <w:color w:val="000000"/>
        </w:rPr>
      </w:pPr>
      <w:r>
        <w:rPr>
          <w:caps w:val="false"/>
          <w:smallCaps w:val="false"/>
          <w:color w:val="000000"/>
        </w:rPr>
        <w:drawing>
          <wp:inline distT="0" distB="0" distL="0" distR="0">
            <wp:extent cx="12382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7620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12" w:after="283"/>
        <w:jc w:val="center"/>
        <w:rPr>
          <w:rFonts w:ascii="Palatino Linotype;Book Antiqua;Palatino;serif" w:hAnsi="Palatino Linotype;Book Antiqua;Palatino;serif"/>
          <w:b/>
          <w:i w:val="false"/>
          <w:caps w:val="false"/>
          <w:smallCaps w:val="false"/>
          <w:color w:val="000000"/>
          <w:sz w:val="36"/>
        </w:rPr>
      </w:pPr>
      <w:r>
        <w:rPr>
          <w:rFonts w:ascii="Palatino Linotype;Book Antiqua;Palatino;serif" w:hAnsi="Palatino Linotype;Book Antiqua;Palatino;serif"/>
          <w:b/>
          <w:i w:val="false"/>
          <w:caps w:val="false"/>
          <w:smallCaps w:val="false"/>
          <w:color w:val="000000"/>
          <w:sz w:val="36"/>
        </w:rPr>
        <w:t>Applied Optoelectronics, Inc.</w:t>
      </w:r>
      <w:r>
        <w:rPr>
          <w:rFonts w:ascii="Palatino Linotype;Book Antiqua;Palatino;serif" w:hAnsi="Palatino Linotype;Book Antiqua;Palatino;serif"/>
          <w:b/>
          <w:i w:val="false"/>
          <w:caps w:val="false"/>
          <w:smallCaps w:val="false"/>
          <w:color w:val="000000"/>
          <w:spacing w:val="7"/>
          <w:sz w:val="36"/>
        </w:rPr>
        <w:t xml:space="preserve"> </w:t>
      </w:r>
    </w:p>
    <w:p>
      <w:pPr>
        <w:pStyle w:val="TextBody"/>
        <w:bidi w:val="0"/>
        <w:spacing w:lineRule="atLeast" w:line="340" w:before="100"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val="false"/>
          <w:smallCaps w:val="false"/>
          <w:color w:val="000000"/>
          <w:sz w:val="30"/>
        </w:rPr>
        <w:t>Common Stock</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96" w:after="283"/>
        <w:ind w:left="115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entered into an Equity Distribution Agreement with Raymond James &amp; Associates, Inc. (“Raymond James”) and Needham &amp; Company, LLC (“Needham”), or the sales agreement, relating to shares of our common stock offered by this prospectus supplement. In accordance with the terms of the sales agreement, we may offer and sell through this prospectus supplement shares of our common stock having an aggregate offering price of up to $600,000,000 from time to time through Raymond James and Needham, acting as agents (each, an “Agent” and collectively, the “Agents”).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00" w:after="283"/>
        <w:ind w:left="115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common stock is listed on The Nasdaq Global Market under the symbol “AAOI.” On August 20, 2026, the last reported sale price of our common stock on The Nasdaq Global Market was $129.10 per share.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00" w:after="283"/>
        <w:ind w:left="115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Sales of our common stock, if any, under this prospectus supplement may be made in sales deemed to be “at-the-market” equity offerings as defined in Rule 415 promulgated under the Securities Act of 1933, as amended, or the Securities Act, including sales made directly on or through The Nasdaq Global Market, the existing trading market for our common stock, sales made to or through a market maker </w:t>
        <w:br/>
        <w:t xml:space="preserve">other than on an exchange or otherwise, in negotiated transactions at market prices prevailing at the time of sale or at prices related to such prevailing market prices, and any other method permitted by law, including in privately negotiated transactions. The Agents are not required to sell any specific number </w:t>
        <w:br/>
        <w:t>or dollar amount of securities, but will act as sales agents and use commercially reasonable efforts to sell on our behalf all of the shares of common stock requested to be sold by us, consistent with their normal trading and sales practices, on mutually agreed terms between the Agents and us. There is no arrangement for funds to be received in any escrow, trust or similar arrangement.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00" w:after="283"/>
        <w:ind w:left="115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Except as otherwise described in the sales agreement, the Agents will be entitled to compensation at a commission rate of up to 2.0% of the gross sales price per share sold. In connection with the sale of our common stock on our behalf, the Agents may be deemed to be “underwriters” within the meaning of the Securities Act and the compensation of the Agents may be deemed to be underwriting commissions or discounts. We have also agreed to provide indemnification and contribution to the Agents with respect to certain liabilities, including liabilities under the Securities Act and the Securities Exchange Act of 1934, as amended, or Exchange Act.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jc w:val="left"/>
        <w:rPr/>
      </w:pPr>
      <w:r>
        <w:rPr>
          <w:rFonts w:ascii="Palatino Linotype;Book Antiqua;Palatino;serif" w:hAnsi="Palatino Linotype;Book Antiqua;Palatino;serif"/>
          <w:b/>
          <w:i w:val="false"/>
          <w:caps w:val="false"/>
          <w:smallCaps w:val="false"/>
          <w:color w:val="000000"/>
          <w:sz w:val="20"/>
        </w:rPr>
        <w:t xml:space="preserve">INVESTING IN OUR SECURITIES INVOLVES SIGNIFICANT RISKS. YOU SHOULD REVIEW CAREFULLY THE “RISK FACTORS” BEGINNING ON PAGE </w:t>
      </w:r>
      <w:hyperlink w:anchor="sRFAI">
        <w:r>
          <w:rPr>
            <w:rStyle w:val="InternetLink"/>
          </w:rPr>
          <w:t>S-6</w:t>
        </w:r>
      </w:hyperlink>
      <w:r>
        <w:rPr>
          <w:rFonts w:ascii="Palatino Linotype;Book Antiqua;Palatino;serif" w:hAnsi="Palatino Linotype;Book Antiqua;Palatino;serif"/>
          <w:b/>
          <w:i w:val="false"/>
          <w:caps w:val="false"/>
          <w:smallCaps w:val="false"/>
          <w:color w:val="000000"/>
          <w:sz w:val="20"/>
        </w:rPr>
        <w:t xml:space="preserve"> OF THIS PROSPECTUS SUPPLEMENT AND UNDER SIMILAR HEADINGS IN THE OTHER DOCUMENTS THAT ARE INCORPORATED BY REFERENCE INTO THIS PROSPECTUS SUPPLEMENT BEFORE INVESTING IN OUR SECURITIES.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30" w:before="100" w:after="283"/>
        <w:jc w:val="left"/>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val="false"/>
          <w:smallCaps w:val="false"/>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80" w:before="318" w:after="283"/>
        <w:jc w:val="left"/>
        <w:rPr>
          <w:rFonts w:ascii="Times New Roman;Times;serif" w:hAnsi="Times New Roman;Times;serif"/>
          <w:b/>
          <w:i w:val="false"/>
          <w:caps w:val="false"/>
          <w:smallCaps w:val="false"/>
          <w:color w:val="000000"/>
          <w:sz w:val="34"/>
        </w:rPr>
      </w:pPr>
      <w:r>
        <w:rPr>
          <w:rFonts w:ascii="Times New Roman;Times;serif" w:hAnsi="Times New Roman;Times;serif"/>
          <w:b/>
          <w:i w:val="false"/>
          <w:caps/>
          <w:color w:val="000000"/>
          <w:sz w:val="34"/>
        </w:rPr>
        <w:t>RAYMOND JAMESNEEDHAM &amp; COMPANY</w:t>
      </w:r>
      <w:r>
        <w:rPr>
          <w:rFonts w:ascii="Times New Roman;Times;serif" w:hAnsi="Times New Roman;Times;serif"/>
          <w:b/>
          <w:i w:val="false"/>
          <w:caps w:val="false"/>
          <w:smallCaps w:val="false"/>
          <w:color w:val="000000"/>
          <w:sz w:val="34"/>
        </w:rPr>
        <w:t xml:space="preserve"> </w:t>
      </w:r>
    </w:p>
    <w:p>
      <w:pPr>
        <w:pStyle w:val="TextBody"/>
        <w:bidi w:val="0"/>
        <w:spacing w:lineRule="atLeast" w:line="240" w:before="24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T</w:t>
      </w:r>
      <w:r>
        <w:rPr>
          <w:rFonts w:ascii="Palatino Linotype;Book Antiqua;Palatino;serif" w:hAnsi="Palatino Linotype;Book Antiqua;Palatino;serif"/>
          <w:b/>
          <w:i w:val="false"/>
          <w:caps w:val="false"/>
          <w:smallCaps w:val="false"/>
          <w:color w:val="000000"/>
          <w:sz w:val="20"/>
        </w:rPr>
        <w:t xml:space="preserve">he date of this prospectus supplement is </w:t>
      </w:r>
      <w:r>
        <w:rPr>
          <w:rFonts w:ascii="Palatino Linotype;Book Antiqua;Palatino;serif" w:hAnsi="Palatino Linotype;Book Antiqua;Palatino;serif"/>
          <w:b/>
          <w:i w:val="false"/>
          <w:caps/>
          <w:color w:val="000000"/>
          <w:sz w:val="20"/>
        </w:rPr>
        <w:t>A</w:t>
      </w:r>
      <w:r>
        <w:rPr>
          <w:rFonts w:ascii="Palatino Linotype;Book Antiqua;Palatino;serif" w:hAnsi="Palatino Linotype;Book Antiqua;Palatino;serif"/>
          <w:b/>
          <w:i w:val="false"/>
          <w:caps w:val="false"/>
          <w:smallCaps w:val="false"/>
          <w:color w:val="000000"/>
          <w:sz w:val="20"/>
        </w:rPr>
        <w:t>ugust 21,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348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TABLE OF CONTENTS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2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PROSPECTUS SUPPLEMENT</w:t>
      </w:r>
      <w:r>
        <w:rPr>
          <w:rFonts w:ascii="Palatino Linotype;Book Antiqua;Palatino;serif" w:hAnsi="Palatino Linotype;Book Antiqua;Palatino;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pPr>
            <w:r>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ATPS">
              <w:r>
                <w:rPr>
                  <w:rStyle w:val="InternetLink"/>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ATPS">
              <w:r>
                <w:rPr>
                  <w:rStyle w:val="InternetLink"/>
                </w:rPr>
                <w:t xml:space="preserve">S-1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PSST">
              <w:r>
                <w:rPr>
                  <w:rStyle w:val="InternetLink"/>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PSST">
              <w:r>
                <w:rPr>
                  <w:rStyle w:val="InternetLink"/>
                </w:rPr>
                <w:t xml:space="preserve">S-2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THOF">
              <w:r>
                <w:rPr>
                  <w:rStyle w:val="InternetLink"/>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THOF">
              <w:r>
                <w:rPr>
                  <w:rStyle w:val="InternetLink"/>
                </w:rPr>
                <w:t xml:space="preserve">S-5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RFAI">
              <w:r>
                <w:rPr>
                  <w:rStyle w:val="InternetLink"/>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RFAI">
              <w:r>
                <w:rPr>
                  <w:rStyle w:val="InternetLink"/>
                </w:rPr>
                <w:t xml:space="preserve">S-6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CNRF">
              <w:r>
                <w:rPr>
                  <w:rStyle w:val="InternetLink"/>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CNRF">
              <w:r>
                <w:rPr>
                  <w:rStyle w:val="InternetLink"/>
                </w:rPr>
                <w:t xml:space="preserve">S-9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UOPT">
              <w:r>
                <w:rPr>
                  <w:rStyle w:val="InternetLink"/>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UOPT">
              <w:r>
                <w:rPr>
                  <w:rStyle w:val="InternetLink"/>
                </w:rPr>
                <w:t xml:space="preserve">S-10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DIYP">
              <w:r>
                <w:rPr>
                  <w:rStyle w:val="InternetLink"/>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DIYP">
              <w:r>
                <w:rPr>
                  <w:rStyle w:val="InternetLink"/>
                </w:rPr>
                <w:t xml:space="preserve">S-11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PODW">
              <w:r>
                <w:rPr>
                  <w:rStyle w:val="InternetLink"/>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PODW">
              <w:r>
                <w:rPr>
                  <w:rStyle w:val="InternetLink"/>
                </w:rPr>
                <w:t xml:space="preserve">S-13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LMTV">
              <w:r>
                <w:rPr>
                  <w:rStyle w:val="InternetLink"/>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LMTV">
              <w:r>
                <w:rPr>
                  <w:rStyle w:val="InternetLink"/>
                </w:rPr>
                <w:t xml:space="preserve">S-15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ETAC">
              <w:r>
                <w:rPr>
                  <w:rStyle w:val="InternetLink"/>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ETAC">
              <w:r>
                <w:rPr>
                  <w:rStyle w:val="InternetLink"/>
                </w:rPr>
                <w:t xml:space="preserve">S-15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WTLM">
              <w:r>
                <w:rPr>
                  <w:rStyle w:val="InternetLink"/>
                </w:rPr>
                <w:t xml:space="preserve">WHERE TO LEARN MORE ABOUT 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WTLM">
              <w:r>
                <w:rPr>
                  <w:rStyle w:val="InternetLink"/>
                </w:rPr>
                <w:t xml:space="preserve">S-15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IOCD">
              <w:r>
                <w:rPr>
                  <w:rStyle w:val="InternetLink"/>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IOCD">
              <w:r>
                <w:rPr>
                  <w:rStyle w:val="InternetLink"/>
                </w:rPr>
                <w:t>S-16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PROSPECTUS</w:t>
      </w:r>
      <w:r>
        <w:rPr>
          <w:rFonts w:ascii="Palatino Linotype;Book Antiqua;Palatino;serif" w:hAnsi="Palatino Linotype;Book Antiqua;Palatino;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2"/>
        <w:gridCol w:w="109"/>
        <w:gridCol w:w="109"/>
        <w:gridCol w:w="109"/>
        <w:gridCol w:w="109"/>
        <w:gridCol w:w="400"/>
        <w:gridCol w:w="109"/>
        <w:gridCol w:w="155"/>
      </w:tblGrid>
      <w:tr>
        <w:trPr/>
        <w:tc>
          <w:tcPr>
            <w:tcW w:w="77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7" w:type="dxa"/>
            <w:gridSpan w:val="4"/>
            <w:tcBorders>
              <w:bottom w:val="single" w:sz="2" w:space="0" w:color="000000"/>
            </w:tcBorders>
            <w:tcMar>
              <w:bottom w:w="50" w:type="dxa"/>
            </w:tcMar>
            <w:vAlign w:val="center"/>
          </w:tcPr>
          <w:p>
            <w:pPr>
              <w:pStyle w:val="TableContents"/>
              <w:bidi w:val="0"/>
              <w:spacing w:before="0" w:after="0"/>
              <w:jc w:val="center"/>
              <w:rPr/>
            </w:pPr>
            <w:r>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ATP">
              <w:r>
                <w:rPr>
                  <w:rStyle w:val="InternetLink"/>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ATP">
              <w:r>
                <w:rPr>
                  <w:rStyle w:val="InternetLink"/>
                </w:rPr>
                <w:t xml:space="preserve">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2" w:type="dxa"/>
            <w:tcBorders/>
            <w:tcMar>
              <w:bottom w:w="0" w:type="dxa"/>
            </w:tcMar>
            <w:vAlign w:val="center"/>
          </w:tcPr>
          <w:p>
            <w:pPr>
              <w:pStyle w:val="TableContents"/>
              <w:bidi w:val="0"/>
              <w:spacing w:before="0" w:after="0"/>
              <w:jc w:val="left"/>
              <w:rPr/>
            </w:pPr>
            <w:hyperlink w:anchor="tRIFA">
              <w:r>
                <w:rPr>
                  <w:rStyle w:val="InternetLink"/>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0" w:type="dxa"/>
            <w:tcBorders/>
            <w:tcMar>
              <w:bottom w:w="0" w:type="dxa"/>
            </w:tcMar>
            <w:vAlign w:val="center"/>
          </w:tcPr>
          <w:p>
            <w:pPr>
              <w:pStyle w:val="TableContents"/>
              <w:bidi w:val="0"/>
              <w:spacing w:before="0" w:after="283"/>
              <w:jc w:val="right"/>
              <w:rPr/>
            </w:pPr>
            <w:hyperlink w:anchor="tRIFA">
              <w:r>
                <w:rPr>
                  <w:rStyle w:val="InternetLink"/>
                </w:rPr>
                <w:t xml:space="preserve">2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THCO">
              <w:r>
                <w:rPr>
                  <w:rStyle w:val="InternetLink"/>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THCO">
              <w:r>
                <w:rPr>
                  <w:rStyle w:val="InternetLink"/>
                </w:rPr>
                <w:t xml:space="preserve">2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2" w:type="dxa"/>
            <w:tcBorders/>
            <w:tcMar>
              <w:bottom w:w="0" w:type="dxa"/>
            </w:tcMar>
            <w:vAlign w:val="center"/>
          </w:tcPr>
          <w:p>
            <w:pPr>
              <w:pStyle w:val="TableContents"/>
              <w:bidi w:val="0"/>
              <w:spacing w:before="0" w:after="0"/>
              <w:jc w:val="left"/>
              <w:rPr/>
            </w:pPr>
            <w:hyperlink w:anchor="tCNRF">
              <w:r>
                <w:rPr>
                  <w:rStyle w:val="InternetLink"/>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0" w:type="dxa"/>
            <w:tcBorders/>
            <w:tcMar>
              <w:bottom w:w="0" w:type="dxa"/>
            </w:tcMar>
            <w:vAlign w:val="center"/>
          </w:tcPr>
          <w:p>
            <w:pPr>
              <w:pStyle w:val="TableContents"/>
              <w:bidi w:val="0"/>
              <w:spacing w:before="0" w:after="283"/>
              <w:jc w:val="right"/>
              <w:rPr/>
            </w:pPr>
            <w:hyperlink w:anchor="tCNRF">
              <w:r>
                <w:rPr>
                  <w:rStyle w:val="InternetLink"/>
                </w:rPr>
                <w:t xml:space="preserve">3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UOP">
              <w:r>
                <w:rPr>
                  <w:rStyle w:val="InternetLink"/>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UOP">
              <w:r>
                <w:rPr>
                  <w:rStyle w:val="InternetLink"/>
                </w:rPr>
                <w:t xml:space="preserve">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2" w:type="dxa"/>
            <w:tcBorders/>
            <w:tcMar>
              <w:bottom w:w="0" w:type="dxa"/>
            </w:tcMar>
            <w:vAlign w:val="center"/>
          </w:tcPr>
          <w:p>
            <w:pPr>
              <w:pStyle w:val="TableContents"/>
              <w:bidi w:val="0"/>
              <w:spacing w:before="0" w:after="0"/>
              <w:jc w:val="left"/>
              <w:rPr/>
            </w:pPr>
            <w:hyperlink w:anchor="tDOST">
              <w:r>
                <w:rPr>
                  <w:rStyle w:val="InternetLink"/>
                </w:rPr>
                <w:t xml:space="preserve">DESCRIPTION OF SECURITIES TO BE OFFERED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0" w:type="dxa"/>
            <w:tcBorders/>
            <w:tcMar>
              <w:bottom w:w="0" w:type="dxa"/>
            </w:tcMar>
            <w:vAlign w:val="center"/>
          </w:tcPr>
          <w:p>
            <w:pPr>
              <w:pStyle w:val="TableContents"/>
              <w:bidi w:val="0"/>
              <w:spacing w:before="0" w:after="283"/>
              <w:jc w:val="right"/>
              <w:rPr/>
            </w:pPr>
            <w:hyperlink w:anchor="tDOST">
              <w:r>
                <w:rPr>
                  <w:rStyle w:val="InternetLink"/>
                </w:rPr>
                <w:t xml:space="preserve">4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POD">
              <w:r>
                <w:rPr>
                  <w:rStyle w:val="InternetLink"/>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POD">
              <w:r>
                <w:rPr>
                  <w:rStyle w:val="InternetLink"/>
                </w:rPr>
                <w:t xml:space="preserve">13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2" w:type="dxa"/>
            <w:tcBorders/>
            <w:tcMar>
              <w:bottom w:w="0" w:type="dxa"/>
            </w:tcMar>
            <w:vAlign w:val="center"/>
          </w:tcPr>
          <w:p>
            <w:pPr>
              <w:pStyle w:val="TableContents"/>
              <w:bidi w:val="0"/>
              <w:spacing w:before="0" w:after="0"/>
              <w:jc w:val="left"/>
              <w:rPr/>
            </w:pPr>
            <w:hyperlink w:anchor="tLEMA">
              <w:r>
                <w:rPr>
                  <w:rStyle w:val="InternetLink"/>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0" w:type="dxa"/>
            <w:tcBorders/>
            <w:tcMar>
              <w:bottom w:w="0" w:type="dxa"/>
            </w:tcMar>
            <w:vAlign w:val="center"/>
          </w:tcPr>
          <w:p>
            <w:pPr>
              <w:pStyle w:val="TableContents"/>
              <w:bidi w:val="0"/>
              <w:spacing w:before="0" w:after="283"/>
              <w:jc w:val="right"/>
              <w:rPr/>
            </w:pPr>
            <w:hyperlink w:anchor="tLEMA">
              <w:r>
                <w:rPr>
                  <w:rStyle w:val="InternetLink"/>
                </w:rPr>
                <w:t xml:space="preserve">17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EXP">
              <w:r>
                <w:rPr>
                  <w:rStyle w:val="InternetLink"/>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EXP">
              <w:r>
                <w:rPr>
                  <w:rStyle w:val="InternetLink"/>
                </w:rPr>
                <w:t xml:space="preserve">17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2" w:type="dxa"/>
            <w:tcBorders/>
            <w:tcMar>
              <w:bottom w:w="0" w:type="dxa"/>
            </w:tcMar>
            <w:vAlign w:val="center"/>
          </w:tcPr>
          <w:p>
            <w:pPr>
              <w:pStyle w:val="TableContents"/>
              <w:bidi w:val="0"/>
              <w:spacing w:before="0" w:after="0"/>
              <w:jc w:val="left"/>
              <w:rPr/>
            </w:pPr>
            <w:hyperlink w:anchor="tWTLM">
              <w:r>
                <w:rPr>
                  <w:rStyle w:val="InternetLink"/>
                </w:rPr>
                <w:t xml:space="preserve">WHERE TO LEARN MORE ABOUT 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0" w:type="dxa"/>
            <w:tcBorders/>
            <w:tcMar>
              <w:bottom w:w="0" w:type="dxa"/>
            </w:tcMar>
            <w:vAlign w:val="center"/>
          </w:tcPr>
          <w:p>
            <w:pPr>
              <w:pStyle w:val="TableContents"/>
              <w:bidi w:val="0"/>
              <w:spacing w:before="0" w:after="283"/>
              <w:jc w:val="right"/>
              <w:rPr/>
            </w:pPr>
            <w:hyperlink w:anchor="tWTLM">
              <w:r>
                <w:rPr>
                  <w:rStyle w:val="InternetLink"/>
                </w:rPr>
                <w:t xml:space="preserve">17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2" w:type="dxa"/>
            <w:tcBorders/>
            <w:shd w:fill="CCEEFF" w:val="clear"/>
            <w:tcMar>
              <w:bottom w:w="0" w:type="dxa"/>
            </w:tcMar>
            <w:vAlign w:val="center"/>
          </w:tcPr>
          <w:p>
            <w:pPr>
              <w:pStyle w:val="TableContents"/>
              <w:bidi w:val="0"/>
              <w:spacing w:before="0" w:after="0"/>
              <w:jc w:val="left"/>
              <w:rPr/>
            </w:pPr>
            <w:hyperlink w:anchor="tIOCI">
              <w:r>
                <w:rPr>
                  <w:rStyle w:val="InternetLink"/>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0" w:type="dxa"/>
            <w:tcBorders/>
            <w:shd w:fill="CCEEFF" w:val="clear"/>
            <w:tcMar>
              <w:bottom w:w="0" w:type="dxa"/>
            </w:tcMar>
            <w:vAlign w:val="center"/>
          </w:tcPr>
          <w:p>
            <w:pPr>
              <w:pStyle w:val="TableContents"/>
              <w:bidi w:val="0"/>
              <w:spacing w:before="0" w:after="283"/>
              <w:jc w:val="right"/>
              <w:rPr/>
            </w:pPr>
            <w:hyperlink w:anchor="tIOCI">
              <w:r>
                <w:rPr>
                  <w:rStyle w:val="InternetLink"/>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ABOUT THIS PROSPECTUS SUPPLEMENT</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prospectus supplement is part of a registration statement that we filed with the Securities and Exchange Commission, or the SEC, using a “shelf” registration process. Under this prospectus supplement, and the accompanying base prospectus, we may offer shares of our common stock having an aggregate offering price of up to $600,000,000 from time to time at prices and on terms to be determined by market conditions at the time of the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 as our business, financial condition, results of operations and prospects may have changed since the earlier dates.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To the extent there is a conflict between the information contained in this prospectus supplement, on the one hand, and the information contained in the accompanying base prospectus or in any document incorporated by reference in this prospectus supplement having an earlier date than the date of this prospectus supplement, on the other hand, you should rely on the information in this prospectus supplement. You should also read and consider the additional information under the captions “Incorporation of Certain Documents by Reference” and “Where To Learn More About Us” in this prospectus supplement.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making your investment decision, you should rely only on the information contained or incorporated by reference in this prospectus supplement, in the accompanying base prospectus and in any free writing prospectus with respect to this offering filed by us with the SEC. We have not, and the Agents have not, authorized any other person to provide you with different information. If anyone provides you with different or inconsistent information you should not rely on it. You should assume that the information appearing in this prospectus supplement, the accompanying base prospectus, any free writing prospectus with respect to the offering filed by us with the SEC and the documents incorporated by reference herein and therein is accurate only as of their respective dates. Our business, financial condition, results of operations and prospects may have changed since those dates.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are offering to sell shares of common stock only in jurisdictions where offers and sales are permitted. The distribution of this prospectus supplement and the accompanying base prospectus and the offering of the common stock in certain jurisdictions may be restricted by law. Persons outside the United States who come into possession of this prospectus supplement and the accompanying base prospectus must inform themselves about, and observe any restrictions relating to, the offering of the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References in this prospectus supplement to the “Company,” “we,” “us” and “our” and similar terms refer to Applied Optoelectronics, Inc.</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filed or incorporated by reference exhibits to the registration statement of which this prospectus supplement forms a part. You should read the exhibits carefully for provisions that may be important to you.</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350" w:after="283"/>
        <w:ind w:left="1393" w:right="0" w:hanging="0"/>
        <w:jc w:val="center"/>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color w:val="000000"/>
          <w:sz w:val="20"/>
          <w:bdr w:val="single" w:sz="8" w:space="1" w:color="000000"/>
        </w:rPr>
        <w:t>PROSPECTUS SUPPLEMENT SUMMARY</w:t>
      </w:r>
      <w:r>
        <w:rPr>
          <w:rFonts w:ascii="Palatino Linotype;Book Antiqua;Palatino;serif" w:hAnsi="Palatino Linotype;Book Antiqua;Palatino;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Palatino Linotype;Book Antiqua;Palatino;serif" w:hAnsi="Palatino Linotype;Book Antiqua;Palatino;serif"/>
          <w:b w:val="false"/>
          <w:i/>
          <w:caps w:val="false"/>
          <w:smallCaps w:val="false"/>
          <w:color w:val="000000"/>
          <w:sz w:val="20"/>
          <w:bdr w:val="single" w:sz="8" w:space="1" w:color="000000"/>
        </w:rPr>
        <w:t xml:space="preserve">This summary description about us, our business and this offering highlights selected information contained elsewhere in this prospectus supplement or incorporated in this prospectus supplement by reference. This summary does not contain all of the information you should consider before deciding to invest in our common stock. You should carefully read this entire prospectus supplement, the accompanying base prospectus and any free writing prospectus that we have authorized for use in connection with this offering, including each of the documents incorporated herein or therein by reference, before making an investment decision. Investors should carefully consider the information set forth under “Risk Factors” beginning on page </w:t>
      </w:r>
      <w:hyperlink w:anchor="sRFAI">
        <w:r>
          <w:rPr>
            <w:rStyle w:val="InternetLink"/>
          </w:rPr>
          <w:t>S-6</w:t>
        </w:r>
      </w:hyperlink>
      <w:r>
        <w:rPr>
          <w:rFonts w:ascii="Palatino Linotype;Book Antiqua;Palatino;serif" w:hAnsi="Palatino Linotype;Book Antiqua;Palatino;serif"/>
          <w:b w:val="false"/>
          <w:i/>
          <w:caps w:val="false"/>
          <w:smallCaps w:val="false"/>
          <w:color w:val="000000"/>
          <w:sz w:val="20"/>
          <w:bdr w:val="single" w:sz="8" w:space="1" w:color="000000"/>
        </w:rPr>
        <w:t xml:space="preserve"> and incorporated by reference to our annual report on Form 10-K and our quarterly reports on Form 10-Q. </w:t>
      </w:r>
    </w:p>
    <w:p>
      <w:pPr>
        <w:pStyle w:val="TextBody"/>
        <w:bidi w:val="0"/>
        <w:spacing w:lineRule="atLeast" w:line="240" w:before="240" w:after="283"/>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The Company</w:t>
      </w:r>
      <w:r>
        <w:rPr>
          <w:rFonts w:ascii="Palatino Linotype;Book Antiqua;Palatino;serif" w:hAnsi="Palatino Linotype;Book Antiqua;Palatino;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We are a leading, vertically integrated provider of fiber-optic networking products. We target four networking end-markets: internet and AI data centers, cable television (“CATV”), telecommunications (“telecom”), and fiber-to-the-home (“FTTH”). We design and manufacture a range of optical communications products at varying levels of integration, from components, subassemblies and modules to complete turn-key equipment.</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Our vertically integrated manufacturing model provides us several advantages, including rapid product development, fast response times to customer requests and control over product quality and manufacturing costs.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The four end markets we target are all driven by significant bandwidth demand fueled by the growth of artificial intelligence (AI), cloud computing, network-connected devices, video traffic, and online social networking. Within the data center market, AI workloads are fueling the retooling of existing data centers and the construction of purpose-built data centers for AI, in both cases significantly increasing demand for higher speed optical networking technology. Existing internet data centers are also being upgraded with higher speed optical networking equipment to support ever-increasing data traffic.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The CATV market is our most established business,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t>
        <w:br/>
        <w:t xml:space="preserve">who have continued to outsource both the design and manufacturing of this equipment. In 2023, </w:t>
        <w:br/>
        <w:t>we began offering many of our CATV products directly to MSO customers, under the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00" w:before="14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 </w:t>
      </w:r>
    </w:p>
    <w:p>
      <w:pPr>
        <w:pStyle w:val="TextBody"/>
        <w:bidi w:val="0"/>
        <w:spacing w:lineRule="atLeast" w:line="240" w:before="100" w:after="437"/>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30" w:before="35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The internet data center market is currently our fastest-growing business. Our customers in </w:t>
        <w:br/>
        <w:t>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 In addition, we believe that the significant automation employed in our production process for data center optical modules gives us advantages over our competitors in the ability to scale production rapidly, which is beneficial because the rapid adoption of artificial intelligence (“AI”) is fueling a new wave of investment by hyperscale data center operators, as AI computing is very compute and bandwidth intensive.</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As the complexity of CATV networks has increased over the years, equipment vendors, many of whom are our customers, have been under pressure to supply a wider variety of increasingly complex equipment to MSOs. In order to meet these demands, many equipment vendors have looked to engage with suppliers like us who have the capability to design and manufacture various </w:t>
        <w:br/>
        <w:t>network equipment or subassemblies, rather than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and Metal Organic Chemical Vapor Deposition,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Corporate Information</w:t>
      </w:r>
      <w:r>
        <w:rPr>
          <w:rFonts w:ascii="Palatino Linotype;Book Antiqua;Palatino;serif" w:hAnsi="Palatino Linotype;Book Antiqua;Palatino;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We were incorporated in the State of Texas in 1997. In March 2013, we converted from a Texas corporation into a Delaware corporation. Prime World International Holdings, Ltd. (“Prime World”) is our wholly-owned subsidiary incorporated in the British Virgin Islands on January 13, 2006. Prime World is the parent company of Global Technology, Inc. (“Global”). Global was established </w:t>
        <w:br/>
        <w:t>in June 2002 in the People’s Republic of China and was acquired by Prime World on March 30, 2006. Prime World also operates a division in Taiwan, which is qualified to do business in Taiwan and primarily manufactures transceivers and performs research and development activities.</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00" w:before="14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 </w:t>
      </w:r>
    </w:p>
    <w:p>
      <w:pPr>
        <w:pStyle w:val="TextBody"/>
        <w:bidi w:val="0"/>
        <w:spacing w:lineRule="atLeast" w:line="240" w:before="100" w:after="437"/>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350" w:after="283"/>
        <w:ind w:left="1393" w:right="0" w:firstLine="40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Our principal executive offices are located at 13139 Jess Pirtle Blvd., Sugar Land, TX 77478, and our telephone number is (281) 295-1800. Our website address is www.ao-inc.com. The information on our website is not incorporated by reference into this prospectus supplement and does not constitute a part of this prospectus supplement. </w:t>
      </w:r>
    </w:p>
    <w:p>
      <w:pPr>
        <w:pStyle w:val="TextBody"/>
        <w:bidi w:val="0"/>
        <w:spacing w:lineRule="atLeast" w:line="200" w:before="14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 </w:t>
      </w:r>
    </w:p>
    <w:p>
      <w:pPr>
        <w:pStyle w:val="TextBody"/>
        <w:bidi w:val="0"/>
        <w:spacing w:lineRule="atLeast" w:line="240" w:before="100" w:after="437"/>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350" w:after="283"/>
        <w:ind w:left="1393" w:right="0" w:hanging="0"/>
        <w:jc w:val="center"/>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color w:val="000000"/>
          <w:sz w:val="20"/>
          <w:bdr w:val="single" w:sz="8" w:space="1" w:color="000000"/>
        </w:rPr>
        <w:t>THE OFFERING</w:t>
      </w:r>
      <w:r>
        <w:rPr>
          <w:rFonts w:ascii="Palatino Linotype;Book Antiqua;Palatino;serif" w:hAnsi="Palatino Linotype;Book Antiqua;Palatino;serif"/>
          <w:b/>
          <w:i w:val="false"/>
          <w:caps w:val="false"/>
          <w:smallCaps w:val="false"/>
          <w:color w:val="000000"/>
          <w:spacing w:val="4"/>
          <w:sz w:val="20"/>
          <w:bdr w:val="single" w:sz="8" w:space="1" w:color="000000"/>
        </w:rPr>
        <w:t xml:space="preserve"> </w:t>
      </w:r>
    </w:p>
    <w:p>
      <w:pPr>
        <w:pStyle w:val="TextBody"/>
        <w:bidi w:val="0"/>
        <w:spacing w:lineRule="atLeast" w:line="240" w:before="30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Common stock offered by us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Shares of our common stock having an aggregate offering price of up to $600,000,000.</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Common stock outstanding before this offering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84,906,289 shares </w:t>
      </w:r>
      <w:r>
        <w:rPr>
          <w:rFonts w:ascii="Palatino Linotype;Book Antiqua;Palatino;serif" w:hAnsi="Palatino Linotype;Book Antiqua;Palatino;serif"/>
          <w:b w:val="false"/>
          <w:i w:val="false"/>
          <w:caps w:val="false"/>
          <w:smallCaps w:val="false"/>
          <w:color w:val="000000"/>
          <w:sz w:val="15"/>
          <w:bdr w:val="single" w:sz="8" w:space="1" w:color="000000"/>
        </w:rPr>
        <w:t>(1)</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Manner of offering </w:t>
      </w:r>
    </w:p>
    <w:p>
      <w:pPr>
        <w:pStyle w:val="TextBody"/>
        <w:bidi w:val="0"/>
        <w:spacing w:lineRule="atLeast" w:line="240" w:before="0" w:after="283"/>
        <w:ind w:left="5573" w:right="0" w:hanging="0"/>
        <w:jc w:val="left"/>
        <w:rPr/>
      </w:pPr>
      <w:r>
        <w:rPr>
          <w:caps w:val="false"/>
          <w:smallCaps w:val="false"/>
          <w:color w:val="000000"/>
          <w:bdr w:val="single" w:sz="8" w:space="1" w:color="000000"/>
        </w:rPr>
        <w:t>“</w:t>
      </w:r>
      <w:r>
        <w:rPr>
          <w:rFonts w:ascii="Palatino Linotype;Book Antiqua;Palatino;serif" w:hAnsi="Palatino Linotype;Book Antiqua;Palatino;serif"/>
          <w:b w:val="false"/>
          <w:i w:val="false"/>
          <w:caps w:val="false"/>
          <w:smallCaps w:val="false"/>
          <w:color w:val="000000"/>
          <w:sz w:val="20"/>
          <w:bdr w:val="single" w:sz="8" w:space="1" w:color="000000"/>
        </w:rPr>
        <w:t xml:space="preserve">At-the-market” offering that may be made from time to time through our sales agents, Raymond James and Needham. See “Plan of Distribution” on page </w:t>
      </w:r>
      <w:hyperlink w:anchor="sPODW">
        <w:r>
          <w:rPr>
            <w:rStyle w:val="InternetLink"/>
          </w:rPr>
          <w:t>S-13</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prospectus supplement.</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Use of proceeds </w:t>
      </w:r>
    </w:p>
    <w:p>
      <w:pPr>
        <w:pStyle w:val="TextBody"/>
        <w:bidi w:val="0"/>
        <w:spacing w:lineRule="atLeast" w:line="240" w:before="0" w:after="283"/>
        <w:ind w:left="5573" w:right="0" w:hanging="0"/>
        <w:jc w:val="left"/>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We currently intend to use the net proceeds from this offering, if any, for general corporate purposes, which may include among other things, debt repayment, working capital, capital expenditures and acquisitions. See “Use of Proceeds” on page </w:t>
      </w:r>
      <w:hyperlink w:anchor="sUOPT">
        <w:r>
          <w:rPr>
            <w:rStyle w:val="InternetLink"/>
          </w:rPr>
          <w:t>S-10</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prospectus supplement.</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Nasdaq Global Market symbol </w:t>
      </w:r>
    </w:p>
    <w:p>
      <w:pPr>
        <w:pStyle w:val="TextBody"/>
        <w:bidi w:val="0"/>
        <w:spacing w:lineRule="atLeast" w:line="240" w:before="0" w:after="283"/>
        <w:ind w:left="5573" w:right="0" w:hanging="0"/>
        <w:jc w:val="left"/>
        <w:rPr>
          <w:rFonts w:ascii="Palatino Linotype;Book Antiqua;Palatino;serif" w:hAnsi="Palatino Linotype;Book Antiqua;Palatino;serif"/>
          <w:b w:val="false"/>
          <w:i w:val="false"/>
          <w:caps w:val="false"/>
          <w:smallCaps w:val="false"/>
          <w:color w:val="000000"/>
          <w:sz w:val="20"/>
          <w:bdr w:val="single" w:sz="8" w:space="1" w:color="000000"/>
        </w:rPr>
      </w:pPr>
      <w:r>
        <w:rPr>
          <w:rFonts w:ascii="Palatino Linotype;Book Antiqua;Palatino;serif" w:hAnsi="Palatino Linotype;Book Antiqua;Palatino;serif"/>
          <w:b w:val="false"/>
          <w:i w:val="false"/>
          <w:caps w:val="false"/>
          <w:smallCaps w:val="false"/>
          <w:color w:val="000000"/>
          <w:sz w:val="20"/>
          <w:bdr w:val="single" w:sz="8" w:space="1" w:color="000000"/>
        </w:rPr>
        <w:t>AAOI</w:t>
      </w:r>
      <w:r>
        <w:rPr>
          <w:rFonts w:ascii="Palatino Linotype;Book Antiqua;Palatino;serif" w:hAnsi="Palatino Linotype;Book Antiqua;Palatino;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Palatino Linotype;Book Antiqua;Palatino;serif" w:hAnsi="Palatino Linotype;Book Antiqua;Palatino;serif"/>
          <w:b/>
          <w:i w:val="false"/>
          <w:caps w:val="false"/>
          <w:smallCaps w:val="false"/>
          <w:color w:val="000000"/>
          <w:sz w:val="20"/>
          <w:bdr w:val="single" w:sz="8" w:space="1" w:color="000000"/>
        </w:rPr>
      </w:pPr>
      <w:r>
        <w:rPr>
          <w:rFonts w:ascii="Palatino Linotype;Book Antiqua;Palatino;serif" w:hAnsi="Palatino Linotype;Book Antiqua;Palatino;serif"/>
          <w:b/>
          <w:i w:val="false"/>
          <w:caps w:val="false"/>
          <w:smallCaps w:val="false"/>
          <w:color w:val="000000"/>
          <w:sz w:val="20"/>
          <w:bdr w:val="single" w:sz="8" w:space="1" w:color="000000"/>
        </w:rPr>
        <w:t xml:space="preserve">Risk factors </w:t>
      </w:r>
    </w:p>
    <w:p>
      <w:pPr>
        <w:pStyle w:val="TextBody"/>
        <w:bidi w:val="0"/>
        <w:spacing w:lineRule="atLeast" w:line="240" w:before="0" w:after="283"/>
        <w:ind w:left="5573" w:right="0" w:hanging="0"/>
        <w:jc w:val="left"/>
        <w:rPr/>
      </w:pPr>
      <w:r>
        <w:rPr>
          <w:rFonts w:ascii="Palatino Linotype;Book Antiqua;Palatino;serif" w:hAnsi="Palatino Linotype;Book Antiqua;Palatino;serif"/>
          <w:b w:val="false"/>
          <w:i w:val="false"/>
          <w:caps w:val="false"/>
          <w:smallCaps w:val="false"/>
          <w:color w:val="000000"/>
          <w:sz w:val="20"/>
          <w:bdr w:val="single" w:sz="8" w:space="1" w:color="000000"/>
        </w:rPr>
        <w:t xml:space="preserve">Investing in our common stock involves significant risks. Please see “Risk Factors” beginning on page </w:t>
      </w:r>
      <w:hyperlink w:anchor="sRFAI">
        <w:r>
          <w:rPr>
            <w:rStyle w:val="InternetLink"/>
          </w:rPr>
          <w:t>S-6</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this prospectus supplement, page </w:t>
      </w:r>
      <w:hyperlink w:anchor="tRIFA">
        <w:r>
          <w:rPr>
            <w:rStyle w:val="InternetLink"/>
          </w:rPr>
          <w:t>2</w:t>
        </w:r>
      </w:hyperlink>
      <w:r>
        <w:rPr>
          <w:rFonts w:ascii="Palatino Linotype;Book Antiqua;Palatino;serif" w:hAnsi="Palatino Linotype;Book Antiqua;Palatino;serif"/>
          <w:b w:val="false"/>
          <w:i w:val="false"/>
          <w:caps w:val="false"/>
          <w:smallCaps w:val="false"/>
          <w:color w:val="000000"/>
          <w:sz w:val="20"/>
          <w:bdr w:val="single" w:sz="8" w:space="1" w:color="000000"/>
        </w:rPr>
        <w:t xml:space="preserve"> of the accompanying base prospectus and in the documents incorporated by reference herein, to read about factors you should consider before deciding to purchase shares of our common stock.</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Based on shares outstanding as of August 20, 2026, excluding the following shares of common stock reserved for issuance as of that date:</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3368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6"/>
                        </w:rPr>
                      </w:pPr>
                      <w:r>
                        <w:rPr>
                          <w:sz w:val="12"/>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restricted stock units representing a total of 1,090,055 shares of common stock issuable upon vesting;</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6">
                <wp:simplePos x="0" y="0"/>
                <wp:positionH relativeFrom="column">
                  <wp:align>left</wp:align>
                </wp:positionH>
                <wp:positionV relativeFrom="line">
                  <wp:align>top</wp:align>
                </wp:positionV>
                <wp:extent cx="2159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performance stock units representing a total of 629,463 shares of common stock issuable upon the satisfaction of performance-based vesting conditions that were outstanding as of August 20, 2026;</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7">
                <wp:simplePos x="0" y="0"/>
                <wp:positionH relativeFrom="column">
                  <wp:align>left</wp:align>
                </wp:positionH>
                <wp:positionV relativeFrom="line">
                  <wp:align>top</wp:align>
                </wp:positionV>
                <wp:extent cx="2159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any shares issuable upon conversion of our 2.75% Convertible Senior Notes due 2030; and</w:t>
      </w:r>
      <w:r>
        <w:rPr>
          <w:rFonts w:ascii="Palatino Linotype;Book Antiqua;Palatino;serif" w:hAnsi="Palatino Linotype;Book Antiqua;Palatino;serif"/>
          <w:b w:val="false"/>
          <w:i w:val="false"/>
          <w:caps w:val="false"/>
          <w:smallCaps w:val="false"/>
          <w:color w:val="000000"/>
          <w:spacing w:val="3"/>
          <w:sz w:val="16"/>
          <w:bdr w:val="single" w:sz="8" w:space="1" w:color="000000"/>
        </w:rPr>
        <w:t xml:space="preserve"> </w:t>
      </w:r>
      <w:r>
        <mc:AlternateContent>
          <mc:Choice Requires="wps">
            <w:drawing>
              <wp:anchor behindDoc="0" distT="50800" distB="0" distL="254000" distR="0" simplePos="0" locked="0" layoutInCell="1" allowOverlap="1" relativeHeight="8">
                <wp:simplePos x="0" y="0"/>
                <wp:positionH relativeFrom="column">
                  <wp:align>left</wp:align>
                </wp:positionH>
                <wp:positionV relativeFrom="line">
                  <wp:align>top</wp:align>
                </wp:positionV>
                <wp:extent cx="2159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2133" w:right="0" w:hanging="0"/>
        <w:jc w:val="left"/>
        <w:rPr>
          <w:rFonts w:ascii="Palatino Linotype;Book Antiqua;Palatino;serif" w:hAnsi="Palatino Linotype;Book Antiqua;Palatino;serif"/>
          <w:b w:val="false"/>
          <w:i w:val="false"/>
          <w:caps w:val="false"/>
          <w:smallCaps w:val="false"/>
          <w:color w:val="000000"/>
          <w:sz w:val="16"/>
          <w:bdr w:val="single" w:sz="8" w:space="1" w:color="000000"/>
        </w:rPr>
      </w:pPr>
      <w:r>
        <w:rPr>
          <w:rFonts w:ascii="Palatino Linotype;Book Antiqua;Palatino;serif" w:hAnsi="Palatino Linotype;Book Antiqua;Palatino;serif"/>
          <w:b w:val="false"/>
          <w:i w:val="false"/>
          <w:caps w:val="false"/>
          <w:smallCaps w:val="false"/>
          <w:color w:val="000000"/>
          <w:sz w:val="16"/>
          <w:bdr w:val="single" w:sz="8" w:space="1" w:color="000000"/>
        </w:rPr>
        <w:t>any shares issuable upon exercise of warrants issued to Amazon.com, Inc.</w:t>
      </w:r>
      <w:r>
        <mc:AlternateContent>
          <mc:Choice Requires="wps">
            <w:drawing>
              <wp:anchor behindDoc="0" distT="50800" distB="0" distL="254000" distR="0" simplePos="0" locked="0" layoutInCell="1" allowOverlap="1" relativeHeight="9">
                <wp:simplePos x="0" y="0"/>
                <wp:positionH relativeFrom="column">
                  <wp:align>left</wp:align>
                </wp:positionH>
                <wp:positionV relativeFrom="line">
                  <wp:align>top</wp:align>
                </wp:positionV>
                <wp:extent cx="2159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180" w:before="0" w:after="283"/>
                              <w:jc w:val="left"/>
                              <w:rPr/>
                            </w:pPr>
                            <w:r>
                              <w:rPr/>
                              <w:t>•</w:t>
                            </w:r>
                            <w:r>
                              <w:rPr>
                                <w:sz w:val="16"/>
                              </w:rPr>
                              <w:br/>
                            </w:r>
                          </w:p>
                        </w:txbxContent>
                      </wps:txbx>
                      <wps:bodyPr anchor="t" lIns="0" tIns="0" rIns="0" bIns="0">
                        <a:noAutofit/>
                      </wps:bodyPr>
                    </wps:wsp>
                  </a:graphicData>
                </a:graphic>
              </wp:anchor>
            </w:drawing>
          </mc:Choice>
          <mc:Fallback>
            <w:pict>
              <v:rect style="position:absolute;rotation:-0;width:17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left"/>
                        <w:rPr/>
                      </w:pPr>
                      <w:r>
                        <w:rPr/>
                        <w:t>•</w:t>
                      </w:r>
                      <w:r>
                        <w:rPr>
                          <w:sz w:val="16"/>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 </w:t>
      </w:r>
    </w:p>
    <w:p>
      <w:pPr>
        <w:pStyle w:val="TextBody"/>
        <w:bidi w:val="0"/>
        <w:spacing w:lineRule="atLeast" w:line="240" w:before="100" w:after="437"/>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FA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RISK FACTORS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An investment in our common stock involves a high degree of risk. You should consider carefully the risks described below and discussed under the section captioned “Risk Factors” contained in our most recent Annual Report on Form 10-K, as revised or supplemented by our Quarterly Reports on Form 10-Q since the filing of our most recent Annual Report on Form 10-K, each of which is incorporated by reference in this prospectus supplement in its entirety, together with other information in this prospectus supplement, and the information and documents incorporated by reference in this prospectus supplement, the accompanying base prospectus and any free writing prospectus with respect to this offering filed by us with the SEC, before you make a decision to invest in our common stock. The risks and uncertainties described below are not the only ones we face. Other risks and uncertainties, including those that we do not currently consider material, may impair our business. If any of these risks actually occur, our business, financial condition, operating results or cash flows could be materially adversely affected. This could cause the trading price of our common stock to decline, resulting in a loss of all or part of your investment.</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The common stock offered under this prospectus supplement and the accompanying base prospectus may be sold in “at-the-market” offerings, and investors who buy shares at different times will likely pay different prices.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Investors who purchase shares under this prospectus supplement and the accompanying base prospectus at different times will likely pay different prices, and so may experience different outcomes. We will have discretion, subject to market demand, to vary the timing and numbers of shares sold, and there is no minimum or maximum sales price. Investors may experience declines in the value of their shares as a result of share sales made at prices lower than the prices they paid.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The actual number of shares we will issue under the sales agreement, at any one time or in total, is uncertain.</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Subject to certain limitations in the sales agreement and compliance with applicable law, we have the discretion to deliver a sales notice to one or both of the Agents at any time throughout the term of the sales agreement. The number of shares that are sold by the Agents after delivering a sales notice will fluctuate based on the market price of the common shares during the sales period and limits we set with the Agents. Because the price per share of each share sold will fluctuate based on the market price of our common stock during the sales period, it is not possible at this stage to predict the number of shares that will ultimately be issued.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You will experience immediate and substantial dilution in the net tangible book value per share of the common stock you purchase in the offering.</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offering price per share in this offering exceeds the pro forma net tangible book value per share of our common stock outstanding as of June 30, 2026. Assuming that we sell an aggregate of 4,647,561 shares of our common stock at a price of  $129.10 per share, the last reported sale price of our common stock on The Nasdaq Global Market on August 20, 2026, for aggregate gross proceeds of approximately $600,000,000, and after deducting commissions and estimated aggregate offering expenses payable by us, you will experience immediate dilution of  $102.90 per share. See the section titled “Dilution” below for a more detailed illustration of the dilution you would incur if you participate in this offering. See “— You may experience significant dilution as a result of future financings and the exercise of outstanding options or warrants” below for a more detailed discussion of the dilution you will incur if you purchase common stock in this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You may experience significant dilution as a result of future financings and the exercise of outstanding options or warrants.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In order to raise additional capital, we may issue additional shares of our common stock or other securities convertible into or exchangeable for our common stock, including offerings pursuant to the accompanying base prospectus. We cannot assure you that we will be able to sell shares or other securities in any other offering at a price per share that is equal to or greater than the price per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Our stock price has been and is likely to be volatile.</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market price of our common stock has been and is likely to be subject to wide fluctuations. For example, the market price of our common stock has fluctuated from an intra-day low of  $18.50 to an intra-day high of  $233.67 over the 12 months preceding the date of this prospectus supplement. This volatility may affect the price at which you could sell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among other things those described elsewhere in this prospectus supplement, the accompanying base prospectus, and the documents incorporated by reference herein and therein,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the past, many companies that have experienced volatility in the market price of their stock have been subject to securities class action litigation. We have been in the past and may become in the future the target of this type of litigation.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We will have broad discretion in the use of the net proceeds from this offering and may allocate the net proceeds from this offering in ways that you and other stockholders may not approve.</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have a material adverse effect on our business and cause the market price of our common stock to decline. Pending their ultimate use, we intend to invest the net proceeds in short-term, investment-grade, interest-bearing instruments. These investments may not yield a favorable return to our stockholders.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We may be subject to restrictions on our business if we sell additional equity or debt securities to fund our operations.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order to raise additional funds to support our operations, we may issue additional equity or debt securities, which may impose restrictive covenants that adversely impact our business.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expand our operations or otherwise capitalize on our business opportunities due to such restrictions, our business, financial condition and results of operations could be materially adversely affected.</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880"/>
        <w:ind w:left="1393" w:right="0" w:hanging="0"/>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 xml:space="preserve">Future sales of our common stock in the public market or other financings could cause our </w:t>
        <w:br/>
        <w:t>stock price to fall.</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Sales of a substantial number of shares of our common stock in the public market, and the perception that such sales might occur in the future or the occurrence of other financings, could depress the market price of our common stock and could impair our ability to raise capital through the sale of additional equity securities.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(“Rule 144”).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Because we do not intend to declare cash dividends on our shares of common stock in the foreseeable future, stockholders must rely on appreciation of the value of our common stock for any return on their investment.</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never declared or paid cash dividends on our common stock and do not anticipate declaring or paying any cash dividends in the foreseeable future. In addition, the terms of our existing debt agreements preclude us from paying dividends. As a result, we expect that only appreciation of the price of our common stock, if any, will provide a return to investors in this offering for the foreseeable future.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left"/>
        <w:rPr>
          <w:rFonts w:ascii="Palatino Linotype;Book Antiqua;Palatino;serif" w:hAnsi="Palatino Linotype;Book Antiqua;Palatino;serif"/>
          <w:b/>
          <w:i/>
          <w:caps w:val="false"/>
          <w:smallCaps w:val="false"/>
          <w:color w:val="000000"/>
          <w:sz w:val="20"/>
        </w:rPr>
      </w:pPr>
      <w:r>
        <w:rPr>
          <w:rFonts w:ascii="Palatino Linotype;Book Antiqua;Palatino;serif" w:hAnsi="Palatino Linotype;Book Antiqua;Palatino;serif"/>
          <w:b/>
          <w:i/>
          <w:caps w:val="false"/>
          <w:smallCaps w:val="false"/>
          <w:color w:val="000000"/>
          <w:sz w:val="20"/>
        </w:rPr>
        <w:t>Our Amended and Restated Certificate of Incorporation includes a forum selection clause, which could limit our stockholders’ ability to obtain a favorable judicial forum for disputes with us.</w:t>
      </w:r>
      <w:r>
        <w:rPr>
          <w:rFonts w:ascii="Palatino Linotype;Book Antiqua;Palatino;serif" w:hAnsi="Palatino Linotype;Book Antiqua;Palatino;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behalf of us, (ii) any action asserting a claim of breach of a fiduciary duty owed by any of our directors, officers or other employees of us to us or our stockholders, (iii) any action asserting a claim arising pursuant to any provision of the Delaware General Corporation Law or our Amended and Restated Certificate of Incorporation or By-laws, or (iv) any action asserting a claim against us governed by the internal affairs doctrine.</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exclusive forum provision will not apply to claims under the Exchange Act, but will apply to other state and federal law claims including actions arising under the Securities Act (although our stockholders will not be deemed to have waived our compliance with the federal securities laws and the rules and regulations thereunder). Section 22 of the Securities Act, however,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S-8</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56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CAUTIONARY NOTE REGARDING FORWARD-LOOKING STATEMENTS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This prospectus supplement and the accompanying base prospectus contain, and the documents incorporated by reference herein include, “forward-looking statements” within the meaning of Section 27A of the Securities Act and Section 21E of the Exchange Act.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Forward-looking statements include, but are not limited to, statements about reduction in the size or quantity of customer orders; change in demand for our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our reliance on a small number of customers for a substantial portion of our revenues; pricing pressure; a decline in demand for our customers’ products or their rate of deployment of their products; general conditions in the internet data center, CATV, telecom and FTTH; changes in the world economy (particularly in the United States and China); the negative effects of seasonality; expectations regarding the acquisition or divestiture of assets and business; and realization of deferred tax assets.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some cases, you can identify forward-looking statements by terms such as “believe,” “may,” “estimate,” “continue,” “anticipate,” “intend,” “should,” “could,” “would,” “target,” “seek,” “aim,” “predicts,” “think,” “objectives,” “optimistic,” “new,” “goal,” “strategy,” “potential,” “is likely,” “will,” “expect,” “plan” “project,” “permit”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many of these risks in greater detail under the heading “Risk Factors” in our SEC filings, under the caption “Risk Factors” in the accompanying base prospectus and under the caption “Risk Factors” in this prospectus supplement. Also, these forward-looking statements represent our estimates and assumptions only as of the date of the document containing the applicable statement. You should read this prospectus supplement, the registration statement of which the accompanying base prospectus is a part, and the exhibits and documents incorporated by reference herein and therein completely and with the understanding that our actual future results may be materially different from those described in forward-looking statements. We qualify all of the forward-looking statements in the foregoing documents by these cautionary statements.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You should assume that information contained in or incorporated by reference into this prospectus supplement is accurate only as of the date on the front cover of this prospectus supplement or the date of the document incorporated by reference, as applicable. Unless required by law, we undertake no obligation to update or revise any forward-looking statements to reflect new information or future events or developments.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712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USE OF PROCEEDS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amount of proceeds from this offering will depend upon the number of shares of our common stock sold and the market price at which they are sold. There can be no assurance that we will be able to sell any shares under or fully utilize the sales agreement with the Agents as a source of financing.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currently intend to use the net proceeds from this offering for general corporate purposes, which may include, among other things, debt repayment, working capital, and capital expenditures. We may also use such proceeds to fund acquisitions of businesses, technologies or product lines that complement our current business; however, we have no present plans, agreements or commitments with respect to any potential acquisition.</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competition and other operational factors. We may find it necessary or advisable to use portions of the proceeds from this offering for other purposes.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Pending other uses, we intend to invest the proceeds in investment-grade, interest-bearing securities such as money market funds, certificates of deposit, or direct or guaranteed obligations of the U.S. government, or hold as cash. We cannot predict whether the proceeds invested will yield a favorable, or any, return.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S-10</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IY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14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DILUTION</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If you purchase shares of our common stock in this offering, your interest will be diluted to the extent of the difference between the public offering price per share and the net tangible book value per share of our common stock after this offering. We calculate net tangible book value per share by dividing our net tangible assets (tangible assets less total liabilities) by the number of shares of our common stock issued and outstanding as of June 30, 2026.</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Our historical net tangible book value at June 30, 2026 was $1,664,391,529 or approximately $19.72 per share of our common stock. After giving effect to (i) the 332,428 shares of common stock issued after June 30, 2026, for aggregate gross proceeds of approximately $49.2 million, pursuant to the prior Equity Distribution Agreement with Raymond James and Needham dated May 14, 2026, (ii) restricted stock units representing a total of 188,000 shares of common stock issued after June 30, 2026, and (iii) the sale of our common stock in the aggregate amount of approximately $600,000,000 in this offering, at an assumed offering price of  $129.10 per share, the last reported sale price of our common stock on The Nasdaq Global Market on August 20, 2026, and after deducting estimated offering expenses and commissions payable by us, our adjusted net tangible book value as of June 30, 2026 would have been approximately $2.3 billion, or approximately $26.20 per share of our common stock. This represents an immediate increase in the net tangible book value of $5.98 per share of our common stock to our existing stockholders and an immediate dilution in net tangible book value of approximately $102.90 per share of our common stock to new investors.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following table illustrates per share dilution:</w:t>
      </w:r>
      <w:r>
        <w:rPr>
          <w:rFonts w:ascii="Palatino Linotype;Book Antiqua;Palatino;serif" w:hAnsi="Palatino Linotype;Book Antiqua;Palatino;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091"/>
        <w:gridCol w:w="109"/>
        <w:gridCol w:w="109"/>
        <w:gridCol w:w="109"/>
        <w:gridCol w:w="226"/>
        <w:gridCol w:w="78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091" w:type="dxa"/>
            <w:tcBorders/>
            <w:shd w:fill="CCEEFF" w:val="clear"/>
            <w:vAlign w:val="center"/>
          </w:tcPr>
          <w:p>
            <w:pPr>
              <w:pStyle w:val="TableContents"/>
              <w:bidi w:val="0"/>
              <w:spacing w:before="0" w:after="0"/>
              <w:jc w:val="left"/>
              <w:rPr/>
            </w:pPr>
            <w:r>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0" w:type="dxa"/>
            <w:tcBorders/>
            <w:shd w:fill="CCEEFF" w:val="clear"/>
            <w:vAlign w:val="center"/>
          </w:tcPr>
          <w:p>
            <w:pPr>
              <w:pStyle w:val="TableContents"/>
              <w:bidi w:val="0"/>
              <w:spacing w:before="0" w:after="283"/>
              <w:jc w:val="right"/>
              <w:rPr/>
            </w:pPr>
            <w:r>
              <w:rPr/>
              <w:t xml:space="preserve">129.10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91" w:type="dxa"/>
            <w:tcBorders/>
            <w:vAlign w:val="center"/>
          </w:tcPr>
          <w:p>
            <w:pPr>
              <w:pStyle w:val="TableContents"/>
              <w:bidi w:val="0"/>
              <w:spacing w:before="0" w:after="0"/>
              <w:jc w:val="left"/>
              <w:rPr/>
            </w:pPr>
            <w:r>
              <w:rPr/>
              <w:t xml:space="preserve">Net tangible book value per share as of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80" w:type="dxa"/>
            <w:tcBorders/>
            <w:vAlign w:val="center"/>
          </w:tcPr>
          <w:p>
            <w:pPr>
              <w:pStyle w:val="TableContents"/>
              <w:bidi w:val="0"/>
              <w:spacing w:before="0" w:after="283"/>
              <w:jc w:val="right"/>
              <w:rPr/>
            </w:pPr>
            <w:r>
              <w:rPr/>
              <w:t>19.72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91" w:type="dxa"/>
            <w:tcBorders/>
            <w:shd w:fill="CCEEFF" w:val="clear"/>
            <w:vAlign w:val="center"/>
          </w:tcPr>
          <w:p>
            <w:pPr>
              <w:pStyle w:val="TableContents"/>
              <w:bidi w:val="0"/>
              <w:spacing w:before="0" w:after="0"/>
              <w:ind w:left="200" w:right="0" w:hanging="200"/>
              <w:jc w:val="left"/>
              <w:rPr/>
            </w:pPr>
            <w:r>
              <w:rPr/>
              <w:t xml:space="preserve">Pro forma increase in net tangible book value per share after June 30, 2026 attributable to </w:t>
              <w:br/>
              <w:t xml:space="preserve">May 14, 2026 Equity Distribution Agreement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0" w:type="dxa"/>
            <w:tcBorders/>
            <w:shd w:fill="CCEEFF" w:val="clear"/>
            <w:vAlign w:val="center"/>
          </w:tcPr>
          <w:p>
            <w:pPr>
              <w:pStyle w:val="TableContents"/>
              <w:bidi w:val="0"/>
              <w:spacing w:before="0" w:after="283"/>
              <w:jc w:val="right"/>
              <w:rPr/>
            </w:pPr>
            <w:r>
              <w:rPr/>
              <w:t xml:space="preserve">0.50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91" w:type="dxa"/>
            <w:tcBorders/>
            <w:vAlign w:val="center"/>
          </w:tcPr>
          <w:p>
            <w:pPr>
              <w:pStyle w:val="TableContents"/>
              <w:bidi w:val="0"/>
              <w:spacing w:before="0" w:after="0"/>
              <w:ind w:left="200" w:right="0" w:hanging="200"/>
              <w:jc w:val="left"/>
              <w:rPr/>
            </w:pPr>
            <w:r>
              <w:rPr/>
              <w:t xml:space="preserve">Pro forma net tangible book value per shares after pro forma increase in net tangible book value per share after June 30, 2026 attributable to May 14, 2026 Equity Distribution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80" w:type="dxa"/>
            <w:tcBorders/>
            <w:vAlign w:val="center"/>
          </w:tcPr>
          <w:p>
            <w:pPr>
              <w:pStyle w:val="TableContents"/>
              <w:bidi w:val="0"/>
              <w:spacing w:before="0" w:after="283"/>
              <w:jc w:val="right"/>
              <w:rPr/>
            </w:pPr>
            <w:r>
              <w:rPr/>
              <w:t xml:space="preserve">20.23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91" w:type="dxa"/>
            <w:tcBorders/>
            <w:shd w:fill="CCEEFF" w:val="clear"/>
            <w:vAlign w:val="center"/>
          </w:tcPr>
          <w:p>
            <w:pPr>
              <w:pStyle w:val="TableContents"/>
              <w:bidi w:val="0"/>
              <w:spacing w:before="0" w:after="0"/>
              <w:ind w:left="200" w:right="0" w:hanging="200"/>
              <w:jc w:val="left"/>
              <w:rPr/>
            </w:pPr>
            <w:r>
              <w:rPr/>
              <w:t xml:space="preserve">Increase in net tangible book value per share attributable to this offering and the RSUs issued after June 30, 2026 as described above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0" w:type="dxa"/>
            <w:tcBorders/>
            <w:shd w:fill="CCEEFF" w:val="clear"/>
            <w:vAlign w:val="center"/>
          </w:tcPr>
          <w:p>
            <w:pPr>
              <w:pStyle w:val="TableContents"/>
              <w:bidi w:val="0"/>
              <w:spacing w:before="0" w:after="283"/>
              <w:jc w:val="right"/>
              <w:rPr/>
            </w:pPr>
            <w:r>
              <w:rPr/>
              <w:t xml:space="preserve">5.98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91" w:type="dxa"/>
            <w:tcBorders/>
            <w:vAlign w:val="center"/>
          </w:tcPr>
          <w:p>
            <w:pPr>
              <w:pStyle w:val="TableContents"/>
              <w:bidi w:val="0"/>
              <w:spacing w:before="0" w:after="0"/>
              <w:ind w:left="200" w:right="0" w:hanging="200"/>
              <w:jc w:val="left"/>
              <w:rPr/>
            </w:pPr>
            <w:r>
              <w:rPr/>
              <w:t xml:space="preserve">Adjusted net tangible book value per share as of June 30, 2026, after giving effect to this offering, the RSUs issued after June 30, 2026, and the pro forma increase in net tangible book value per shares after June 30, 2026 attributable to May 14, 2026 Equity Distribution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80" w:type="dxa"/>
            <w:tcBorders/>
            <w:vAlign w:val="center"/>
          </w:tcPr>
          <w:p>
            <w:pPr>
              <w:pStyle w:val="TableContents"/>
              <w:bidi w:val="0"/>
              <w:spacing w:before="0" w:after="283"/>
              <w:jc w:val="right"/>
              <w:rPr/>
            </w:pPr>
            <w:r>
              <w:rPr/>
              <w:t xml:space="preserve">26.20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91" w:type="dxa"/>
            <w:tcBorders/>
            <w:shd w:fill="CCEEFF" w:val="clear"/>
            <w:vAlign w:val="center"/>
          </w:tcPr>
          <w:p>
            <w:pPr>
              <w:pStyle w:val="TableContents"/>
              <w:bidi w:val="0"/>
              <w:spacing w:before="0" w:after="0"/>
              <w:jc w:val="left"/>
              <w:rPr/>
            </w:pPr>
            <w:r>
              <w:rPr/>
              <w:t xml:space="preserve">Dilution per share to new investors purchasing shares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80" w:type="dxa"/>
            <w:tcBorders/>
            <w:shd w:fill="CCEEFF" w:val="clear"/>
            <w:vAlign w:val="center"/>
          </w:tcPr>
          <w:p>
            <w:pPr>
              <w:pStyle w:val="TableContents"/>
              <w:bidi w:val="0"/>
              <w:spacing w:before="0" w:after="283"/>
              <w:jc w:val="right"/>
              <w:rPr/>
            </w:pPr>
            <w:r>
              <w:rPr/>
              <w:t>102.90</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table above assumes for illustrative purposes that an aggregate of 4,647,561 shares of our common stock are sold at a price of  $129.10 per share, the last reported sale price of our common stock on The Nasdaq Global Market on August 20, 2026, for aggregate gross proceeds of approximately $600,000,000. The shares sold in this offering, if any, will be sold from time to time at various prices.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The foregoing discussion and table do not take into account further dilution to new investors that could occur upon the exercise of outstanding stock options or warrants having a per share exercise price less than the per share offering price to the public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equity-linked securities, the issuance of these securities could result in further dilution to our stockholders.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9920"/>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table and discussion above are based on 84,906,289 shares outstanding as of August 20, 2026 and excludes, as of that date, the following: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restricted stock units representing a total of 1,090,055 shares of common stock issuable upon vesting;</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2032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performance stock units representing a total of 629,463 shares of common stock issuable upon the satisfaction of performance-based vesting conditions that were outstanding as of August 20, 2026;</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2032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any shares issuable upon conversion of our 2.75% Convertible Senior Notes due 2030; and</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2032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113" w:right="0" w:hanging="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any shares issuable upon exercise of warrants issued to Amazon.com, Inc.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2032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16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S-12</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PODW"/>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PLAN OF DISTRIBUTION</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entered into a sales agreement with the Agents under which we may issue and sell shares of our common stock from time to time through them acting as agents. We may issue and sell shares through this prospectus supplement having an aggregate gross sales price of up to $600,000,000. The following summary of the material provisions of the sales agreement does not purport to be a complete statement of its terms and conditions. The sales agreement has been filed as an exhibit to our Current Report on Form 8-K dated as of the date hereof.</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Upon delivery of a placement notice and subject to the terms and conditions of the sales agreement, the Agents may sell our common stock by any method permitted by law deemed to be an “at-the-market” offering as defined in Rule 415 promulgated under the Securities Act, including sales made directly on The Nasdaq Global Market, on any other existing trading market for our common stock or through a market maker. The Agents, with the agreement of the Company, may also sell certain of our common stock by any other method permitted by law, including in privately negotiated transactions. We may instruct the Agents not to sell common stock if the sales cannot be effected at or above the price designated by us from time to time. We or the Agents may suspend the offering of common stock upon notice and subject to other conditions.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Except as otherwise described in the sales agreement, we will pay the Agents commissions, in cash, for their services in acting as agents in the sale of our common stock. The Agents will be entitled to compensation at a commission rate of up to 2.0% of the gross proceeds from the sales of the shares of our common stock sold pursuant to the sales agreement. Because there is no minimum offering amount required as a condition to close this offering, the actual total public offering amount, commissions and proceeds to us, if any, are not determinable at this time. We have also agreed to reimburse the Agents for certain specified expenses in connection with the registration of shares of our common stock under state blue sky laws and any filing with, and clearance of this offering by, the Financial Industry Regulatory Authority Inc. (“FINRA”), not to exceed $10,000 in the aggregate, and any associated application fees incurred. Additionally, if the sales agreement is terminated under certain circumstances and we fail to sell a minimum amount of common stock as set forth in the sales agreement, then we have agreed to reimburse the Agents for reasonable out-of-pocket expenses, including the reasonable fees and disbursements of counsel incurred by the Agents, up to a maximum of  $30,000 in the aggregate. We estimate that the total expenses for the offering, excluding compensation and reimbursements payable to the Agents under the terms of the sales agreement, will be approximately $150,000.</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Settlement for sales of common stock will occur on the first business day following the date on which any sales are made, or on some other date that is agreed upon by us and the Agents in connection with a particular transaction, in return for payment of the net proceeds to us. Sales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Agents will use their commercially reasonable efforts, consistent with their normal trading and sales practices and applicable state and federal laws, rules and regulations and the rules of The Nasdaq Global Market, to sell the shares of common stock under the terms and subject to the conditions set forth in the sales agreement. In connection with the sale of the common stock on our behalf, the Agents may be deemed to be “underwriters” within the meaning of the Securities Act and the compensation of the Agents may be deemed to be underwriting commissions or discounts. We have agreed to provide indemnification and contribution to the Agents against certain civil liabilities, including liabilities under the Securities Act and the Exchange Act.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The offering of our common stock pursuant to the sales agreement will terminate upon the earlier of  (i) the sale of all shares of our common stock subject to the sales agreement or (ii) termination of the sales agreement as permitted therein. We and each of the Agents may each terminate the sales agreement at any time.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10480"/>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Agents and their affiliates may in the future provide various investment banking, commercial banking and other financial services for us and our affiliates, for which services they may in the future receive customary fees. To the extent required by Regulation M, the Agents will not engage in any market making activities involving our common stock while the offering is ongoing under this prospectus supplement.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This prospectus supplement and the accompanying base prospectus in electronic format may be made available on websites maintained by Raymond James and Needham, and they may distribute this prospectus supplement and the accompanying base prospectus electronically.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MTV"/>
      <w:bookmarkEnd w:id="12"/>
      <w:r>
        <w:rPr>
          <w:rFonts w:ascii="calibri;arial;sans-serif" w:hAnsi="calibri;arial;sans-serif"/>
          <w:b w:val="false"/>
          <w:i w:val="false"/>
          <w:caps w:val="false"/>
          <w:smallCaps w:val="false"/>
          <w:color w:val="000000"/>
          <w:sz w:val="16"/>
        </w:rPr>
        <w:t>​</w:t>
      </w:r>
      <w:bookmarkStart w:id="13" w:name="sETAC"/>
      <w:bookmarkEnd w:id="13"/>
      <w:r>
        <w:rPr>
          <w:rFonts w:ascii="calibri;arial;sans-serif" w:hAnsi="calibri;arial;sans-serif"/>
          <w:b w:val="false"/>
          <w:i w:val="false"/>
          <w:caps w:val="false"/>
          <w:smallCaps w:val="false"/>
          <w:color w:val="000000"/>
          <w:sz w:val="16"/>
        </w:rPr>
        <w:t>​</w:t>
      </w:r>
      <w:bookmarkStart w:id="14" w:name="sWTLM"/>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3120"/>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LEGAL MATTERS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validity of the common stock offered by this prospectus supplement will be passed upon by Haynes and Boone, LLP, Houston, Texas. The Agents are being represented in connection with this offering by Mayer Brown LLP, New York, New York.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EXPERTS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the Company’s former independent registered public accountants, upon the authority of said firm as experts in accounting and auditing.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240"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WHERE TO LEARN MORE ABOUT US</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have filed with the SEC a registration statement on Form S-3ASR under the Securities Act with respect to the securities being offered under this prospectus supplement. This prospectus supplement and the accompanying base prospectus, which forms part of the registration statement, do not contain all of the information in the registration statement. We have omitted certain parts of the registration statement, as permitted by the rules and regulations of the SEC. For further information regarding us and our securities, please see the registration statement and our other filings with the SEC, including our annual, quarterly, and current reports and any proxy statements. Our public filings with the SEC are available to the public on the SEC’s Internet website at http://www.sec.gov.</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furnish holders of our common stock with annual reports containing audited financial statements prepared in accordance with accounting principles generally accepted in the United States following the end of each fiscal year. We file reports and other information with the SEC pursuant to the reporting requirements of the Exchange Act. In addition, the reports, proxy statements and other information that we file with the SEC are available to you free of charge through the Investor Relations page of our website, http://ao-inc.com/, as soon as reasonably practicable after they have been electronically filed with, or furnished to, the SEC. We have included our website address as a textual reference and do not intend it as an active link to our website. The contents of our website are not part of this prospectus, and you should not consider the contents of our website in making an investment decision with respect to our securities.</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Descriptions in this prospectus of documents are intended to be summaries of the material, relevant portions of those documents, but may not be complete descriptions of those documents. For complete copies of those documents, please refer to the exhibits to the registration statement and other documents filed by us with the SEC. </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IOC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rPr>
        <w:t> </w:t>
      </w:r>
    </w:p>
    <w:p>
      <w:pPr>
        <w:pStyle w:val="TextBody"/>
        <w:bidi w:val="0"/>
        <w:spacing w:lineRule="atLeast" w:line="240" w:before="120" w:after="283"/>
        <w:ind w:left="1393" w:right="0" w:hanging="0"/>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INCORPORATION OF CERTAIN DOCUMENTS BY REFERENCE</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The SEC allows us to “incorporate by reference” into this prospectus supplement the documents we file with them, which means that we can disclose important information to you by referring you to those documents. The information that we incorporate by reference into this prospectus supplement is considered to be part of this prospectus supplement, and information that we file later with the SEC automatically updates and supersedes any information in this prospectus supplement. We have filed the following documents with the SEC. These documents are incorporated by reference as of their respective dates of filing, as well as any future documents (excluding information furnished pursuant to Items 2.02 and 7.01 of Form 8-K) we file with the SEC pursuant to Sections 13(a), 13(c), 14 or 15(d) of the Exchange Act, subsequent to the date of this prospectus supplement and prior to the termination of the offering:</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40" w:before="112" w:after="0"/>
        <w:ind w:left="2193" w:right="0" w:hanging="0"/>
        <w:jc w:val="left"/>
        <w:rPr/>
      </w:pPr>
      <w:hyperlink r:id="rId3">
        <w:r>
          <w:rPr>
            <w:rStyle w:val="InternetLink"/>
            <w:rFonts w:ascii="Palatino Linotype;Book Antiqua;Palatino;serif" w:hAnsi="Palatino Linotype;Book Antiqua;Palatino;serif"/>
            <w:b w:val="false"/>
            <w:i w:val="false"/>
            <w:caps w:val="false"/>
            <w:smallCaps w:val="false"/>
            <w:color w:val="000000"/>
            <w:sz w:val="20"/>
          </w:rPr>
          <w:t>Our Annual Report on Form 10-K for the fiscal year ended December 31, 2025, as filed with the SEC on February 26, 2026;</w:t>
        </w:r>
      </w:hyperlink>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1.</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pPr>
      <w:hyperlink r:id="rId4">
        <w:r>
          <w:rPr>
            <w:rStyle w:val="InternetLink"/>
            <w:rFonts w:ascii="Palatino Linotype;Book Antiqua;Palatino;serif" w:hAnsi="Palatino Linotype;Book Antiqua;Palatino;serif"/>
            <w:b w:val="false"/>
            <w:i w:val="false"/>
            <w:caps w:val="false"/>
            <w:smallCaps w:val="false"/>
            <w:color w:val="000000"/>
            <w:sz w:val="20"/>
          </w:rPr>
          <w:t>The portions of our Definitive Proxy Statement incorporated by reference into our Annual Report on Form 10-K for the fiscal year ended December 31, 2025, for the 2026 Annual Meeting of Stockholders, as filed with the SEC on April 24, 2026;</w:t>
        </w:r>
      </w:hyperlink>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2.</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pPr>
      <w:r>
        <w:rPr>
          <w:rFonts w:ascii="Palatino Linotype;Book Antiqua;Palatino;serif" w:hAnsi="Palatino Linotype;Book Antiqua;Palatino;serif"/>
          <w:b w:val="false"/>
          <w:i w:val="false"/>
          <w:caps w:val="false"/>
          <w:smallCaps w:val="false"/>
          <w:color w:val="000000"/>
          <w:sz w:val="20"/>
        </w:rPr>
        <w:t xml:space="preserve">Our Quarterly Reports on Form 10-Q for the quarterly periods ended on March 31, 2026 and June 30, 2026, as filed with the SEC on </w:t>
      </w:r>
      <w:hyperlink r:id="rId5">
        <w:r>
          <w:rPr>
            <w:rStyle w:val="InternetLink"/>
          </w:rPr>
          <w:t>May 7, 2026</w:t>
        </w:r>
      </w:hyperlink>
      <w:r>
        <w:rPr>
          <w:rFonts w:ascii="Palatino Linotype;Book Antiqua;Palatino;serif" w:hAnsi="Palatino Linotype;Book Antiqua;Palatino;serif"/>
          <w:b w:val="false"/>
          <w:i w:val="false"/>
          <w:caps w:val="false"/>
          <w:smallCaps w:val="false"/>
          <w:color w:val="000000"/>
          <w:sz w:val="20"/>
        </w:rPr>
        <w:t xml:space="preserve"> and </w:t>
      </w:r>
      <w:hyperlink r:id="rId6">
        <w:r>
          <w:rPr>
            <w:rStyle w:val="InternetLink"/>
          </w:rPr>
          <w:t>August 6, 2026, respectively</w:t>
        </w:r>
      </w:hyperlink>
      <w:r>
        <w:rPr>
          <w:rFonts w:ascii="Palatino Linotype;Book Antiqua;Palatino;serif" w:hAnsi="Palatino Linotype;Book Antiqua;Palatino;serif"/>
          <w:b w:val="false"/>
          <w:i w:val="false"/>
          <w:caps w:val="false"/>
          <w:smallCaps w:val="false"/>
          <w:color w:val="000000"/>
          <w:sz w:val="20"/>
        </w:rPr>
        <w:t>;</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3.</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pPr>
      <w:r>
        <w:rPr>
          <w:rFonts w:ascii="Palatino Linotype;Book Antiqua;Palatino;serif" w:hAnsi="Palatino Linotype;Book Antiqua;Palatino;serif"/>
          <w:b w:val="false"/>
          <w:i w:val="false"/>
          <w:caps w:val="false"/>
          <w:smallCaps w:val="false"/>
          <w:color w:val="000000"/>
          <w:sz w:val="20"/>
        </w:rPr>
        <w:t xml:space="preserve">Our Current Reports on Form 8-K as filed with the SEC on </w:t>
      </w:r>
      <w:hyperlink r:id="rId7">
        <w:r>
          <w:rPr>
            <w:rStyle w:val="InternetLink"/>
          </w:rPr>
          <w:t>February 19, 2026</w:t>
        </w:r>
      </w:hyperlink>
      <w:r>
        <w:rPr>
          <w:rFonts w:ascii="Palatino Linotype;Book Antiqua;Palatino;serif" w:hAnsi="Palatino Linotype;Book Antiqua;Palatino;serif"/>
          <w:b w:val="false"/>
          <w:i w:val="false"/>
          <w:caps w:val="false"/>
          <w:smallCaps w:val="false"/>
          <w:color w:val="000000"/>
          <w:sz w:val="20"/>
        </w:rPr>
        <w:t xml:space="preserve">, </w:t>
      </w:r>
      <w:hyperlink r:id="rId8">
        <w:r>
          <w:rPr>
            <w:rStyle w:val="InternetLink"/>
          </w:rPr>
          <w:t>February 26, 2026</w:t>
        </w:r>
      </w:hyperlink>
      <w:r>
        <w:rPr>
          <w:rFonts w:ascii="Palatino Linotype;Book Antiqua;Palatino;serif" w:hAnsi="Palatino Linotype;Book Antiqua;Palatino;serif"/>
          <w:b w:val="false"/>
          <w:i w:val="false"/>
          <w:caps w:val="false"/>
          <w:smallCaps w:val="false"/>
          <w:color w:val="000000"/>
          <w:sz w:val="20"/>
        </w:rPr>
        <w:t xml:space="preserve">, </w:t>
      </w:r>
      <w:hyperlink r:id="rId9">
        <w:r>
          <w:rPr>
            <w:rStyle w:val="InternetLink"/>
          </w:rPr>
          <w:t>February 27, 2026</w:t>
        </w:r>
      </w:hyperlink>
      <w:r>
        <w:rPr>
          <w:rFonts w:ascii="Palatino Linotype;Book Antiqua;Palatino;serif" w:hAnsi="Palatino Linotype;Book Antiqua;Palatino;serif"/>
          <w:b w:val="false"/>
          <w:i w:val="false"/>
          <w:caps w:val="false"/>
          <w:smallCaps w:val="false"/>
          <w:color w:val="000000"/>
          <w:sz w:val="20"/>
        </w:rPr>
        <w:t xml:space="preserve">, </w:t>
      </w:r>
      <w:hyperlink r:id="rId10">
        <w:r>
          <w:rPr>
            <w:rStyle w:val="InternetLink"/>
          </w:rPr>
          <w:t>March 5, 2026</w:t>
        </w:r>
      </w:hyperlink>
      <w:r>
        <w:rPr>
          <w:rFonts w:ascii="Palatino Linotype;Book Antiqua;Palatino;serif" w:hAnsi="Palatino Linotype;Book Antiqua;Palatino;serif"/>
          <w:b w:val="false"/>
          <w:i w:val="false"/>
          <w:caps w:val="false"/>
          <w:smallCaps w:val="false"/>
          <w:color w:val="000000"/>
          <w:sz w:val="20"/>
        </w:rPr>
        <w:t xml:space="preserve">, </w:t>
      </w:r>
      <w:hyperlink r:id="rId11">
        <w:r>
          <w:rPr>
            <w:rStyle w:val="InternetLink"/>
          </w:rPr>
          <w:t>March 12, 2026</w:t>
        </w:r>
      </w:hyperlink>
      <w:r>
        <w:rPr>
          <w:rFonts w:ascii="Palatino Linotype;Book Antiqua;Palatino;serif" w:hAnsi="Palatino Linotype;Book Antiqua;Palatino;serif"/>
          <w:b w:val="false"/>
          <w:i w:val="false"/>
          <w:caps w:val="false"/>
          <w:smallCaps w:val="false"/>
          <w:color w:val="000000"/>
          <w:sz w:val="20"/>
        </w:rPr>
        <w:t xml:space="preserve">, </w:t>
      </w:r>
      <w:hyperlink r:id="rId12">
        <w:r>
          <w:rPr>
            <w:rStyle w:val="InternetLink"/>
          </w:rPr>
          <w:t>April 13, 2026</w:t>
        </w:r>
      </w:hyperlink>
      <w:r>
        <w:rPr>
          <w:rFonts w:ascii="Palatino Linotype;Book Antiqua;Palatino;serif" w:hAnsi="Palatino Linotype;Book Antiqua;Palatino;serif"/>
          <w:b w:val="false"/>
          <w:i w:val="false"/>
          <w:caps w:val="false"/>
          <w:smallCaps w:val="false"/>
          <w:color w:val="000000"/>
          <w:sz w:val="20"/>
        </w:rPr>
        <w:t xml:space="preserve">, </w:t>
      </w:r>
      <w:hyperlink r:id="rId13">
        <w:r>
          <w:rPr>
            <w:rStyle w:val="InternetLink"/>
          </w:rPr>
          <w:t>May 8, 2026</w:t>
        </w:r>
      </w:hyperlink>
      <w:r>
        <w:rPr>
          <w:rFonts w:ascii="Palatino Linotype;Book Antiqua;Palatino;serif" w:hAnsi="Palatino Linotype;Book Antiqua;Palatino;serif"/>
          <w:b w:val="false"/>
          <w:i w:val="false"/>
          <w:caps w:val="false"/>
          <w:smallCaps w:val="false"/>
          <w:color w:val="000000"/>
          <w:sz w:val="20"/>
        </w:rPr>
        <w:t xml:space="preserve">, </w:t>
      </w:r>
      <w:hyperlink r:id="rId14">
        <w:r>
          <w:rPr>
            <w:rStyle w:val="InternetLink"/>
          </w:rPr>
          <w:t>May 13, 2026</w:t>
        </w:r>
      </w:hyperlink>
      <w:r>
        <w:rPr>
          <w:rFonts w:ascii="Palatino Linotype;Book Antiqua;Palatino;serif" w:hAnsi="Palatino Linotype;Book Antiqua;Palatino;serif"/>
          <w:b w:val="false"/>
          <w:i w:val="false"/>
          <w:caps w:val="false"/>
          <w:smallCaps w:val="false"/>
          <w:color w:val="000000"/>
          <w:sz w:val="20"/>
        </w:rPr>
        <w:t xml:space="preserve">, </w:t>
      </w:r>
      <w:hyperlink r:id="rId15">
        <w:r>
          <w:rPr>
            <w:rStyle w:val="InternetLink"/>
          </w:rPr>
          <w:t>May 14, 2026</w:t>
        </w:r>
      </w:hyperlink>
      <w:r>
        <w:rPr>
          <w:rFonts w:ascii="Palatino Linotype;Book Antiqua;Palatino;serif" w:hAnsi="Palatino Linotype;Book Antiqua;Palatino;serif"/>
          <w:b w:val="false"/>
          <w:i w:val="false"/>
          <w:caps w:val="false"/>
          <w:smallCaps w:val="false"/>
          <w:color w:val="000000"/>
          <w:sz w:val="20"/>
        </w:rPr>
        <w:t xml:space="preserve">, </w:t>
      </w:r>
      <w:hyperlink r:id="rId16">
        <w:r>
          <w:rPr>
            <w:rStyle w:val="InternetLink"/>
          </w:rPr>
          <w:t>June 5, 2026</w:t>
        </w:r>
      </w:hyperlink>
      <w:r>
        <w:rPr>
          <w:rFonts w:ascii="Palatino Linotype;Book Antiqua;Palatino;serif" w:hAnsi="Palatino Linotype;Book Antiqua;Palatino;serif"/>
          <w:b w:val="false"/>
          <w:i w:val="false"/>
          <w:caps w:val="false"/>
          <w:smallCaps w:val="false"/>
          <w:color w:val="000000"/>
          <w:sz w:val="20"/>
        </w:rPr>
        <w:t xml:space="preserve">, </w:t>
      </w:r>
      <w:hyperlink r:id="rId17">
        <w:r>
          <w:rPr>
            <w:rStyle w:val="InternetLink"/>
          </w:rPr>
          <w:t>June 16, 2026</w:t>
        </w:r>
      </w:hyperlink>
      <w:r>
        <w:rPr>
          <w:rFonts w:ascii="Palatino Linotype;Book Antiqua;Palatino;serif" w:hAnsi="Palatino Linotype;Book Antiqua;Palatino;serif"/>
          <w:b w:val="false"/>
          <w:i w:val="false"/>
          <w:caps w:val="false"/>
          <w:smallCaps w:val="false"/>
          <w:color w:val="000000"/>
          <w:sz w:val="20"/>
        </w:rPr>
        <w:t xml:space="preserve"> and </w:t>
      </w:r>
      <w:hyperlink r:id="rId18">
        <w:r>
          <w:rPr>
            <w:rStyle w:val="InternetLink"/>
          </w:rPr>
          <w:t>July 1, 2026</w:t>
        </w:r>
      </w:hyperlink>
      <w:r>
        <w:rPr>
          <w:rFonts w:ascii="Palatino Linotype;Book Antiqua;Palatino;serif" w:hAnsi="Palatino Linotype;Book Antiqua;Palatino;serif"/>
          <w:b w:val="false"/>
          <w:i w:val="false"/>
          <w:caps w:val="false"/>
          <w:smallCaps w:val="false"/>
          <w:color w:val="000000"/>
          <w:sz w:val="20"/>
        </w:rPr>
        <w:t>; and</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4.</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2193" w:right="0" w:hanging="0"/>
        <w:jc w:val="left"/>
        <w:rPr/>
      </w:pPr>
      <w:r>
        <w:rPr>
          <w:rFonts w:ascii="Palatino Linotype;Book Antiqua;Palatino;serif" w:hAnsi="Palatino Linotype;Book Antiqua;Palatino;serif"/>
          <w:b w:val="false"/>
          <w:i w:val="false"/>
          <w:caps w:val="false"/>
          <w:smallCaps w:val="false"/>
          <w:color w:val="000000"/>
          <w:sz w:val="20"/>
        </w:rPr>
        <w:t xml:space="preserve">The description of our common stock contained in the “Description of Company’s Common Stock” filed as </w:t>
      </w:r>
      <w:hyperlink r:id="rId19">
        <w:r>
          <w:rPr>
            <w:rStyle w:val="InternetLink"/>
          </w:rPr>
          <w:t>Exhibit 4.6</w:t>
        </w:r>
      </w:hyperlink>
      <w:r>
        <w:rPr>
          <w:rFonts w:ascii="Palatino Linotype;Book Antiqua;Palatino;serif" w:hAnsi="Palatino Linotype;Book Antiqua;Palatino;serif"/>
          <w:b w:val="false"/>
          <w:i w:val="false"/>
          <w:caps w:val="false"/>
          <w:smallCaps w:val="false"/>
          <w:color w:val="000000"/>
          <w:sz w:val="20"/>
        </w:rPr>
        <w:t xml:space="preserve"> to our Annual Report on Form 10-K for the fiscal year ended December 31, 2025, filed with the SEC on February 26, 2026, including any amendment or reports filed for the purpose of updating such description.</w:t>
      </w:r>
      <w:r>
        <w:rPr>
          <w:rFonts w:ascii="Palatino Linotype;Book Antiqua;Palatino;serif" w:hAnsi="Palatino Linotype;Book Antiqua;Palatino;serif"/>
          <w:b w:val="false"/>
          <w:i w:val="false"/>
          <w:caps w:val="false"/>
          <w:smallCaps w:val="false"/>
          <w:color w:val="000000"/>
          <w:spacing w:val="4"/>
          <w:sz w:val="20"/>
        </w:rPr>
        <w:t xml:space="preserve"> </w:t>
      </w:r>
      <w:r>
        <mc:AlternateContent>
          <mc:Choice Requires="wps">
            <w:drawing>
              <wp:anchor behindDoc="0" distT="7112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t>5.</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2"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In addition, all documents subsequently filed by us pursuant to Section 13(a), 13(c), 14 and 15(d) of the Exchange Act after the date of this prospectus supplement and prior to the filing of a post-effective amendment to the registration statement that indicates that all securities offered have been sold or that deregisters all securities then remaining unsold, shall be deemed to be incorporated by reference into this prospectus supplement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that is incorporated by reference herein modifies or supersedes such earlier statement. Any such statement so modified or superseded shall not be deemed, except as so modified or superseded, to constitute a part of this prospectus supplement.</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52"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Nothing in this prospectus supplement shall be deemed to incorporate information furnished but not filed with the SEC pursuant to Item 2.02 or Item 7.01 of Form 8-K.</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We will provide, without charge, upon written or oral request of any person to whom a copy of this prospectus supplement is delivered, a copy of any or all of the foregoing documents and information that has been or may be incorporated in this prospectus supplement by reference, other than exhibits to such documents. Requests for such documents and information should be directed to:</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50" w:after="283"/>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Applied Optoelectronics, Inc. </w:t>
        <w:br/>
        <w:t>Attn: Dr. Stefan Murry, Chief Financial Officer</w:t>
        <w:br/>
        <w:t xml:space="preserve">13139 Jess Pirtle Blvd. </w:t>
        <w:br/>
        <w:t xml:space="preserve">Sugar Land, TX 77478 </w:t>
        <w:br/>
        <w:t>(281) 295-1800</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 xml:space="preserve">You may also access the documents incorporated by reference in this prospectus supplement through our website at </w:t>
      </w:r>
      <w:r>
        <w:rPr>
          <w:rFonts w:ascii="Palatino Linotype;Book Antiqua;Palatino;serif" w:hAnsi="Palatino Linotype;Book Antiqua;Palatino;serif"/>
          <w:b w:val="false"/>
          <w:i/>
          <w:caps w:val="false"/>
          <w:smallCaps w:val="false"/>
          <w:color w:val="000000"/>
          <w:sz w:val="20"/>
        </w:rPr>
        <w:t>http://ao-inc.com/</w:t>
      </w:r>
      <w:r>
        <w:rPr>
          <w:rFonts w:ascii="Palatino Linotype;Book Antiqua;Palatino;serif" w:hAnsi="Palatino Linotype;Book Antiqua;Palatino;serif"/>
          <w:b w:val="false"/>
          <w:i w:val="false"/>
          <w:caps w:val="false"/>
          <w:smallCaps w:val="false"/>
          <w:color w:val="000000"/>
          <w:sz w:val="20"/>
        </w:rPr>
        <w:t>​. Except for the specific incorporated documents listed above, no information available on or through our website shall be deemed to be incorporated in this prospectus supplement.</w:t>
      </w:r>
    </w:p>
    <w:p>
      <w:pPr>
        <w:pStyle w:val="TextBody"/>
        <w:bidi w:val="0"/>
        <w:spacing w:lineRule="atLeast" w:line="200" w:before="140" w:after="283"/>
        <w:ind w:left="1393" w:right="0" w:hanging="0"/>
        <w:jc w:val="left"/>
        <w:rPr>
          <w:caps w:val="false"/>
          <w:smallCaps w:val="false"/>
          <w:color w:val="000000"/>
        </w:rPr>
      </w:pPr>
      <w:r>
        <w:rPr>
          <w:caps w:val="false"/>
          <w:smallCaps w:val="false"/>
          <w:color w:val="000000"/>
        </w:rPr>
        <w:t> </w:t>
      </w:r>
    </w:p>
    <w:p>
      <w:pPr>
        <w:pStyle w:val="TextBody"/>
        <w:bidi w:val="0"/>
        <w:spacing w:lineRule="atLeast" w:line="240" w:before="100" w:after="283"/>
        <w:ind w:left="1393" w:right="0" w:hanging="0"/>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S-16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1381125" cy="84772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20"/>
                    <a:stretch>
                      <a:fillRect/>
                    </a:stretch>
                  </pic:blipFill>
                  <pic:spPr bwMode="auto">
                    <a:xfrm>
                      <a:off x="0" y="0"/>
                      <a:ext cx="13811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3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APPLIED OPTOELECTRONICS,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any combination of the securities listed above from time to time, in one or more classes or series and in amounts, at prices and on terms that we will determine at the time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selling securityholders may offer and sell, from time to time, these securities on terms described in a prospectus supplement. We will not receive any proceeds from the sale of our securities by the selling securityholders.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or selling securityholders sell securities, we or such selling securityholders will provide a supplement to this prospectus that contains specific information about the offering and, if applicable, the selling securityholders, as well as the amounts, prices and terms of the securities. The prospectus supplement may also add, update or change information contained in this prospectus. You should carefully read this prospectus, all prospectus supplements and all other documents incorporated by reference in this prospectus before you invest in our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offer and sell these securities in the same offering or in separate offerings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 See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carefully review and consider this prospectus and any prospectus supplement before investing in our securities. We also encourage you to read the documents to which we have referred you in the “Where To Learn More About Us” section of this prospectus for information on us and for our financial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SELL SECURITIES UNLESS ACCOMPANIED BY A PROSPECTUS SUPPLEMENT DESCRIBING THE METHOD AND TERMS OF THE OFFERING OF SUCH SECURITIES.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A HIGH DEGREE OF RISK. RISKS ASSOCIATED WITH AN INVESTMENT IN OUR SECURITIES WILL BE DESCRIBED IN THE APPLICABLE PROSPECTUS SUPPLEMENT AND OUR PERIODIC AND OTHER REPORTS WE FILE WITH THE SECURITIES AND EXCHANGE COMMISSION, AS DESCRIBED IN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YOU SHOULD CAREFULLY CONSIDER THOSE RISK FACTORS BEFORE INVESTING.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THE DISCLOSURES IN THE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December 18, 2024.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THCO">
              <w:r>
                <w:rPr>
                  <w:rStyle w:val="InternetLink"/>
                  <w:spacing w:val="4"/>
                </w:rPr>
                <w:t>2</w:t>
              </w:r>
            </w:hyperlink>
            <w:hyperlink w:anchor="tTH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CNRF">
              <w:r>
                <w:rPr>
                  <w:rStyle w:val="InternetLink"/>
                  <w:spacing w:val="4"/>
                </w:rPr>
                <w:t>3</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DOST">
              <w:r>
                <w:rPr>
                  <w:rStyle w:val="InternetLink"/>
                  <w:spacing w:val="4"/>
                </w:rPr>
                <w:t xml:space="preserve">DESCRIPTION OF SECURITIES TO BE OFFERED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DOST">
              <w:r>
                <w:rPr>
                  <w:rStyle w:val="InternetLink"/>
                  <w:spacing w:val="4"/>
                </w:rPr>
                <w:t>4</w:t>
              </w:r>
            </w:hyperlink>
            <w:hyperlink w:anchor="tD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POD">
              <w:r>
                <w:rPr>
                  <w:rStyle w:val="InternetLink"/>
                  <w:spacing w:val="4"/>
                </w:rPr>
                <w:t>13</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LEMA">
              <w:r>
                <w:rPr>
                  <w:rStyle w:val="InternetLink"/>
                  <w:spacing w:val="4"/>
                </w:rPr>
                <w:t>17</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XP">
              <w:r>
                <w:rPr>
                  <w:rStyle w:val="InternetLink"/>
                  <w:spacing w:val="4"/>
                </w:rPr>
                <w:t>17</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WTLM">
              <w:r>
                <w:rPr>
                  <w:rStyle w:val="InternetLink"/>
                  <w:spacing w:val="4"/>
                </w:rPr>
                <w:t xml:space="preserve">WHERE TO LEARN MORE ABOUT 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WTLM">
              <w:r>
                <w:rPr>
                  <w:rStyle w:val="InternetLink"/>
                  <w:spacing w:val="4"/>
                </w:rPr>
                <w:t>17</w:t>
              </w:r>
            </w:hyperlink>
            <w:hyperlink w:anchor="tWTL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IOCI">
              <w:r>
                <w:rPr>
                  <w:rStyle w:val="InternetLink"/>
                  <w:spacing w:val="4"/>
                </w:rPr>
                <w:t>18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of 1933, as amended, or the Securities Act, utilizing a “shelf” registration process. Under the shelf registration process, we or the selling securityholders may offer and sell either individually or in combination with other securities any of the securities described in this prospectus, from time to time, in one or more offerings, at prices and on terms to be determined at or prior to the applicable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only provides you with a general description of the securities we may offer. Each time we sell securities described in the prospectus, we will provide a supplement to this prospectus that will contain specific information about the terms of that offering.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OFFER AND SELL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prospectus supplement may also add, update or change information contained in this prospectus and, accordingly to the extent inconsistent, information in this prospectus is superseded by the information in the prospectus supplement. You should read carefully both this prospectus and any accompanying prospectus supplement or other offering materials, together with the additional information described under “Where To Learn More About Us” beginning on page </w:t>
      </w:r>
      <w:hyperlink w:anchor="tWTLM">
        <w:r>
          <w:rPr>
            <w:rStyle w:val="InternetLink"/>
          </w:rPr>
          <w:t>17</w:t>
        </w:r>
      </w:hyperlink>
      <w:r>
        <w:rPr>
          <w:rFonts w:ascii="Times New Roman;Times;serif" w:hAnsi="Times New Roman;Times;serif"/>
          <w:b w:val="false"/>
          <w:i w:val="false"/>
          <w:caps w:val="false"/>
          <w:smallCaps w:val="false"/>
          <w:color w:val="000000"/>
          <w:spacing w:val="4"/>
          <w:sz w:val="20"/>
        </w:rPr>
        <w:t xml:space="preserve"> of this prospectus and “Incorporation of Certain Documents By Reference,” beginning on page </w:t>
      </w:r>
      <w:hyperlink w:anchor="tIOCI">
        <w:r>
          <w:rPr>
            <w:rStyle w:val="InternetLink"/>
          </w:rPr>
          <w:t>18</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and any prospectus supplement or issuer free writing prospectus relating to a particular offering. We have not authorized anyone to provide you with different information. If anyone provides you with different or inconsistent information, you must not rely on it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securityholders may sell the securities directly to you or through underwriters, dealers or agents. We, and our underwriters or agents, reserve the right to accept or reject all or part of any proposed purchase of securities. If we or the selling securityholders do offer securities through underwriters, dealers or agents, we will include in any applicable prospectus supplement: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those underwriters, dealers or agents;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fees, discounts, and commissions to be paid to them;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over-allotment options, if any; and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(the “Exchange Act”), and, therefore, file reports and other information with the SEC. Statements contained in this prospectus and any accompanying prospectus supplement or other offering materials about the provisions or contents of any agreement or other document are only summaries. If the SEC rules require that any agreement or document be filed as an exhibit to the registration statement, then you should refer to that agreement or document for its complete contents.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any accompanying prospectus supplement or any other offering materials is accurate as of any date other than the date on the front of each document, regardless of the time of delivery of this prospectus, any accompanying prospectus supplement or any sale of securities. Our business, financial condition, results of operations and prospects may have changed since that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RIFA"/>
      <w:bookmarkEnd w:id="18"/>
      <w:r>
        <w:rPr>
          <w:rFonts w:ascii="calibri;arial;sans-serif" w:hAnsi="calibri;arial;sans-serif"/>
          <w:b w:val="false"/>
          <w:i w:val="false"/>
          <w:caps w:val="false"/>
          <w:smallCaps w:val="false"/>
          <w:color w:val="000000"/>
          <w:sz w:val="16"/>
        </w:rPr>
        <w:t>​</w:t>
      </w:r>
      <w:bookmarkStart w:id="19" w:name="tTHC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The prospectus supplement applicable to each offering of our securities will contain a discussion of the risks applicable to an investment in our securities. Before deciding whether to invest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w:t>
      </w:r>
      <w:hyperlink r:id="rId21">
        <w:r>
          <w:rPr>
            <w:rStyle w:val="InternetLink"/>
          </w:rPr>
          <w:t>Annual Report on Form 10-K, for the fiscal year ended December 31, 2023, filed with the SEC on February 23, 2023</w:t>
        </w:r>
      </w:hyperlink>
      <w:r>
        <w:rPr>
          <w:rFonts w:ascii="Times New Roman;Times;serif" w:hAnsi="Times New Roman;Times;serif"/>
          <w:b w:val="false"/>
          <w:i w:val="false"/>
          <w:caps w:val="false"/>
          <w:smallCaps w:val="false"/>
          <w:color w:val="000000"/>
          <w:spacing w:val="4"/>
          <w:sz w:val="20"/>
        </w:rPr>
        <w:t xml:space="preserve">, and our Form 10-Qs, as amended, for the fiscal periods ended March 31, 2024, June 30, 2024, and September 30, 2024, filed with the SEC on </w:t>
      </w:r>
      <w:hyperlink r:id="rId22">
        <w:r>
          <w:rPr>
            <w:rStyle w:val="InternetLink"/>
          </w:rPr>
          <w:t>May 6, 2024</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August 6, 2024</w:t>
        </w:r>
      </w:hyperlink>
      <w:r>
        <w:rPr>
          <w:rFonts w:ascii="Times New Roman;Times;serif" w:hAnsi="Times New Roman;Times;serif"/>
          <w:b w:val="false"/>
          <w:i w:val="false"/>
          <w:caps w:val="false"/>
          <w:smallCaps w:val="false"/>
          <w:color w:val="000000"/>
          <w:spacing w:val="4"/>
          <w:sz w:val="20"/>
        </w:rPr>
        <w:t xml:space="preserve">, and </w:t>
      </w:r>
      <w:hyperlink r:id="rId24">
        <w:r>
          <w:rPr>
            <w:rStyle w:val="InternetLink"/>
          </w:rPr>
          <w:t>November 7, 2024</w:t>
        </w:r>
      </w:hyperlink>
      <w:r>
        <w:rPr>
          <w:rFonts w:ascii="Times New Roman;Times;serif" w:hAnsi="Times New Roman;Times;serif"/>
          <w:b w:val="false"/>
          <w:i w:val="false"/>
          <w:caps w:val="false"/>
          <w:smallCaps w:val="false"/>
          <w:color w:val="000000"/>
          <w:spacing w:val="4"/>
          <w:sz w:val="20"/>
        </w:rPr>
        <w:t xml:space="preserve">, respectively, all of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entitled “Cautionary Note Regarding Forward-Looking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the terms “we,” “us,” “our,” and “Company” refer to Applied Optoelectronics, Inc. We are a leading, vertically integrated provider of fiber-optic networking products. We target four networking end-markets: internet data centers, cable television (“CATV”), telecommunications (“telecom”), and fiber-to-the home (“FTTH”). We design and manufacture a range of optical communications products at varying levels of integration, from components, subassemblies and modules to complete turn-key equipment.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updates among telecom service providers. In the telecom market, we benefit from deployment of new high-speed fiber-optic networks by telecom network operators, including 5G networks.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alternative processes for the fabrication of lasers. We believe the use of both processes, and our knowledge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NR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ISO 9001:2015. Our facilities in Ningbo, China, Taipei, Taiwan, and Sugar Land, Texas are all certified to ISO 14001:2015.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13139 Jess Pirtle Blvd., Sugar Land, TX 77478, and our telephone number is (281) 295-1800. Our website address is www.ao-inc.com. Information contained on our website is not incorporated by reference into this prospectus and does not constitute a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each prospectus supplement contains, and the documents incorporated by reference herein include “forward-looking statements” within the meaning of Section 27A of the Securities Act and Section 21E of the Exchange Act. These statements relate to future events or to our future financial performance and involve known and unknown risks, uncertainties and other factors which may cause our actual results, performance or achievements to be materially different from any future results, performances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UOP"/>
      <w:bookmarkEnd w:id="21"/>
      <w:r>
        <w:rPr>
          <w:rFonts w:ascii="calibri;arial;sans-serif" w:hAnsi="calibri;arial;sans-serif"/>
          <w:b w:val="false"/>
          <w:i w:val="false"/>
          <w:caps w:val="false"/>
          <w:smallCaps w:val="false"/>
          <w:color w:val="000000"/>
          <w:sz w:val="16"/>
        </w:rPr>
        <w:t>​</w:t>
      </w:r>
      <w:bookmarkStart w:id="22" w:name="tDO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achievements expressed or implied by the forward-looking statements. Forward-looking statements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above and those discussed in the Company’s documents included in “Incorporation of Certain Information by Reference”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forward-looking statement by terms such as “believe,” “may,” “estimate,” “continue,” “anticipate,” “intend,” “should,” “could,” “would,” “target,” “seek,” “aim,” “believe,” “predicts,” “think,” “objectives,” “optimistic,” “new,” “goal,” “strategy,” “potential,” “is likely,” “will,” “expect,” “plan” “project,” “permit”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many of these risks in greater detail under the heading “Risk Factors” in our SEC filings, and under the caption “Risk Factors” in this prospectus or any prospectus supplement. Also, these forward-looking statements represent our estimates and assumptions only as of the date of the document containing the applicable statement. You should read this prospectus, the registration statement of which this prospectus is a part, any prospectus supplement and the exhibits and documents incorporated by reference herein and therein completely and with the understanding that our actual future results may be materially different from those described in forward-looking statements. We qualify all of the forward-looking statements in the foregoing documents by these cautionary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assume that information contained in or incorporated by reference into this prospectus is accurate only as of the date on the front cover of this prospectus or the date of the document incorporated by reference, as applicable. Unless required by law, we undertake no obligation to update or revise any forward-looking statements to reflect new information or future events or developments.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the securities as set forth in the applicable prospectus supplement. We will not receive any proceeds from the sale of our securities by the selling securityholders.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TO BE OFFERED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information in the prospectus supplement, where applicable, about material U.S. federal income tax considerations relating to the securities, and the securities exchange, if any, on which the securities will be listed.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from time to time, in one or more primary offerings, our common stock, preferred stock, warrants and units, or any combination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we refer to the common stock, preferred stock, warrants, units or any combination of the foregoing securities to be sold by us in a primary offering collectively as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consummate a sale of securities unless it is accompanied by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provisions of the securities as set forth in our certificate of incorporation, as amended to date, and bylaws, as amended to date. For additional detail about our capital stock, please refer to our amended and restated certificate of incorporation and amended and restated bylaws, as well as applicable Delaware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summarizes the material terms and provisions of the capital stock that we may offer under this prospectus, is not complete and is qualified in its entirety by reference to our certificate of incorporation and bylaws, as may be amended from time to time, which have been filed with the SEC as exhibits to the registration statement and each of which is incorporated by reference in this prospectus. In addition, you should be aware that the summary below does not give full effect to the terms of the provisions of statutory or common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85,000,000 shares of common stock, par value $0.001 per share, and 5,000,000 shares of undesignated preferred stock, par value $0.001 per share. As of December 17, 2024, there were 46,868,487 shares of common stock outstanding and no shares of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are entitled to one vote for each share of common stock held of record for the election of directors and on all matters submitted to a vote of stockholders. Holders of our common stock are also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 Except with respect to the election of directors (which is determined by our stockholders by a plurality of the votes cast by the stockholders entitled to vote on the election) and as described below in “Provisions of our Certificate of Incorporation and Bylaws and Delaware Anti-Takeover Law,” a majority vote of common stockholders is generally required to take action under our amended and restated certificate of incorporation and amended and restated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Market under the symbol “AAOI.” On December 18, 2024 the closing price of our common stock, as reported on the NASDAQ Global Market, was $33.97 per share. As of the close of business on December 18, 2024, there were approximately 48 stockholders of record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Continental Stock Transfer &amp; Trust Company acts as the transfer agent and registrar for our common stock. The transfer agent and registrar’s address is 1 State Street,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New York 10004.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without action by the stockholders, to designate and issue up to an aggregate of 5,000,000 shares of preferred stock in one or more series. The board of directors can fix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deferring or preventing a change in control of our company and might harm the market price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make any determination to issue such shares based on its judgment as to our company’s best interests and the best interests of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authorized;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share;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period and payment date, and method of calculation for dividends;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stock on any securities exchange or market;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convertible into our common stock, and, if applicable, the conversion price, or how it will be calculated, and the conversion period;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stock;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preemptive rights, if any;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 if any;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stock will be represented by depositary shares;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considerations applicable to the preferred stock;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stock as to dividend rights and rights if we liquidate, dissolve or wind up our affairs;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 of any class or series of preferred stock ranking senior to or on a parity with the series of preferred stock as to dividend rights and rights if we liquidate, dissolve or wind up our affairs; and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preferred stock.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issue shares of preferred stock under this prospectus, the shares will fully be paid and nonassessable and will not have, or be subject to, any preemptive or similar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hereof, no holder of our common stock is eligible to exercise any contractual rights to require us to register any shares of such holder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of Our Certificate of Incorporation and Bylaws and Delaware Anti-Takeover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Board composition and filling vacancies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accordance with our amended and restated certificate of incorporation, our board of directors is divided into three classes serving staggered three year terms, with one class being elected each year. Our amended and restated certificate of incorporation also provides that directors may be removed only for cause and then only by the affirmative vote of the holders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written consent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all stockholder actions are required to be taken by a vote of the stockholders at an annual or special meeting, and that stockholders may not take any action by written consent in lieu of a meeting.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Meetings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Advance notice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our amended and restated bylaws.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to bylaws and certificate of incorporation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required by the Delaware General Corporation Law (the “DGCL”),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bylaws and amended and restated certificate of incorporation must be approved by not less than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outstanding shares entitled to vote on the amendment, and not less than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Blank check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Choice of Forum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unless we consent in writing to the selection of an alternative forum, the Court of Chancery of the State of Delaware will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our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the Delaware General Corporation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stockholder became interested, the board of directors approved either the business combination or the transaction which resulted in the stockholder becoming an interested stockholder; </w:t>
      </w:r>
      <w:r>
        <mc:AlternateContent>
          <mc:Choice Requires="wps">
            <w:drawing>
              <wp:anchor behindDoc="0" distT="7747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w:t>
      </w:r>
      <w:r>
        <mc:AlternateContent>
          <mc:Choice Requires="wps">
            <w:drawing>
              <wp:anchor behindDoc="0" distT="7747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Section 203 do not apply to corporations that have elected, in the manner provided in Section 203, not to be subject to Section 203 of the DGCL or, with certain exceptions, which do not have a class of voting stock that is listed on a national securities exchange or authorized for quotation on the NASDAQ Global Market or held of record by more than 2,000 stockholders. Our certificate of incorporation and bylaws do not opt out of Section 203.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supplements, summarizes the material terms and provisions of the debt securities that we may offer under this prospectus. While the terms summarized below will apply generally to any warrants that we may offer, we will describe the particular terms of any series of warrants in more detail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direct obligations, which may be senior or subordinated, secured or unsecured, and convertible into shares of our common stock, preferred stock or other securities. The debt securities will be issued under an indenture, which may be amended or supplemented from time to time, the form of which will be filed as an exhibit to a post-effective amendment to this registration statement or as an exhibit to a report pursuant to Section 13(a) or 15(d) of the Exchange Act and incorporated herein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other offering materials will describe the material terms of the debt securities offered through that prospectus supplement as well as any general terms described in this section that will not apply to those debt securities. To the extent the applicable prospectus supplement or other offering materials relating to an offering of debt securities are inconsistent with this prospectus, the terms of that prospectus supplement or other offering materials will supersede the information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series of debt securities that we may offer will contain the specific terms of the debt securities. These terms may include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principal aggregate amount of the debt securities;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or unsecured;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or exchangeable into other securities;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or percentages of principal amount at which such debt securities will be issued;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rate(s) or the method for determining the interest rate(s);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will accrue or the method for determining dates on which interest will accrue and dates on which interest will be payable;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any interest on the debt securities will be payable; </w:t>
      </w:r>
      <w:r>
        <mc:AlternateContent>
          <mc:Choice Requires="wps">
            <w:drawing>
              <wp:anchor behindDoc="0" distT="7239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places where payments on the debt securities will be payable;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or early repayment provisions;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with respect to the retirement of any debt securities;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subordination of the rights of debt securities to other stockholders or creditors;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restricting the declaration of dividends or requiring the maintenance of any asset ratio or the creation or maintenance of reserves;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restricting the incurrence of additional debt or the issuance of additional securities;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discount or premium, if any, with which such debt securities will be issued;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debt securities will be issued in whole or in part in the form of one or more global securities;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identity of the depositary for global securities;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 temporary security is to be issued with respect to such series and whether any interest payable prior to the issuance of definitive securities of the series will be credited to the account of the persons entitled thereto;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upon which the beneficial interests in a temporary global security may be exchanged in whole or in part for beneficial interests in a definitive global security or for individual definitive securities;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defaults and events of default applicable to the particular debt securities being issued;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guarantors of each series, if any, and the extent of the guarantees, if any;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 or condition on the transferability of the debt securities;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in which the purchase price for, the principal of and any premium and any interest on, such debt securities will be payable;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period within which, the manner in which and the terms and conditions upon which we or the purchaser of the debt securities can select the payment currency;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exchange(s) on which the securities will be listed, if any;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underwriter(s) will act as market maker(s) for the securities;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to which a secondary market for the securities is expected to develop;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or right to redeem, purchase or repay debt securities under a sinking fund, amortization or analogous provision;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covenant defeasance and legal defeasance;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satisfaction and discharge of the indenture;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consent of holders of debt securities issued under the indenture;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 that will govern the indenture and debt securities; and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terms not inconsistent with the provisions of the indenture.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outstanding at the time of issuance. Any such additional debt securities, together with all other outstanding debt securities of that series, will constitute a single series of securities under the applicable indenture. In addition, we will describe in the applicable prospectus supplement material U.S. federal income tax considerations and any other special considerations for any debt securities we sell which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denominated in a currency or currency unit other than U.S. dollars. Unless we inform you otherwise in the applicable prospectus supplement, the debt securities will not be listed on any securities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$1,000 and integral multiples thereof. Subject to the limitations provided in the indenture and in the prospectus supplement, debt securities that are issued in registered form may be transferred or exchanged at the corporate office of the trustee or the principal corporate trust office of the trustee, without the payment of any service charge, other than any tax or other governmental charge payable in connection therewith.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any warrants outstanding as of the date 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common stock, preferred stock in one or more series and/or debt securities. We may issue warrants independently or together with debt securities, common stock and/or preferred stock, and the warrants may be attached to or separate from these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evidence each series of warrants by warrant certificates that we will issue under a separate warrant agreement. We may enter into the warrant agreement with a warrant agent. We may also choose to act as our own warrant agent. We will indicate the name and address of the warrant agent in the applicable prospectus supplement relating to a particular series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warrants,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and aggregate number of warrants offered;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for which the warrants may be purchased;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securities will be separately transferable;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 and the warrants;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or number of securities issuable upon exercise of the warrants;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warrants, if any;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periods during which, and places at which, the warrants are exercisable;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of exercise of the warrants, including any cashless exercise rights;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0" distB="0" distL="254000" distR="0" simplePos="0" locked="0" layoutInCell="1" allowOverlap="1" relativeHeight="92">
                <wp:simplePos x="0" y="0"/>
                <wp:positionH relativeFrom="column">
                  <wp:align>left</wp:align>
                </wp:positionH>
                <wp:positionV relativeFrom="line">
                  <wp:posOffset>635</wp:posOffset>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 and warrants may be modified;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income tax consequences of holding or exercising the warrants;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quotation system on which the warrants or any securities deliverable upon exercise of the warrants may be listed or quoted;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and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warrants.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 By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Agreement Will Not Be Qualified Under Trust Indenture Act of 1939, as amended (the “TIA”)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warrant agreement will be qualified as an indenture, and no warrant agent will be required to qualify as a trustee, under the TIA. Therefore, holders of warrants issued under a warrant agreement will not have the protection of the Trust Indenture Act with respect to their warrants.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comprising two or more securities described in this prospectus in any combination.. We may issue units in such amounts and in as many distinct series as we wish. This section outlines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O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those securities may be held or transferred separately;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of the governing unit agreement;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units will be issued;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United States federal income tax considerations relating to the units;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issuance, payment, settlement, transfer or exchange of the units or of the securities comprising the units; and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units and of the securities comprising the units.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in Series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in such amounts and in as many distinct series as we wish. This section summarizes terms of the units that apply generally to all series. Most of the financial and other specific terms of your series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offered by this prospectus from time to time in one or more transactions, including, without limitation: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brokers or dealers (acting as agent or principal);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other purchasers;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exercise of rights distributed or issued to our security holders;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block trade in which the broker or dealer engaged to handle the block trade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within the meanings of Rule 415(a)(4) under the Securities Act of 1933 or through a market maker or into an existing market, on an exchange, or otherwise; </w:t>
      </w:r>
      <w:r>
        <mc:AlternateContent>
          <mc:Choice Requires="wps">
            <w:drawing>
              <wp:anchor behindDoc="0" distT="0" distB="0" distL="254000" distR="0" simplePos="0" locked="0" layoutInCell="1" allowOverlap="1" relativeHeight="108">
                <wp:simplePos x="0" y="0"/>
                <wp:positionH relativeFrom="column">
                  <wp:align>left</wp:align>
                </wp:positionH>
                <wp:positionV relativeFrom="line">
                  <wp:posOffset>635</wp:posOffset>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through a specific bidding or auction process, on a negotiated basis or otherwise; </w:t>
      </w:r>
      <w:r>
        <mc:AlternateContent>
          <mc:Choice Requires="wps">
            <w:drawing>
              <wp:anchor behindDoc="0" distT="6985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on a best-efforts basis; </w:t>
      </w:r>
      <w:r>
        <mc:AlternateContent>
          <mc:Choice Requires="wps">
            <w:drawing>
              <wp:anchor behindDoc="0" distT="6985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 permitted pursuant to applicable law; or </w:t>
      </w:r>
      <w:r>
        <mc:AlternateContent>
          <mc:Choice Requires="wps">
            <w:drawing>
              <wp:anchor behindDoc="0" distT="698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through a combination of any of the above methods of sale. </w:t>
      </w:r>
      <w:r>
        <mc:AlternateContent>
          <mc:Choice Requires="wps">
            <w:drawing>
              <wp:anchor behindDoc="0" distT="698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involving short sales of the shares of common stock by underwriters, brokers or dealers;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shares of common stock short and deliver the shares to close out short positions; </w:t>
      </w:r>
      <w:r>
        <mc:AlternateContent>
          <mc:Choice Requires="wps">
            <w:drawing>
              <wp:anchor behindDoc="0" distT="6985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option or other types of transactions that require us to deliver shares of common stock to an underwriter, broker or dealer, who will then resell or transfer the shares of common stock under this prospectus; or </w:t>
      </w:r>
      <w:r>
        <mc:AlternateContent>
          <mc:Choice Requires="wps">
            <w:drawing>
              <wp:anchor behindDoc="0" distT="6985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loan or pledge the shares of common stock to an underwriter, broker or dealer, who may sell the loaned shares or, in the event of default, sell the pledged shares. </w:t>
      </w:r>
      <w:r>
        <mc:AlternateContent>
          <mc:Choice Requires="wps">
            <w:drawing>
              <wp:anchor behindDoc="0" distT="6985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any underwriter, we will provide a prospectus supplement that will name any underwriter involved in the offer and sale of the securities. The prospectus supplement will also set forth the terms of the offering,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we will receive from the sale of the securities;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and other items constituting underwriters’ compensation; </w:t>
      </w:r>
      <w:r>
        <mc:AlternateContent>
          <mc:Choice Requires="wps">
            <w:drawing>
              <wp:anchor behindDoc="0" distT="6985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or purchase price and any discounts or commissions allowed or re-allowed or paid to dealers; </w:t>
      </w:r>
      <w:r>
        <mc:AlternateContent>
          <mc:Choice Requires="wps">
            <w:drawing>
              <wp:anchor behindDoc="0" distT="6985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allowed or paid to agents; </w:t>
      </w:r>
      <w:r>
        <mc:AlternateContent>
          <mc:Choice Requires="wps">
            <w:drawing>
              <wp:anchor behindDoc="0" distT="6985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6858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distribution of the securities; </w:t>
      </w:r>
      <w:r>
        <mc:AlternateContent>
          <mc:Choice Requires="wps">
            <w:drawing>
              <wp:anchor behindDoc="0" distT="6858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agreement, arrangement or understanding entered into with the underwriters, brokers or dealers; and </w:t>
      </w:r>
      <w:r>
        <mc:AlternateContent>
          <mc:Choice Requires="wps">
            <w:drawing>
              <wp:anchor behindDoc="0" distT="6858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we think is important. </w:t>
      </w:r>
      <w:r>
        <mc:AlternateContent>
          <mc:Choice Requires="wps">
            <w:drawing>
              <wp:anchor behindDoc="0" distT="6858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or dealers are used in the sale, the securities will be acquired by the underwriters or dealers for their own account. The securities may be sold from time to time by us in one or more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varying prices determined at the time of sale; or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sales may be effected: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on any national securities exchange or quotation service on which the securities may be listed or quoted at the time of sale;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in the over-the-counter market;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of options; or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other types of transactions.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In compliance with the guidelines of the Financial Industry Regulatory Authority (“FINRA”), the maximum discount or commission to be received by a FINRA member or independent broker-dealer may not exceed 8% of the aggregate amount of the securities offered pursuant to this prospectus and any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At-the-Market Offerings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reach an agreement with an underwriter or agent on a placement, including the number and types of securities to be offered in the placement and any minimum price below which sales may not be made, such underwriter or agent would agree to use its commercially reasonable efforts, consistent with its normal trading and sales practices, to try to sell such securities on such terms. An underwriter or agent could make sales in privately negotiated transactions and/or any other method permitted by law, including sales deemed to be an “at-the-market” offering as defined in Rule 415 promulgated under the Securities Act, sales made directly on the NASDAQ Global Market, the existing trading market for our common stock, or sales made to or through a market maker other than on an exchange. The name of any such underwriter or agent involved in the offer and sale of the securities, the amounts underwritten, and the nature of its obligations to take the securities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Underwriters and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choose to sell the offered securities directly. In this case, no underwriters or agents would be involved.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Institutional Purchasers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enter into such delayed contracts only with institutional purchasers that we approve. These institutions may include commercial and savings banks, insurance companies, pension funds, investment companies and educational and charitable institutions.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Market-Making, Stabilization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currently no market for any particular preferred stock that may be offered. If the preferred stock which may be offered is traded after its initial issuance, it may trade at a discount from its initial offering price, depending upon prevailing interest rates, the market for similar securities and other factors.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LEMA"/>
      <w:bookmarkEnd w:id="24"/>
      <w:r>
        <w:rPr>
          <w:rFonts w:ascii="calibri;arial;sans-serif" w:hAnsi="calibri;arial;sans-serif"/>
          <w:b w:val="false"/>
          <w:i w:val="false"/>
          <w:caps w:val="false"/>
          <w:smallCaps w:val="false"/>
          <w:color w:val="000000"/>
          <w:sz w:val="16"/>
        </w:rPr>
        <w:t>​</w:t>
      </w:r>
      <w:bookmarkStart w:id="25" w:name="tEXP"/>
      <w:bookmarkEnd w:id="25"/>
      <w:r>
        <w:rPr>
          <w:rFonts w:ascii="calibri;arial;sans-serif" w:hAnsi="calibri;arial;sans-serif"/>
          <w:b w:val="false"/>
          <w:i w:val="false"/>
          <w:caps w:val="false"/>
          <w:smallCaps w:val="false"/>
          <w:color w:val="000000"/>
          <w:sz w:val="16"/>
        </w:rPr>
        <w:t>​</w:t>
      </w:r>
      <w:bookmarkStart w:id="26" w:name="tWTLM"/>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it is possible that an underwriter could inform us that it intends to make a market in any particular preferred stock that may be offered, such underwriter would not be obligated to do so, and any such market-making could be discontinued at any time without notice. Therefore, no assurance is given as to whether an active trading market will develop for any particular preferred stock that may be offered. If we seek to list the preferred stock that may be offered on any exchange or quotation system, any such listing with respect to any particular preferred stock will be described in the applicable prospectus supplement or pricing supplement,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dealers or agents used by us in any offering of securities under this prospectus may be customers of, engage in transactions with, and perform services for us or affiliates of ours in the ordinary course of business. Any underwriters to which offered securities are sold by us for public offering and sale may make a market in such securities, but those underwriters will not be obligated to do so and may discontinue any market making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date of delivery of the securities offered by this prospectus will be described in the applicable prospectus supplement relating to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FINRA member may participate in any offering of securities made under this prospectus if such member has a conflict of interest under FINRA Rule 5121, including if 5% or more of the net proceeds, not including underwriting compensation, of any offering of securities made under this prospectus will be received by a FINRA member participating in the offering or affiliates or associated persons of such FINRA members, unless a qualified independent underwriter has participated in the offering or the offering otherwise complies with FINRA Rule 5121.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by this prospectus has been passed upon for us by Haynes and Boone, LLP, Houston, Texas, counsel to Applied Optoelectronics, Inc. Certain legal matters will be passed upon for any agents or underwriters by counsel for such agents or underwriters identified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TO LEARN MORE ABOUT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with respect to the securities being offered under this prospectus. This prospectus, which forms part of the registration statement, does not contain all of the information in the registration statement. We have omitted certain parts of the registration statement, as permitted by the rules and regulations of the SEC. For further information regarding us and our securities, please see the registration statement and our other filings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IOCI"/>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including our Annual Reports on Form 10-K, Quarterly Reports on Form 10-Q, and Current Reports on Form 8-K and any proxy statements, which are available on the SEC’s Internet website at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furnish holders of our common stock with annual reports containing audited financial statements prepared in accordance with accounting principles generally accepted in the United States following the end of each fiscal year. We file reports and other information with the SEC pursuant to the reporting requirements of the Exchange Act. In addition, the reports, proxy statements and other information that we file with the SEC are available to you free of charge through the Investor Relations page of our website, </w:t>
      </w:r>
      <w:r>
        <w:rPr>
          <w:rFonts w:ascii="Times New Roman;Times;serif" w:hAnsi="Times New Roman;Times;serif"/>
          <w:b w:val="false"/>
          <w:i/>
          <w:caps w:val="false"/>
          <w:smallCaps w:val="false"/>
          <w:color w:val="000000"/>
          <w:spacing w:val="4"/>
          <w:sz w:val="20"/>
        </w:rPr>
        <w:t>http://ao-inc.com/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as soon as reasonably practicable after they have been electronically filed with, or furnished to, the SEC. We have included our website address as a textual reference and do not intend it as an active link to our website. The contents of our website are not part of this prospectus, and you should not consider the contents of our website in making an investment decision with respect to our securities. We have not incorporated by reference into this prospectus the information on our website, and you should not consider it to be a part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Descriptions in this prospectus of documents are intended to be summaries of the material, relevant portions of those documents, but may not be complete descriptions of those documents. For complete copies of those documents, please refer to the exhibits to the registration statement and other documents filed by us with the SEC.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we file with them, which means that we can disclose important information to you by referring you to those documents. The information that we incorporate by reference into this prospectus is considered to be part of this prospectus, and information that we file later with the SEC automatically updates and supersedes any information in this prospectus. We have filed the following documents with the SEC. These documents are incorporated by reference as of their respective dates of filing, as well as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 </w:t>
      </w:r>
    </w:p>
    <w:p>
      <w:pPr>
        <w:pStyle w:val="TextBody"/>
        <w:bidi w:val="0"/>
        <w:spacing w:lineRule="atLeast" w:line="240" w:before="158" w:after="0"/>
        <w:ind w:left="2193" w:right="0" w:hanging="0"/>
        <w:jc w:val="left"/>
        <w:rPr/>
      </w:pPr>
      <w:hyperlink r:id="rId25">
        <w:r>
          <w:rPr>
            <w:rStyle w:val="InternetLink"/>
          </w:rPr>
          <w:t>our Annual Report on Form 10-K for the fiscal year ended December 31, 2023, as filed with the SEC on February 23,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pPr>
      <w:hyperlink r:id="rId26">
        <w:r>
          <w:rPr>
            <w:rStyle w:val="InternetLink"/>
          </w:rPr>
          <w:t>the portions of our Definitive Proxy Statement incorporated by reference to our Annual Report on Form 10-K for the fiscal year ended December 31, 2023, for the 2024 Annual Meeting of Stockholders held on June 6, 2024, as filed with the SEC on April 26,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2.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2.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2024, June 30, 2024, and September 30, 2024, as filed with the SEC on </w:t>
      </w:r>
      <w:hyperlink r:id="rId27">
        <w:r>
          <w:rPr>
            <w:rStyle w:val="InternetLink"/>
          </w:rPr>
          <w:t>May 9, 2024</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August 6, 2024</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November 7,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as filed with the SEC on </w:t>
      </w:r>
      <w:hyperlink r:id="rId30">
        <w:r>
          <w:rPr>
            <w:rStyle w:val="InternetLink"/>
          </w:rPr>
          <w:t>March 13, 2024</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May 30, 2024</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August 6, 2024</w:t>
        </w:r>
      </w:hyperlink>
      <w:r>
        <w:rPr>
          <w:rFonts w:ascii="Times New Roman;Times;serif" w:hAnsi="Times New Roman;Times;serif"/>
          <w:b w:val="false"/>
          <w:i w:val="false"/>
          <w:caps w:val="false"/>
          <w:smallCaps w:val="false"/>
          <w:color w:val="000000"/>
          <w:spacing w:val="4"/>
          <w:sz w:val="20"/>
        </w:rPr>
        <w:t xml:space="preserve">, and </w:t>
      </w:r>
      <w:hyperlink r:id="rId33">
        <w:r>
          <w:rPr>
            <w:rStyle w:val="InternetLink"/>
          </w:rPr>
          <w:t>October 10, 2024</w:t>
        </w:r>
      </w:hyperlink>
      <w:r>
        <w:rPr>
          <w:rFonts w:ascii="Times New Roman;Times;serif" w:hAnsi="Times New Roman;Times;serif"/>
          <w:b w:val="false"/>
          <w:i w:val="false"/>
          <w:caps w:val="false"/>
          <w:smallCaps w:val="false"/>
          <w:color w:val="000000"/>
          <w:spacing w:val="4"/>
          <w:sz w:val="20"/>
        </w:rPr>
        <w:t xml:space="preserve"> and </w:t>
      </w:r>
      <w:hyperlink r:id="rId34">
        <w:r>
          <w:rPr>
            <w:rStyle w:val="InternetLink"/>
          </w:rPr>
          <w:t>November 7,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033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the “Description of Company’s Common Stock” filed as </w:t>
      </w:r>
      <w:hyperlink r:id="rId35">
        <w:r>
          <w:rPr>
            <w:rStyle w:val="InternetLink"/>
          </w:rPr>
          <w:t>Exhibit 4.7</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2023, filed with the SEC on February 23, 2024, including any amendment or reports filed for the purpose of updating such description. </w:t>
      </w:r>
      <w:r>
        <mc:AlternateContent>
          <mc:Choice Requires="wps">
            <w:drawing>
              <wp:anchor behindDoc="0" distT="10033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subsequently filed by us pursuant to Section 13(a), 13(c), 14 and 15(d) of the Exchange Act after the date of this registration statement and prior to the filing of a post-effective amendment that indicates that all securities offered have been sold or that deregisters all securities then remaining unsold, shall be deemed to be incorporated by reference into this registration statement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that is incorporated by reference herein modifies or supersedes such earlier statement.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 so modified or superseded shall not be deemed, except as so modified or superseded, to constitute a part of this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registration statement shall be deemed to incorporate information furnished but not filed with the SEC pursuant to Item 2.02 or Item 7.01 of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upon written or oral request of any person to whom a copy of this prospectus is delivered, a copy of any or all of the foregoing documents and information that has been or may be incorporated in this prospectus by reference, other than exhibits to such documents. Requests for such documents and information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Applied Optoelectronics,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Dr. Stefan Murry, Chief Financial Officer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13139 Jess Pirtle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Sugar Land, TX 77478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(281) 295-1800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also access the documents incorporated by reference in this prospectus through our website at </w:t>
      </w:r>
      <w:r>
        <w:rPr>
          <w:rFonts w:ascii="Times New Roman;Times;serif" w:hAnsi="Times New Roman;Times;serif"/>
          <w:b w:val="false"/>
          <w:i/>
          <w:caps w:val="false"/>
          <w:smallCaps w:val="false"/>
          <w:color w:val="000000"/>
          <w:spacing w:val="4"/>
          <w:sz w:val="20"/>
        </w:rPr>
        <w:t>http://ao-inc.com/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Except for the specific incorporated documents listed above, no information available on or through our website shall be deemed to be incorporated in this prospectus or the registration statement of which it forms a part.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also “Where to Learn More About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236"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color w:val="000000"/>
          <w:sz w:val="30"/>
        </w:rPr>
        <w:t>$600,000,000</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1079" w:after="283"/>
        <w:jc w:val="center"/>
        <w:rPr>
          <w:caps w:val="false"/>
          <w:smallCaps w:val="false"/>
          <w:color w:val="000000"/>
        </w:rPr>
      </w:pPr>
      <w:r>
        <w:rPr>
          <w:caps w:val="false"/>
          <w:smallCaps w:val="false"/>
          <w:color w:val="000000"/>
        </w:rPr>
        <w:drawing>
          <wp:inline distT="0" distB="0" distL="0" distR="0">
            <wp:extent cx="1381125" cy="847725"/>
            <wp:effectExtent l="0" t="0" r="0" b="0"/>
            <wp:docPr id="1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 descr=""/>
                    <pic:cNvPicPr>
                      <a:picLocks noChangeAspect="1" noChangeArrowheads="1"/>
                    </pic:cNvPicPr>
                  </pic:nvPicPr>
                  <pic:blipFill>
                    <a:blip r:embed="rId36"/>
                    <a:stretch>
                      <a:fillRect/>
                    </a:stretch>
                  </pic:blipFill>
                  <pic:spPr bwMode="auto">
                    <a:xfrm>
                      <a:off x="0" y="0"/>
                      <a:ext cx="13811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40" w:before="1052" w:after="283"/>
        <w:jc w:val="center"/>
        <w:rPr>
          <w:rFonts w:ascii="Palatino Linotype;Book Antiqua;Palatino;serif" w:hAnsi="Palatino Linotype;Book Antiqua;Palatino;serif"/>
          <w:b/>
          <w:i w:val="false"/>
          <w:caps w:val="false"/>
          <w:smallCaps w:val="false"/>
          <w:color w:val="000000"/>
          <w:sz w:val="30"/>
        </w:rPr>
      </w:pPr>
      <w:r>
        <w:rPr>
          <w:rFonts w:ascii="Palatino Linotype;Book Antiqua;Palatino;serif" w:hAnsi="Palatino Linotype;Book Antiqua;Palatino;serif"/>
          <w:b/>
          <w:i w:val="false"/>
          <w:caps/>
          <w:color w:val="000000"/>
          <w:sz w:val="30"/>
        </w:rPr>
        <w:t>C</w:t>
      </w:r>
      <w:r>
        <w:rPr>
          <w:rFonts w:ascii="Palatino Linotype;Book Antiqua;Palatino;serif" w:hAnsi="Palatino Linotype;Book Antiqua;Palatino;serif"/>
          <w:b/>
          <w:i w:val="false"/>
          <w:caps w:val="false"/>
          <w:smallCaps w:val="false"/>
          <w:color w:val="000000"/>
          <w:sz w:val="30"/>
        </w:rPr>
        <w:t>ommon</w:t>
      </w:r>
      <w:r>
        <w:rPr>
          <w:rFonts w:ascii="Palatino Linotype;Book Antiqua;Palatino;serif" w:hAnsi="Palatino Linotype;Book Antiqua;Palatino;serif"/>
          <w:b/>
          <w:i w:val="false"/>
          <w:caps/>
          <w:color w:val="000000"/>
          <w:sz w:val="30"/>
        </w:rPr>
        <w:t xml:space="preserve"> S</w:t>
      </w:r>
      <w:r>
        <w:rPr>
          <w:rFonts w:ascii="Palatino Linotype;Book Antiqua;Palatino;serif" w:hAnsi="Palatino Linotype;Book Antiqua;Palatino;serif"/>
          <w:b/>
          <w:i w:val="false"/>
          <w:caps w:val="false"/>
          <w:smallCaps w:val="false"/>
          <w:color w:val="000000"/>
          <w:sz w:val="30"/>
        </w:rPr>
        <w:t>tock</w:t>
      </w:r>
      <w:r>
        <w:rPr>
          <w:rFonts w:ascii="Palatino Linotype;Book Antiqua;Palatino;serif" w:hAnsi="Palatino Linotype;Book Antiqua;Palatino;serif"/>
          <w:b/>
          <w:i w:val="false"/>
          <w:caps w:val="false"/>
          <w:smallCaps w:val="false"/>
          <w:color w:val="000000"/>
          <w:spacing w:val="6"/>
          <w:sz w:val="30"/>
        </w:rPr>
        <w:t xml:space="preserve"> </w:t>
      </w:r>
    </w:p>
    <w:p>
      <w:pPr>
        <w:pStyle w:val="TextBody"/>
        <w:bidi w:val="0"/>
        <w:spacing w:before="188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16" w:after="283"/>
        <w:jc w:val="center"/>
        <w:rPr>
          <w:rFonts w:ascii="Palatino Linotype;Book Antiqua;Palatino;serif" w:hAnsi="Palatino Linotype;Book Antiqua;Palatino;serif"/>
          <w:b/>
          <w:i w:val="false"/>
          <w:caps w:val="false"/>
          <w:smallCaps w:val="false"/>
          <w:color w:val="000000"/>
          <w:sz w:val="20"/>
        </w:rPr>
      </w:pPr>
      <w:r>
        <w:rPr>
          <w:rFonts w:ascii="Palatino Linotype;Book Antiqua;Palatino;serif" w:hAnsi="Palatino Linotype;Book Antiqua;Palatino;serif"/>
          <w:b/>
          <w:i w:val="false"/>
          <w:caps/>
          <w:color w:val="000000"/>
          <w:sz w:val="20"/>
        </w:rPr>
        <w:t>PROSPECTUS SUPPLEMENT</w:t>
      </w:r>
      <w:r>
        <w:rPr>
          <w:rFonts w:ascii="Palatino Linotype;Book Antiqua;Palatino;serif" w:hAnsi="Palatino Linotype;Book Antiqua;Palatino;serif"/>
          <w:b/>
          <w:i w:val="false"/>
          <w:caps w:val="false"/>
          <w:smallCaps w:val="false"/>
          <w:color w:val="000000"/>
          <w:spacing w:val="4"/>
          <w:sz w:val="20"/>
        </w:rPr>
        <w:t xml:space="preserve"> </w:t>
      </w:r>
    </w:p>
    <w:p>
      <w:pPr>
        <w:pStyle w:val="TextBody"/>
        <w:bidi w:val="0"/>
        <w:spacing w:before="20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80" w:before="1996" w:after="283"/>
        <w:jc w:val="left"/>
        <w:rPr>
          <w:rFonts w:ascii="Palatino Linotype;Book Antiqua;Palatino;serif" w:hAnsi="Palatino Linotype;Book Antiqua;Palatino;serif"/>
          <w:b/>
          <w:i w:val="false"/>
          <w:caps w:val="false"/>
          <w:smallCaps w:val="false"/>
          <w:color w:val="000000"/>
          <w:sz w:val="34"/>
        </w:rPr>
      </w:pPr>
      <w:r>
        <w:rPr>
          <w:rFonts w:ascii="Palatino Linotype;Book Antiqua;Palatino;serif" w:hAnsi="Palatino Linotype;Book Antiqua;Palatino;serif"/>
          <w:b/>
          <w:i w:val="false"/>
          <w:caps/>
          <w:color w:val="000000"/>
          <w:sz w:val="34"/>
        </w:rPr>
        <w:t>RAYMOND JAMESNEEDHAM &amp; COMPANY</w:t>
      </w:r>
      <w:r>
        <w:rPr>
          <w:rFonts w:ascii="Palatino Linotype;Book Antiqua;Palatino;serif" w:hAnsi="Palatino Linotype;Book Antiqua;Palatino;serif"/>
          <w:b/>
          <w:i w:val="false"/>
          <w:caps w:val="false"/>
          <w:smallCaps w:val="false"/>
          <w:color w:val="000000"/>
          <w:spacing w:val="7"/>
          <w:sz w:val="34"/>
        </w:rPr>
        <w:t xml:space="preserve"> </w:t>
      </w:r>
    </w:p>
    <w:p>
      <w:pPr>
        <w:pStyle w:val="TextBody"/>
        <w:bidi w:val="0"/>
        <w:spacing w:lineRule="atLeast" w:line="240" w:before="2118" w:after="283"/>
        <w:jc w:val="center"/>
        <w:rPr>
          <w:rFonts w:ascii="Palatino Linotype;Book Antiqua;Palatino;serif" w:hAnsi="Palatino Linotype;Book Antiqua;Palatino;serif"/>
          <w:b w:val="false"/>
          <w:i w:val="false"/>
          <w:caps w:val="false"/>
          <w:smallCaps w:val="false"/>
          <w:color w:val="000000"/>
          <w:sz w:val="20"/>
        </w:rPr>
      </w:pPr>
      <w:r>
        <w:rPr>
          <w:rFonts w:ascii="Palatino Linotype;Book Antiqua;Palatino;serif" w:hAnsi="Palatino Linotype;Book Antiqua;Palatino;serif"/>
          <w:b w:val="false"/>
          <w:i w:val="false"/>
          <w:caps w:val="false"/>
          <w:smallCaps w:val="false"/>
          <w:color w:val="000000"/>
          <w:sz w:val="20"/>
        </w:rPr>
        <w:t>August 21, 2026</w:t>
      </w:r>
      <w:r>
        <w:rPr>
          <w:rFonts w:ascii="Palatino Linotype;Book Antiqua;Palatino;serif" w:hAnsi="Palatino Linotype;Book Antiqua;Palatino;serif"/>
          <w:b w:val="false"/>
          <w:i w:val="false"/>
          <w:caps w:val="false"/>
          <w:smallCaps w:val="false"/>
          <w:color w:val="000000"/>
          <w:spacing w:val="4"/>
          <w:sz w:val="20"/>
        </w:rPr>
        <w:t xml:space="preserve"> </w:t>
      </w:r>
    </w:p>
    <w:p>
      <w:pPr>
        <w:pStyle w:val="TextBody"/>
        <w:bidi w:val="0"/>
        <w:spacing w:before="124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8" w:name="tm2623389d1_ex-filingfees.htm"/>
      <w:bookmarkStart w:id="29" w:name="kstm2623389d1_exfilingfees"/>
      <w:bookmarkStart w:id="30" w:name="tm2623389d1_ex-filingfees.htm"/>
      <w:bookmarkStart w:id="31" w:name="kstm2623389d1_exfilingfees"/>
      <w:bookmarkEnd w:id="30"/>
      <w:bookmarkEnd w:id="31"/>
      <w:r>
        <w:br w:type="page"/>
      </w:r>
    </w:p>
    <w:tbl>
      <w:tblPr>
        <w:tblW w:w="4565" w:type="dxa"/>
        <w:jc w:val="left"/>
        <w:tblInd w:w="0" w:type="dxa"/>
        <w:tblLayout w:type="fixed"/>
        <w:tblCellMar>
          <w:top w:w="28" w:type="dxa"/>
          <w:left w:w="28" w:type="dxa"/>
          <w:bottom w:w="28" w:type="dxa"/>
          <w:right w:w="28" w:type="dxa"/>
        </w:tblCellMar>
      </w:tblPr>
      <w:tblGrid>
        <w:gridCol w:w="4411"/>
        <w:gridCol w:w="154"/>
      </w:tblGrid>
      <w:tr>
        <w:trPr/>
        <w:tc>
          <w:tcPr>
            <w:tcW w:w="4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b/>
              </w:rPr>
            </w:pPr>
            <w:r>
              <w:rPr>
                <w:b/>
              </w:rPr>
              <w:t xml:space="preserve">APPLIED OPTOELECTRONICS,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$ 82,860.00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2" w:name="MaxAggtOfferingPrice"/>
            <w:bookmarkEnd w:id="32"/>
            <w:r>
              <w:rPr/>
              <w:t xml:space="preserve">$ 600,000,000.00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$ 82,860.00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5"/>
        <w:gridCol w:w="8702"/>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Calculated in accordance with Rule 457(o) under the Securities Act of 1933, as amended (the "Securities Act"), based on the proposed maximum aggregate offering price and Rule 457(r) under the Securities Act. In accordance with Rules 456(b) and 457(r), the registrant initially deferred payment of all of the registration fee for the Registration Statement on Form S-3ASR (Registration No. 333-283905) filed by the registrant on December 18, 2024.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Palatino Linotype">
    <w:altName w:val="Book Antiqu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158114/000143774926005875/aaoi20251231_10k.htm" TargetMode="External"/><Relationship Id="rId4" Type="http://schemas.openxmlformats.org/officeDocument/2006/relationships/hyperlink" Target="https://www.sec.gov/ix?doc=/Archives/edgar/data/1158114/000110465926048559/tm261409-4_def14a.htm" TargetMode="External"/><Relationship Id="rId5" Type="http://schemas.openxmlformats.org/officeDocument/2006/relationships/hyperlink" Target="https://www.sec.gov/ix?doc=/Archives/edgar/data/1158114/000143774926015620/aaoi20260331_10q.htm" TargetMode="External"/><Relationship Id="rId6" Type="http://schemas.openxmlformats.org/officeDocument/2006/relationships/hyperlink" Target="https://www.sec.gov/ix?doc=/Archives/edgar/data/1158114/000143774926026278/aaoi20260630_10q.htm" TargetMode="External"/><Relationship Id="rId7" Type="http://schemas.openxmlformats.org/officeDocument/2006/relationships/hyperlink" Target="https://www.sec.gov/ix?doc=/Archives/edgar/data/1158114/000168316826001184/aaoi_8k.htm" TargetMode="External"/><Relationship Id="rId8" Type="http://schemas.openxmlformats.org/officeDocument/2006/relationships/hyperlink" Target="https://www.sec.gov/ix?doc=/Archives/edgar/data/1158114/000110465926020600/tm266210d2_8k.htm" TargetMode="External"/><Relationship Id="rId9" Type="http://schemas.openxmlformats.org/officeDocument/2006/relationships/hyperlink" Target="https://www.sec.gov/ix?doc=/Archives/edgar/data/1158114/000168316826001360/aaoi_8k.htm" TargetMode="External"/><Relationship Id="rId10" Type="http://schemas.openxmlformats.org/officeDocument/2006/relationships/hyperlink" Target="https://www.sec.gov/ix?doc=/Archives/edgar/data/1158114/000168316826001522/aaoi_8k.htm" TargetMode="External"/><Relationship Id="rId11" Type="http://schemas.openxmlformats.org/officeDocument/2006/relationships/hyperlink" Target="https://www.sec.gov/ix?doc=/Archives/edgar/data/1158114/000110465926027101/tm268500d1_8k.htm" TargetMode="External"/><Relationship Id="rId12" Type="http://schemas.openxmlformats.org/officeDocument/2006/relationships/hyperlink" Target="https://www.sec.gov/ix?doc=/Archives/edgar/data/1158114/000168316826002858/aaoi_8k.htm" TargetMode="External"/><Relationship Id="rId13" Type="http://schemas.openxmlformats.org/officeDocument/2006/relationships/hyperlink" Target="https://www.sec.gov/ix?doc=/Archives/edgar/data/1158114/000168316826003572/aaoi_8k.htm" TargetMode="External"/><Relationship Id="rId14" Type="http://schemas.openxmlformats.org/officeDocument/2006/relationships/hyperlink" Target="https://www.sec.gov/ix?doc=/Archives/edgar/data/1158114/000168316826003817/aaoi_8k.htm" TargetMode="External"/><Relationship Id="rId15" Type="http://schemas.openxmlformats.org/officeDocument/2006/relationships/hyperlink" Target="https://www.sec.gov/ix?doc=/Archives/edgar/data/1158114/000110465926061168/tm2614157d2_8k.htm" TargetMode="External"/><Relationship Id="rId16" Type="http://schemas.openxmlformats.org/officeDocument/2006/relationships/hyperlink" Target="https://www.sec.gov/ix?doc=/Archives/edgar/data/1158114/000168316826004596/aaoi_8k.htm" TargetMode="External"/><Relationship Id="rId17" Type="http://schemas.openxmlformats.org/officeDocument/2006/relationships/hyperlink" Target="https://www.sec.gov/ix?doc=/Archives/edgar/data/1158114/000168316826004885/aaoi_8k.htm" TargetMode="External"/><Relationship Id="rId18" Type="http://schemas.openxmlformats.org/officeDocument/2006/relationships/hyperlink" Target="https://www.sec.gov/ix?doc=/Archives/edgar/data/1158114/000168316826005221/aaoi_8k.htm" TargetMode="External"/><Relationship Id="rId19" Type="http://schemas.openxmlformats.org/officeDocument/2006/relationships/hyperlink" Target="https://www.sec.gov/Archives/edgar/data/1158114/000143774926005875/ex_921421.htm" TargetMode="External"/><Relationship Id="rId20" Type="http://schemas.openxmlformats.org/officeDocument/2006/relationships/image" Target="media/image1.jpeg"/><Relationship Id="rId21" Type="http://schemas.openxmlformats.org/officeDocument/2006/relationships/hyperlink" Target="http://www.sec.gov/ix?doc=/Archives/edgar/data/1158114/000143774924005367/aaoi20231231_10k.htm" TargetMode="External"/><Relationship Id="rId22" Type="http://schemas.openxmlformats.org/officeDocument/2006/relationships/hyperlink" Target="http://www.sec.gov/ix?doc=/Archives/edgar/data/1158114/000143774924015696/aaoi20240331c_10q.htm" TargetMode="External"/><Relationship Id="rId23" Type="http://schemas.openxmlformats.org/officeDocument/2006/relationships/hyperlink" Target="http://www.sec.gov/ix?doc=/Archives/edgar/data/1158114/000143774924024888/aaoi20240630_10q.htm" TargetMode="External"/><Relationship Id="rId24" Type="http://schemas.openxmlformats.org/officeDocument/2006/relationships/hyperlink" Target="http://www.sec.gov/ix?doc=/Archives/edgar/data/1158114/000143774924033913/aaoi20240930_10q.htm" TargetMode="External"/><Relationship Id="rId25" Type="http://schemas.openxmlformats.org/officeDocument/2006/relationships/hyperlink" Target="http://www.sec.gov/ix?doc=/Archives/edgar/data/1158114/000143774924005367/aaoi20231231_10k.htm" TargetMode="External"/><Relationship Id="rId26" Type="http://schemas.openxmlformats.org/officeDocument/2006/relationships/hyperlink" Target="https://www.sec.gov/ix?doc=/Archives/edgar/data/1158114/000110465924052897/tm242667d4_def14a.htm" TargetMode="External"/><Relationship Id="rId27" Type="http://schemas.openxmlformats.org/officeDocument/2006/relationships/hyperlink" Target="http://www.sec.gov/ix?doc=/Archives/edgar/data/1158114/000143774924015696/aaoi20240331c_10q.htm" TargetMode="External"/><Relationship Id="rId28" Type="http://schemas.openxmlformats.org/officeDocument/2006/relationships/hyperlink" Target="http://www.sec.gov/ix?doc=/Archives/edgar/data/1158114/000143774924024888/aaoi20240630_10q.htm" TargetMode="External"/><Relationship Id="rId29" Type="http://schemas.openxmlformats.org/officeDocument/2006/relationships/hyperlink" Target="http://www.sec.gov/ix?doc=/Archives/edgar/data/1158114/000143774924033913/aaoi20240930_10q.htm" TargetMode="External"/><Relationship Id="rId30" Type="http://schemas.openxmlformats.org/officeDocument/2006/relationships/hyperlink" Target="http://www.sec.gov/ix?doc=/Archives/edgar/data/1158114/000110465924033988/tm248365d1_8k.htm" TargetMode="External"/><Relationship Id="rId31" Type="http://schemas.openxmlformats.org/officeDocument/2006/relationships/hyperlink" Target="http://www.sec.gov/ix?doc=/Archives/edgar/data/1158114/000168316824003885/appliedopto_8k.htm" TargetMode="External"/><Relationship Id="rId32" Type="http://schemas.openxmlformats.org/officeDocument/2006/relationships/hyperlink" Target="http://www.sec.gov/ix?doc=/Archives/edgar/data/1158114/000168316824005295/appliedopto_8k.htm" TargetMode="External"/><Relationship Id="rId33" Type="http://schemas.openxmlformats.org/officeDocument/2006/relationships/hyperlink" Target="http://www.sec.gov/ix?doc=/Archives/edgar/data/1158114/000168316824007049/appliedopto_8k.htm" TargetMode="External"/><Relationship Id="rId34" Type="http://schemas.openxmlformats.org/officeDocument/2006/relationships/hyperlink" Target="http://www.sec.gov/ix?doc=/Archives/edgar/data/1158114/000168316824007741/appliedopto_8k.htm" TargetMode="External"/><Relationship Id="rId35" Type="http://schemas.openxmlformats.org/officeDocument/2006/relationships/hyperlink" Target="http://www.sec.gov/Archives/edgar/data/1158114/000143774924005367/ex_625903.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21165</Words>
  <Characters>112761</Characters>
  <CharactersWithSpaces>135567</CharactersWithSpaces>
  <Paragraphs>1294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