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50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May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508"/>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76-0533927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13139 Jess Pirtle Blvd.</w:t>
        <w:br/>
      </w:r>
      <w:bookmarkStart w:id="9" w:name="xdx_904_edei--EntityAddressCityOrTown_c2"/>
      <w:bookmarkEnd w:id="9"/>
      <w:r>
        <w:rPr>
          <w:rFonts w:ascii="Times New Roman;Times;Serif" w:hAnsi="Times New Roman;Times;Serif"/>
          <w:b/>
          <w:i w:val="false"/>
          <w:caps w:val="false"/>
          <w:smallCaps w:val="false"/>
          <w:sz w:val="20"/>
        </w:rPr>
        <w:t xml:space="preserve">Sugar Land, </w:t>
      </w:r>
      <w:bookmarkStart w:id="10" w:name="xdx_90F_edei--EntityAddressStateOrProvin"/>
      <w:bookmarkEnd w:id="10"/>
      <w:r>
        <w:rPr>
          <w:rFonts w:ascii="Times New Roman;Times;Serif" w:hAnsi="Times New Roman;Times;Serif"/>
          <w:b/>
          <w:i w:val="false"/>
          <w:caps w:val="false"/>
          <w:smallCaps w:val="false"/>
          <w:sz w:val="20"/>
        </w:rPr>
        <w:t xml:space="preserve">Texas </w:t>
      </w:r>
      <w:bookmarkStart w:id="11" w:name="xdx_90A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508__20"/>
      <w:bookmarkEnd w:id="12"/>
      <w:r>
        <w:rPr>
          <w:rFonts w:ascii="Times New Roman;Times;Serif" w:hAnsi="Times New Roman;Times;Serif"/>
          <w:b/>
          <w:i w:val="false"/>
          <w:caps w:val="false"/>
          <w:smallCaps w:val="false"/>
          <w:sz w:val="20"/>
        </w:rPr>
        <w:t xml:space="preserve">281) </w:t>
      </w:r>
      <w:bookmarkStart w:id="13" w:name="xdx_900_edei--LocalPhoneNumber_c20260508"/>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SolicitingMaterial_c202605"/>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0508"/>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0508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Applied Optoelectronics, Inc. (the “Company”) entered into three separate lease agreements (each, a “Lease” and collectively, the “Leases”) with Hightower Phase I Owner, LLC, a Delaware limited liability company (the “Landlord”), for three industrial buildings located in Houston, Texas (“Building 1,” “Building 2,” and “Building 3”). The Leases are intended for manufacturing, warehouse, and office 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Lease has an initial term of 123 full calendar months, plus any partial month from the commencement date to the end of the calendar month in which the commencement date occurs. The commencement date will be the earliest of: (i) the date on which the Company occupies any portion of the applicable premises and begins conducting business therein, (ii) the date on which the Landlord’s work is substantially completed, or (iii) the date on which such work would have been substantially completed but for any tenant delay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Lease, the Company is entitled to an initial rent abatement period during the first three months. Commencing in the fourth month, base rent escalates periodically throughout the term. The Company is also responsible for its proportionate share of operating costs, taxes, and insurance costs. The specific locations and rent schedules are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1 Lease: Located at 6000 McHard Road, Houston, Texas 77053, consisting of approximately 163,930 rentable square feet of industrial space, together with the approximately 3.34-acre adjacent unimproved tract known as Reserve Tract 4 (collectively, the “Building 1 Lease”). Monthly basic rent starts at $104,915.20 in month four, escalating periodically to $146,127.30 during months 112 through 123. Monthly basic rent for Reserve Tract 4 starts at $6,680.00 in month four, escalating periodically to $9,303.99 during months 112 through 123.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2 Lease: Located at 6100 McHard Road, Houston, Texas 77053, consisting of approximately 343,332 rentable square feet of industrial space (the “Building 2 Lease”). Monthly basic rent starts at $205,999.20 in month four, escalating periodically to $286,918.45 during months 112 through 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3 Lease: Located at 17255 Chimney Rock Road, Houston, Texas 77053, consisting of approximately 228,954 rentable square feet of industrial space (the “Building 3 Lease”). Monthly basic rent starts at $146,530.56 in month four, escalating periodically to $204,089.73 during months 112 through 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Lease includes a purchase and sale agreement (each, a “PSA” and collectively, the “PSAs”) granting the Company an option to purchase Building 1, Building 2, and Building 3, together with the land on which such buildings are located. The PSAs provide for an aggregate purchase price of $102,250,000 and require earnest money of $1,758,750. Closing is expected to occur forty-five (45) days following the Company’s exercise of the purchase option, subject to the terms and conditions set forth in the PSAs.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Lease contains customary provisions, including restrictions on the Company’s ability to assign or sublease the premises, requirements for the Company to maintain certain insurance, and indemnification obligations of the Company in favor of the Landlord. The Leases also include customary events of default applicable to the Company and corresponding remedies available to the Landlord, as well as termination rights for each party under certain circumstances, including delays in delivery of the premises, casualty events, and condemnation.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Leases does not purport to be complete and is subject to and qualified in its entirety by reference to the full text of the Leases, which are filed as Exhibits 10.1, 10.2, and 10.3 to this Current Report on Form 8-K and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b/>
                <w:sz w:val="20"/>
              </w:rPr>
            </w:pPr>
            <w:r>
              <w:rPr>
                <w:b/>
                <w:sz w:val="20"/>
              </w:rPr>
              <w:t>Item 2.03</w:t>
            </w:r>
          </w:p>
        </w:tc>
        <w:tc>
          <w:tcPr>
            <w:tcW w:w="939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aaoi_ex1001.htm">
              <w:r>
                <w:rPr>
                  <w:rStyle w:val="InternetLink"/>
                  <w:sz w:val="20"/>
                </w:rPr>
                <w:t>Lease Agreement (Building 1), dated May 8, 2026, by and between Applied Optoelectronics, Inc., and Hightower Phase I Owner, LLC.</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aaoi_ex1002.htm">
              <w:r>
                <w:rPr>
                  <w:rStyle w:val="InternetLink"/>
                  <w:sz w:val="20"/>
                </w:rPr>
                <w:t>Lease Agreement (Building 2), dated May 8, 2026, by and between Applied Optoelectronics, Inc., and Hightower Phase I Owner, LLC.</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aaoi_ex1003.htm">
              <w:r>
                <w:rPr>
                  <w:rStyle w:val="InternetLink"/>
                  <w:sz w:val="20"/>
                </w:rPr>
                <w:t>Lease Agreement (Building 3), dated May 8, 2026, by and between Applied Optoelectronics, Inc., and Hightower Phase I Owner, LLC.</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sz w:val="20"/>
              </w:rPr>
            </w:pPr>
            <w:r>
              <w:rPr>
                <w:sz w:val="20"/>
              </w:rPr>
              <w:t>Cover Page Interactive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personally identifiable information has been omitted from this exhibit pursuant to Item 601(a)(6) of Regulation S-K.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or similar attachments have been omitted from this filing pursuant to Item 601(a)(5) of Regulation S-K. The Company agrees to furnish a copy of any omitted schedule to the Securities and Exchange Commission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1940"/>
        <w:gridCol w:w="590"/>
        <w:gridCol w:w="4400"/>
        <w:gridCol w:w="75"/>
      </w:tblGrid>
      <w:tr>
        <w:trPr/>
        <w:tc>
          <w:tcPr>
            <w:tcW w:w="1940" w:type="dxa"/>
            <w:tcBorders/>
            <w:vAlign w:val="center"/>
          </w:tcPr>
          <w:p>
            <w:pPr>
              <w:pStyle w:val="TableContents"/>
              <w:bidi w:val="0"/>
              <w:spacing w:before="0" w:after="283"/>
              <w:jc w:val="left"/>
              <w:rPr/>
            </w:pPr>
            <w:r>
              <w:rPr/>
              <w:t>Date: May 13, 2026</w:t>
            </w:r>
          </w:p>
        </w:tc>
        <w:tc>
          <w:tcPr>
            <w:tcW w:w="4990" w:type="dxa"/>
            <w:gridSpan w:val="2"/>
            <w:tcBorders/>
            <w:vAlign w:val="center"/>
          </w:tcPr>
          <w:p>
            <w:pPr>
              <w:pStyle w:val="TableContents"/>
              <w:bidi w:val="0"/>
              <w:spacing w:before="0" w:after="283"/>
              <w:jc w:val="left"/>
              <w:rPr>
                <w:b/>
                <w:sz w:val="20"/>
              </w:rPr>
            </w:pPr>
            <w:r>
              <w:rPr>
                <w:b/>
                <w:sz w:val="20"/>
              </w:rPr>
              <w:t>APPLIED OPTOELECTRONICS, INC.</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/s/ </w:t>
            </w:r>
            <w:r>
              <w:rPr>
                <w:caps/>
              </w:rPr>
              <w:t>David C. Kuo</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smallCaps/>
              </w:rPr>
            </w:pPr>
            <w:r>
              <w:rPr>
                <w:smallCaps/>
              </w:rPr>
              <w:t>David C. Kuo</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Senior Vice President and Chief Legal Officer</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aaoi_ex1001.htm"/>
      <w:bookmarkStart w:id="23" w:name="ksaaoi_ex1001"/>
      <w:bookmarkEnd w:id="22"/>
      <w:bookmarkEnd w:id="23"/>
      <w:r>
        <w:rPr>
          <w:b/>
        </w:rPr>
        <w:t>Exhibit 10.1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LEASE AGREEMENT BETWEEN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hightower phase I owner, LLC,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LANDLORD, AND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applied optoelectronics,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TENANT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DATED may </w:t>
      </w:r>
      <w:r>
        <w:rPr>
          <w:rFonts w:ascii="Times New Roman;Times;Serif" w:hAnsi="Times New Roman;Times;Serif"/>
          <w:b/>
          <w:i w:val="false"/>
          <w:caps/>
          <w:sz w:val="20"/>
          <w:u w:val="single"/>
        </w:rPr>
        <w:t>8</w:t>
      </w:r>
      <w:r>
        <w:rPr>
          <w:rFonts w:ascii="Times New Roman;Times;Serif" w:hAnsi="Times New Roman;Times;Serif"/>
          <w:b/>
          <w:i w:val="false"/>
          <w:caps/>
          <w:sz w:val="20"/>
        </w:rPr>
        <w:t>,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houston, TEXAS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BASIC LEASE INFORMATION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395"/>
        <w:gridCol w:w="2003"/>
        <w:gridCol w:w="3515"/>
        <w:gridCol w:w="3292"/>
      </w:tblGrid>
      <w:tr>
        <w:trPr/>
        <w:tc>
          <w:tcPr>
            <w:tcW w:w="1395" w:type="dxa"/>
            <w:tcBorders/>
            <w:vAlign w:val="center"/>
          </w:tcPr>
          <w:p>
            <w:pPr>
              <w:pStyle w:val="TableContents"/>
              <w:bidi w:val="0"/>
              <w:spacing w:before="0" w:after="283"/>
              <w:jc w:val="left"/>
              <w:rPr>
                <w:sz w:val="20"/>
              </w:rPr>
            </w:pPr>
            <w:r>
              <w:rPr>
                <w:sz w:val="20"/>
              </w:rPr>
              <w:t>Lease Date:</w:t>
            </w:r>
          </w:p>
        </w:tc>
        <w:tc>
          <w:tcPr>
            <w:tcW w:w="8810" w:type="dxa"/>
            <w:gridSpan w:val="3"/>
            <w:tcBorders/>
            <w:vAlign w:val="center"/>
          </w:tcPr>
          <w:p>
            <w:pPr>
              <w:pStyle w:val="TableContents"/>
              <w:bidi w:val="0"/>
              <w:spacing w:before="0" w:after="283"/>
              <w:jc w:val="left"/>
              <w:rPr>
                <w:sz w:val="20"/>
              </w:rPr>
            </w:pPr>
            <w:r>
              <w:rPr>
                <w:sz w:val="20"/>
              </w:rPr>
              <w:t xml:space="preserve">May </w:t>
            </w:r>
            <w:r>
              <w:rPr>
                <w:sz w:val="20"/>
                <w:u w:val="single"/>
              </w:rPr>
              <w:t>8</w:t>
            </w:r>
            <w:r>
              <w:rPr>
                <w:sz w:val="20"/>
              </w:rPr>
              <w:t>, 2026</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283"/>
              <w:jc w:val="left"/>
              <w:rPr>
                <w:sz w:val="20"/>
              </w:rPr>
            </w:pPr>
            <w:r>
              <w:rPr>
                <w:sz w:val="20"/>
              </w:rPr>
              <w:t>Landlord:</w:t>
            </w:r>
          </w:p>
        </w:tc>
        <w:tc>
          <w:tcPr>
            <w:tcW w:w="8810" w:type="dxa"/>
            <w:gridSpan w:val="3"/>
            <w:tcBorders/>
            <w:vAlign w:val="center"/>
          </w:tcPr>
          <w:p>
            <w:pPr>
              <w:pStyle w:val="TableContents"/>
              <w:bidi w:val="0"/>
              <w:spacing w:before="0" w:after="283"/>
              <w:jc w:val="left"/>
              <w:rPr>
                <w:sz w:val="20"/>
              </w:rPr>
            </w:pPr>
            <w:r>
              <w:rPr>
                <w:sz w:val="20"/>
              </w:rPr>
              <w:t>HIGHTOWER PHASE I OWNER, LLC, a Delaware limited liability company</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283"/>
              <w:jc w:val="left"/>
              <w:rPr>
                <w:sz w:val="20"/>
              </w:rPr>
            </w:pPr>
            <w:r>
              <w:rPr>
                <w:sz w:val="20"/>
              </w:rPr>
              <w:t>Tenant:</w:t>
            </w:r>
          </w:p>
        </w:tc>
        <w:tc>
          <w:tcPr>
            <w:tcW w:w="8810" w:type="dxa"/>
            <w:gridSpan w:val="3"/>
            <w:tcBorders/>
            <w:vAlign w:val="center"/>
          </w:tcPr>
          <w:p>
            <w:pPr>
              <w:pStyle w:val="TableContents"/>
              <w:bidi w:val="0"/>
              <w:spacing w:before="0" w:after="283"/>
              <w:jc w:val="left"/>
              <w:rPr>
                <w:sz w:val="20"/>
              </w:rPr>
            </w:pPr>
            <w:r>
              <w:rPr>
                <w:sz w:val="20"/>
              </w:rPr>
              <w:t>APPLIED OPTOELECTRONICS, INC., a Delaware corporation</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283"/>
              <w:jc w:val="left"/>
              <w:rPr>
                <w:sz w:val="20"/>
              </w:rPr>
            </w:pPr>
            <w:r>
              <w:rPr>
                <w:sz w:val="20"/>
              </w:rPr>
              <w:t>Premises:</w:t>
            </w:r>
          </w:p>
        </w:tc>
        <w:tc>
          <w:tcPr>
            <w:tcW w:w="8810" w:type="dxa"/>
            <w:gridSpan w:val="3"/>
            <w:tcBorders/>
            <w:vAlign w:val="center"/>
          </w:tcPr>
          <w:p>
            <w:pPr>
              <w:pStyle w:val="TableContents"/>
              <w:bidi w:val="0"/>
              <w:spacing w:before="0" w:after="283"/>
              <w:jc w:val="both"/>
              <w:rPr>
                <w:sz w:val="20"/>
              </w:rPr>
            </w:pPr>
            <w:r>
              <w:rPr>
                <w:sz w:val="20"/>
              </w:rPr>
              <w:t>That certain building containing 163,930 rentable square feet, commonly known as Hightower Business Park - Phase I – Building 1 (the “</w:t>
            </w:r>
            <w:r>
              <w:rPr>
                <w:b/>
                <w:sz w:val="20"/>
                <w:u w:val="single"/>
              </w:rPr>
              <w:t>Building</w:t>
            </w:r>
            <w:r>
              <w:rPr>
                <w:sz w:val="20"/>
              </w:rPr>
              <w:t>”), and whose street address is 6000 McHard Road, Houston, Texas  77053, together with the approximately 3.34 acre tract of unimproved land adjacent to the land on which the Building is located and commonly known as Reserve Tract 4 at Hightower Business Park – Phase I (“</w:t>
            </w:r>
            <w:r>
              <w:rPr>
                <w:b/>
                <w:sz w:val="20"/>
                <w:u w:val="single"/>
              </w:rPr>
              <w:t>Reserve Tract 4</w:t>
            </w:r>
            <w:r>
              <w:rPr>
                <w:sz w:val="20"/>
              </w:rPr>
              <w:t xml:space="preserve">”).  The Premises are outlined on the plan attached to the Lease as </w:t>
            </w:r>
            <w:r>
              <w:rPr>
                <w:rFonts w:ascii="Times New Roman;Times;Serif" w:hAnsi="Times New Roman;Times;Serif"/>
                <w:sz w:val="20"/>
                <w:u w:val="single"/>
              </w:rPr>
              <w:t>Exhibit A</w:t>
            </w:r>
            <w:r>
              <w:rPr>
                <w:sz w:val="20"/>
              </w:rPr>
              <w:t>.  The land on which the Building is located and Reserve Tract 4 (collectively, the “</w:t>
            </w:r>
            <w:r>
              <w:rPr>
                <w:b/>
                <w:sz w:val="20"/>
                <w:u w:val="single"/>
              </w:rPr>
              <w:t>Land</w:t>
            </w:r>
            <w:r>
              <w:rPr>
                <w:sz w:val="20"/>
              </w:rPr>
              <w:t>”</w:t>
            </w:r>
            <w:r>
              <w:rPr>
                <w:b/>
                <w:sz w:val="20"/>
              </w:rPr>
              <w:t>)</w:t>
            </w:r>
            <w:r>
              <w:rPr>
                <w:sz w:val="20"/>
              </w:rPr>
              <w:t xml:space="preserve"> is described on </w:t>
            </w:r>
            <w:r>
              <w:rPr>
                <w:rFonts w:ascii="Times New Roman;Times;Serif" w:hAnsi="Times New Roman;Times;Serif"/>
                <w:sz w:val="20"/>
                <w:u w:val="single"/>
              </w:rPr>
              <w:t>Exhibit B</w:t>
            </w:r>
            <w:r>
              <w:rPr>
                <w:sz w:val="20"/>
              </w:rPr>
              <w:t>.  The term “</w:t>
            </w:r>
            <w:r>
              <w:rPr>
                <w:b/>
                <w:sz w:val="20"/>
                <w:u w:val="single"/>
              </w:rPr>
              <w:t>Project</w:t>
            </w:r>
            <w:r>
              <w:rPr>
                <w:sz w:val="20"/>
              </w:rPr>
              <w:t>” shall collectively refer to the Building, the Land and the driveways, parking facilities, loading dock areas, roadways, any rail tracks associated with the Building and similar improvements and easements associated with the foregoing or the operation thereof.</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both"/>
              <w:rPr/>
            </w:pPr>
            <w:r>
              <w:rPr/>
              <w:t> </w:t>
            </w:r>
          </w:p>
        </w:tc>
      </w:tr>
      <w:tr>
        <w:trPr/>
        <w:tc>
          <w:tcPr>
            <w:tcW w:w="1395" w:type="dxa"/>
            <w:tcBorders/>
            <w:vAlign w:val="center"/>
          </w:tcPr>
          <w:p>
            <w:pPr>
              <w:pStyle w:val="TableContents"/>
              <w:bidi w:val="0"/>
              <w:spacing w:before="0" w:after="283"/>
              <w:jc w:val="left"/>
              <w:rPr>
                <w:sz w:val="20"/>
              </w:rPr>
            </w:pPr>
            <w:r>
              <w:rPr>
                <w:sz w:val="20"/>
              </w:rPr>
              <w:t>Term:</w:t>
            </w:r>
          </w:p>
        </w:tc>
        <w:tc>
          <w:tcPr>
            <w:tcW w:w="8810" w:type="dxa"/>
            <w:gridSpan w:val="3"/>
            <w:tcBorders/>
            <w:vAlign w:val="center"/>
          </w:tcPr>
          <w:p>
            <w:pPr>
              <w:pStyle w:val="TableContents"/>
              <w:bidi w:val="0"/>
              <w:spacing w:before="0" w:after="283"/>
              <w:jc w:val="both"/>
              <w:rPr>
                <w:sz w:val="20"/>
              </w:rPr>
            </w:pPr>
            <w:r>
              <w:rPr>
                <w:sz w:val="20"/>
              </w:rPr>
              <w:t>123 full calendar months, plus any partial month from the Commencement Date to the end of the month in which the Commencement Date falls, starting on the Commencement Date and ending at 5:00 p.m. local time on the last day of the 123</w:t>
            </w:r>
            <w:r>
              <w:rPr>
                <w:position w:val="7"/>
                <w:sz w:val="16"/>
                <w:sz w:val="20"/>
              </w:rPr>
              <w:t>rd</w:t>
            </w:r>
            <w:r>
              <w:rPr>
                <w:sz w:val="20"/>
              </w:rPr>
              <w:t xml:space="preserve"> full calendar month following the Commencement Date, subject to adjustment and earlier termination as provided in the Lease.</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both"/>
              <w:rPr/>
            </w:pPr>
            <w:r>
              <w:rPr/>
              <w:t> </w:t>
            </w:r>
          </w:p>
        </w:tc>
      </w:tr>
      <w:tr>
        <w:trPr/>
        <w:tc>
          <w:tcPr>
            <w:tcW w:w="13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Date:</w:t>
            </w:r>
          </w:p>
          <w:p>
            <w:pPr>
              <w:pStyle w:val="TableContents"/>
              <w:bidi w:val="0"/>
              <w:spacing w:before="0" w:after="0"/>
              <w:ind w:left="0" w:right="0" w:hanging="0"/>
              <w:jc w:val="left"/>
              <w:rPr>
                <w:caps w:val="false"/>
                <w:smallCaps w:val="false"/>
              </w:rPr>
            </w:pPr>
            <w:r>
              <w:rPr>
                <w:caps w:val="false"/>
                <w:smallCaps w:val="false"/>
              </w:rPr>
              <w:t> </w:t>
            </w:r>
          </w:p>
        </w:tc>
        <w:tc>
          <w:tcPr>
            <w:tcW w:w="8810" w:type="dxa"/>
            <w:gridSpan w:val="3"/>
            <w:tcBorders/>
            <w:vAlign w:val="center"/>
          </w:tcPr>
          <w:p>
            <w:pPr>
              <w:pStyle w:val="TableContents"/>
              <w:bidi w:val="0"/>
              <w:spacing w:before="0" w:after="283"/>
              <w:jc w:val="both"/>
              <w:rPr>
                <w:sz w:val="20"/>
              </w:rPr>
            </w:pPr>
            <w:r>
              <w:rPr>
                <w:sz w:val="20"/>
              </w:rPr>
              <w:t xml:space="preserve">The earliest of (a) the date on which Tenant occupies any portion of the Premises and begins conducting business therein, (b) the date on which the Work (as defined in </w:t>
            </w:r>
            <w:r>
              <w:rPr>
                <w:rFonts w:ascii="Times New Roman;Times;Serif" w:hAnsi="Times New Roman;Times;Serif"/>
                <w:sz w:val="20"/>
                <w:u w:val="single"/>
              </w:rPr>
              <w:t>Exhibit D</w:t>
            </w:r>
            <w:r>
              <w:rPr>
                <w:sz w:val="20"/>
              </w:rPr>
              <w:t xml:space="preserve"> hereto) is Substantially Completed (as defined in </w:t>
            </w:r>
            <w:r>
              <w:rPr>
                <w:rFonts w:ascii="Times New Roman;Times;Serif" w:hAnsi="Times New Roman;Times;Serif"/>
                <w:sz w:val="20"/>
                <w:u w:val="single"/>
              </w:rPr>
              <w:t>Exhibit D</w:t>
            </w:r>
            <w:r>
              <w:rPr>
                <w:sz w:val="20"/>
              </w:rPr>
              <w:t xml:space="preserve"> hereto), or (c) the date on which the Work would have been Substantially Completed but for the occurrence of any Tenant Delay Days (as defined in </w:t>
            </w:r>
            <w:r>
              <w:rPr>
                <w:rFonts w:ascii="Times New Roman;Times;Serif" w:hAnsi="Times New Roman;Times;Serif"/>
                <w:sz w:val="20"/>
                <w:u w:val="single"/>
              </w:rPr>
              <w:t>Exhibit D</w:t>
            </w:r>
            <w:r>
              <w:rPr>
                <w:sz w:val="20"/>
              </w:rPr>
              <w:t xml:space="preserve"> hereto).</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both"/>
              <w:rPr/>
            </w:pPr>
            <w:r>
              <w:rPr/>
              <w:t> </w:t>
            </w:r>
          </w:p>
        </w:tc>
      </w:tr>
      <w:tr>
        <w:trPr/>
        <w:tc>
          <w:tcPr>
            <w:tcW w:w="1395" w:type="dxa"/>
            <w:tcBorders/>
            <w:vAlign w:val="center"/>
          </w:tcPr>
          <w:p>
            <w:pPr>
              <w:pStyle w:val="TableContents"/>
              <w:bidi w:val="0"/>
              <w:spacing w:before="0" w:after="283"/>
              <w:jc w:val="left"/>
              <w:rPr>
                <w:sz w:val="20"/>
              </w:rPr>
            </w:pPr>
            <w:r>
              <w:rPr>
                <w:sz w:val="20"/>
              </w:rPr>
              <w:t>Basic Rent:</w:t>
            </w:r>
          </w:p>
        </w:tc>
        <w:tc>
          <w:tcPr>
            <w:tcW w:w="8810" w:type="dxa"/>
            <w:gridSpan w:val="3"/>
            <w:tcBorders/>
            <w:vAlign w:val="center"/>
          </w:tcPr>
          <w:p>
            <w:pPr>
              <w:pStyle w:val="TableContents"/>
              <w:bidi w:val="0"/>
              <w:spacing w:before="0" w:after="283"/>
              <w:jc w:val="both"/>
              <w:rPr>
                <w:sz w:val="20"/>
              </w:rPr>
            </w:pPr>
            <w:r>
              <w:rPr>
                <w:sz w:val="20"/>
              </w:rPr>
              <w:t>Basic Rent applicable to the Building shall be the following amounts for the following periods of time:</w:t>
            </w:r>
          </w:p>
        </w:tc>
      </w:tr>
      <w:tr>
        <w:trPr/>
        <w:tc>
          <w:tcPr>
            <w:tcW w:w="1395" w:type="dxa"/>
            <w:tcBorders/>
            <w:vAlign w:val="center"/>
          </w:tcPr>
          <w:p>
            <w:pPr>
              <w:pStyle w:val="TableContents"/>
              <w:bidi w:val="0"/>
              <w:spacing w:before="0" w:after="283"/>
              <w:jc w:val="left"/>
              <w:rPr/>
            </w:pPr>
            <w:r>
              <w:rPr/>
              <w:t> </w:t>
            </w:r>
          </w:p>
        </w:tc>
        <w:tc>
          <w:tcPr>
            <w:tcW w:w="8810" w:type="dxa"/>
            <w:gridSpan w:val="3"/>
            <w:tcBorders/>
            <w:vAlign w:val="center"/>
          </w:tcPr>
          <w:p>
            <w:pPr>
              <w:pStyle w:val="TableContents"/>
              <w:bidi w:val="0"/>
              <w:spacing w:before="0" w:after="283"/>
              <w:jc w:val="both"/>
              <w:rPr/>
            </w:pPr>
            <w:r>
              <w:rPr/>
              <w:t> </w:t>
            </w:r>
          </w:p>
        </w:tc>
      </w:tr>
      <w:tr>
        <w:trPr/>
        <w:tc>
          <w:tcPr>
            <w:tcW w:w="1395" w:type="dxa"/>
            <w:tcBorders/>
            <w:vAlign w:val="center"/>
          </w:tcPr>
          <w:p>
            <w:pPr>
              <w:pStyle w:val="TableContents"/>
              <w:bidi w:val="0"/>
              <w:spacing w:before="0" w:after="283"/>
              <w:jc w:val="left"/>
              <w:rPr/>
            </w:pPr>
            <w:r>
              <w:rPr/>
              <w:t> </w:t>
            </w:r>
          </w:p>
        </w:tc>
        <w:tc>
          <w:tcPr>
            <w:tcW w:w="2003"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vAlign w:val="center"/>
          </w:tcPr>
          <w:p>
            <w:pPr>
              <w:pStyle w:val="TableContents"/>
              <w:bidi w:val="0"/>
              <w:spacing w:before="0" w:after="283"/>
              <w:jc w:val="center"/>
              <w:rPr/>
            </w:pPr>
            <w:r>
              <w:rPr/>
              <w:t>Lease Month</w:t>
            </w:r>
          </w:p>
        </w:tc>
        <w:tc>
          <w:tcPr>
            <w:tcW w:w="3515"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br/>
              <w:t>Per Rentable Square Foot</w:t>
            </w:r>
          </w:p>
        </w:tc>
        <w:tc>
          <w:tcPr>
            <w:tcW w:w="3292"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1 - 3</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$0.00</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$0.00</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4 - 15</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$0.64</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$104,915.20</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16 - 27</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$0.66</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$108,849.52</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28 - 39</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$0.69</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$112,931.38</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40 - 51</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$0.71</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$117,166.30</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52 - 63</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$0.74</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$121,560.04</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64 - 75</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$0.77</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$126,118.54</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76 - 87</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$0.80</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$130,847.99</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88 - 99</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$0.83</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$135,754.79</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100 - 111</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$0.86</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$140,845.59</w:t>
            </w:r>
          </w:p>
        </w:tc>
      </w:tr>
      <w:tr>
        <w:trPr/>
        <w:tc>
          <w:tcPr>
            <w:tcW w:w="1395" w:type="dxa"/>
            <w:tcBorders/>
            <w:vAlign w:val="center"/>
          </w:tcPr>
          <w:p>
            <w:pPr>
              <w:pStyle w:val="TableContents"/>
              <w:bidi w:val="0"/>
              <w:spacing w:before="0" w:after="283"/>
              <w:jc w:val="left"/>
              <w:rPr/>
            </w:pPr>
            <w:r>
              <w:rPr/>
              <w:t> </w:t>
            </w:r>
          </w:p>
        </w:tc>
        <w:tc>
          <w:tcPr>
            <w:tcW w:w="2003"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112 - 123</w:t>
            </w:r>
          </w:p>
        </w:tc>
        <w:tc>
          <w:tcPr>
            <w:tcW w:w="35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$0.89</w:t>
            </w:r>
          </w:p>
        </w:tc>
        <w:tc>
          <w:tcPr>
            <w:tcW w:w="329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$146,127.30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98"/>
        <w:gridCol w:w="6132"/>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sz w:val="20"/>
              </w:rPr>
            </w:pPr>
            <w:r>
              <w:rPr>
                <w:sz w:val="20"/>
              </w:rPr>
              <w:t>Basic Rent applicable to Reserve Tract 4 shall be the following amounts for the following periods of time:</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8"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vAlign w:val="center"/>
          </w:tcPr>
          <w:p>
            <w:pPr>
              <w:pStyle w:val="TableContents"/>
              <w:bidi w:val="0"/>
              <w:spacing w:before="0" w:after="283"/>
              <w:jc w:val="center"/>
              <w:rPr/>
            </w:pPr>
            <w:r>
              <w:rPr/>
              <w:t>Lease Month</w:t>
            </w:r>
          </w:p>
        </w:tc>
        <w:tc>
          <w:tcPr>
            <w:tcW w:w="6132"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1 - 3</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$0.00</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4 - 15</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$6,680.00</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16 - 27</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$6,930.50</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28 - 39</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$7,190.39</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40 - 51</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$7,460.03</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52 - 63</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$7,739.78</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64 - 75</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$8,030.03</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76 - 87</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$8,331.15</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88 - 99</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$8,643.57</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100 - 111</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$8,967.70</w:t>
            </w:r>
          </w:p>
        </w:tc>
      </w:tr>
      <w:tr>
        <w:trPr/>
        <w:tc>
          <w:tcPr>
            <w:tcW w:w="75" w:type="dxa"/>
            <w:tcBorders/>
            <w:vAlign w:val="center"/>
          </w:tcPr>
          <w:p>
            <w:pPr>
              <w:pStyle w:val="TableContents"/>
              <w:bidi w:val="0"/>
              <w:spacing w:before="0" w:after="283"/>
              <w:jc w:val="left"/>
              <w:rPr/>
            </w:pPr>
            <w:r>
              <w:rPr/>
              <w:t> </w:t>
            </w:r>
          </w:p>
        </w:tc>
        <w:tc>
          <w:tcPr>
            <w:tcW w:w="3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112 - 123</w:t>
            </w:r>
          </w:p>
        </w:tc>
        <w:tc>
          <w:tcPr>
            <w:tcW w:w="613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$9,303.99</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sz w:val="20"/>
              </w:rPr>
            </w:pPr>
            <w:r>
              <w:rPr>
                <w:sz w:val="20"/>
              </w:rPr>
              <w:t>As used herein, the term “</w:t>
            </w:r>
            <w:r>
              <w:rPr>
                <w:b/>
                <w:sz w:val="20"/>
                <w:u w:val="single"/>
              </w:rPr>
              <w:t>Lease Month</w:t>
            </w:r>
            <w:r>
              <w:rPr>
                <w:sz w:val="20"/>
              </w:rPr>
              <w:t>” means each calendar month during the Term (and if the Commencement Date does not occur on the first day of a calendar month, the period from the Commencement Date to the first day of the next calendar month shall be included in the first Lease Month for which Basic Rent is payable for purposes of determining the duration of the Term and the monthly Basic Rent rate applicable for such partial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3"/>
        <w:gridCol w:w="8262"/>
      </w:tblGrid>
      <w:tr>
        <w:trPr/>
        <w:tc>
          <w:tcPr>
            <w:tcW w:w="1943" w:type="dxa"/>
            <w:tcBorders/>
            <w:vAlign w:val="center"/>
          </w:tcPr>
          <w:p>
            <w:pPr>
              <w:pStyle w:val="TableContents"/>
              <w:bidi w:val="0"/>
              <w:spacing w:before="0" w:after="283"/>
              <w:jc w:val="left"/>
              <w:rPr/>
            </w:pPr>
            <w:r>
              <w:rPr/>
              <w:t>Additional Rent:</w:t>
            </w:r>
          </w:p>
        </w:tc>
        <w:tc>
          <w:tcPr>
            <w:tcW w:w="8262" w:type="dxa"/>
            <w:tcBorders/>
            <w:vAlign w:val="center"/>
          </w:tcPr>
          <w:p>
            <w:pPr>
              <w:pStyle w:val="TableContents"/>
              <w:bidi w:val="0"/>
              <w:spacing w:before="0" w:after="283"/>
              <w:jc w:val="both"/>
              <w:rPr/>
            </w:pPr>
            <w:r>
              <w:rPr/>
              <w:t>Tenant’s Proportionate Share of Operating Costs, Taxes and Insurance Costs.</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Security Deposit:</w:t>
            </w:r>
          </w:p>
        </w:tc>
        <w:tc>
          <w:tcPr>
            <w:tcW w:w="8262" w:type="dxa"/>
            <w:tcBorders/>
            <w:vAlign w:val="center"/>
          </w:tcPr>
          <w:p>
            <w:pPr>
              <w:pStyle w:val="TableContents"/>
              <w:bidi w:val="0"/>
              <w:spacing w:before="0" w:after="283"/>
              <w:jc w:val="left"/>
              <w:rPr/>
            </w:pPr>
            <w:r>
              <w:rPr/>
              <w:t>$391,613.18.</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Rent:</w:t>
            </w:r>
          </w:p>
        </w:tc>
        <w:tc>
          <w:tcPr>
            <w:tcW w:w="8262" w:type="dxa"/>
            <w:tcBorders/>
            <w:vAlign w:val="center"/>
          </w:tcPr>
          <w:p>
            <w:pPr>
              <w:pStyle w:val="TableContents"/>
              <w:bidi w:val="0"/>
              <w:spacing w:before="0" w:after="283"/>
              <w:jc w:val="both"/>
              <w:rPr/>
            </w:pPr>
            <w:r>
              <w:rPr/>
              <w:t>Basic Rent, Additional Rent, and all other sums that Tenant may owe to Landlord or otherwise be required to pay under the Lease.</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Permitted Use:</w:t>
            </w:r>
          </w:p>
        </w:tc>
        <w:tc>
          <w:tcPr>
            <w:tcW w:w="8262" w:type="dxa"/>
            <w:tcBorders/>
            <w:vAlign w:val="center"/>
          </w:tcPr>
          <w:p>
            <w:pPr>
              <w:pStyle w:val="TableContents"/>
              <w:bidi w:val="0"/>
              <w:spacing w:before="0" w:after="283"/>
              <w:jc w:val="both"/>
              <w:rPr/>
            </w:pPr>
            <w:r>
              <w:rPr/>
              <w:t>General industrial/warehouse use for the purpose of light manufacturing, receiving, storing, shipping and selling (but limited to wholesale sales) products, materials and merchandise made and/or distributed by Tenant, and related ancillary uses.</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Tenant’s Proportionate Share:</w:t>
            </w:r>
          </w:p>
        </w:tc>
        <w:tc>
          <w:tcPr>
            <w:tcW w:w="8262" w:type="dxa"/>
            <w:tcBorders/>
            <w:vAlign w:val="center"/>
          </w:tcPr>
          <w:p>
            <w:pPr>
              <w:pStyle w:val="TableContents"/>
              <w:bidi w:val="0"/>
              <w:spacing w:before="0" w:after="283"/>
              <w:jc w:val="both"/>
              <w:rPr/>
            </w:pPr>
            <w:r>
              <w:rPr/>
              <w:t>100%.</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Initial Liability Insurance Amount:</w:t>
            </w:r>
          </w:p>
        </w:tc>
        <w:tc>
          <w:tcPr>
            <w:tcW w:w="8262" w:type="dxa"/>
            <w:tcBorders/>
            <w:vAlign w:val="center"/>
          </w:tcPr>
          <w:p>
            <w:pPr>
              <w:pStyle w:val="TableContents"/>
              <w:bidi w:val="0"/>
              <w:spacing w:before="0" w:after="283"/>
              <w:jc w:val="left"/>
              <w:rPr/>
            </w:pPr>
            <w:r>
              <w:rPr/>
              <w:t>$3,000,000.</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Tenant’s Address:</w:t>
            </w:r>
          </w:p>
        </w:tc>
        <w:tc>
          <w:tcPr>
            <w:tcW w:w="82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 Du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r>
        <w:trPr/>
        <w:tc>
          <w:tcPr>
            <w:tcW w:w="1943" w:type="dxa"/>
            <w:tcBorders/>
            <w:vAlign w:val="center"/>
          </w:tcPr>
          <w:p>
            <w:pPr>
              <w:pStyle w:val="TableContents"/>
              <w:bidi w:val="0"/>
              <w:spacing w:before="0" w:after="283"/>
              <w:jc w:val="left"/>
              <w:rPr/>
            </w:pPr>
            <w:r>
              <w:rPr/>
              <w:t> </w:t>
            </w:r>
          </w:p>
        </w:tc>
        <w:tc>
          <w:tcPr>
            <w:tcW w:w="8262"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Landlord’s Address:</w:t>
            </w:r>
          </w:p>
        </w:tc>
        <w:tc>
          <w:tcPr>
            <w:tcW w:w="8262" w:type="dxa"/>
            <w:tcBorders/>
            <w:vAlign w:val="center"/>
          </w:tcPr>
          <w:p>
            <w:pPr>
              <w:pStyle w:val="TableContents"/>
              <w:bidi w:val="0"/>
              <w:spacing w:before="0" w:after="283"/>
              <w:jc w:val="left"/>
              <w:rPr/>
            </w:pPr>
            <w:r>
              <w:rPr/>
              <w:t>Hightower Phase I Owner, LLC</w:t>
              <w:br/>
              <w:t>750 Town &amp; Country Blvd, Ste 520</w:t>
              <w:br/>
              <w:t>Houston, TX  77024</w:t>
              <w:br/>
              <w:t>Attention: Asset Manager - Hightower</w:t>
              <w:br/>
              <w:t xml:space="preserve">Telephone: </w:t>
              <w:br/>
              <w:t>Email: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Basic Lease Information is incorporated into and made a part of the Lease identified above. If any conflict exists between any Basic Lease Information and the Lease, then the Lease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320"/>
        <w:gridCol w:w="435"/>
        <w:gridCol w:w="6559"/>
        <w:gridCol w:w="905"/>
      </w:tblGrid>
      <w:tr>
        <w:trPr/>
        <w:tc>
          <w:tcPr>
            <w:tcW w:w="8219" w:type="dxa"/>
            <w:gridSpan w:val="4"/>
            <w:tcBorders/>
            <w:vAlign w:val="center"/>
          </w:tcPr>
          <w:p>
            <w:pPr>
              <w:pStyle w:val="TableContents"/>
              <w:bidi w:val="0"/>
              <w:spacing w:before="0" w:after="283"/>
              <w:jc w:val="center"/>
              <w:rPr>
                <w:b/>
                <w:u w:val="single"/>
              </w:rPr>
            </w:pPr>
            <w:r>
              <w:rPr>
                <w:b/>
                <w:u w:val="single"/>
              </w:rPr>
              <w:t>TABLE OF CONTENTS</w:t>
            </w:r>
          </w:p>
        </w:tc>
      </w:tr>
      <w:tr>
        <w:trPr/>
        <w:tc>
          <w:tcPr>
            <w:tcW w:w="8219" w:type="dxa"/>
            <w:gridSpan w:val="4"/>
            <w:tcBorders/>
            <w:vAlign w:val="center"/>
          </w:tcPr>
          <w:p>
            <w:pPr>
              <w:pStyle w:val="TableContents"/>
              <w:bidi w:val="0"/>
              <w:spacing w:before="0" w:after="283"/>
              <w:jc w:val="center"/>
              <w:rPr/>
            </w:pPr>
            <w:r>
              <w:rPr/>
              <w:t> </w:t>
            </w:r>
          </w:p>
        </w:tc>
      </w:tr>
      <w:tr>
        <w:trPr/>
        <w:tc>
          <w:tcPr>
            <w:tcW w:w="320"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pPr>
            <w:r>
              <w:rPr/>
              <w:t>Page No.</w:t>
            </w:r>
          </w:p>
        </w:tc>
      </w:tr>
      <w:tr>
        <w:trPr/>
        <w:tc>
          <w:tcPr>
            <w:tcW w:w="320" w:type="dxa"/>
            <w:tcBorders/>
            <w:vAlign w:val="center"/>
          </w:tcPr>
          <w:p>
            <w:pPr>
              <w:pStyle w:val="TableContents"/>
              <w:bidi w:val="0"/>
              <w:spacing w:before="0" w:after="283"/>
              <w:jc w:val="left"/>
              <w:rPr>
                <w:b/>
              </w:rPr>
            </w:pPr>
            <w:r>
              <w:rPr>
                <w:b/>
              </w:rPr>
              <w:t>1.</w:t>
            </w:r>
          </w:p>
        </w:tc>
        <w:tc>
          <w:tcPr>
            <w:tcW w:w="6994" w:type="dxa"/>
            <w:gridSpan w:val="2"/>
            <w:tcBorders/>
            <w:vAlign w:val="center"/>
          </w:tcPr>
          <w:p>
            <w:pPr>
              <w:pStyle w:val="TableContents"/>
              <w:bidi w:val="0"/>
              <w:spacing w:before="0" w:after="283"/>
              <w:jc w:val="left"/>
              <w:rPr/>
            </w:pPr>
            <w:r>
              <w:rPr/>
              <w:t>Definitions and Basic Provisions</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2.</w:t>
            </w:r>
          </w:p>
        </w:tc>
        <w:tc>
          <w:tcPr>
            <w:tcW w:w="6994" w:type="dxa"/>
            <w:gridSpan w:val="2"/>
            <w:tcBorders/>
            <w:vAlign w:val="center"/>
          </w:tcPr>
          <w:p>
            <w:pPr>
              <w:pStyle w:val="TableContents"/>
              <w:bidi w:val="0"/>
              <w:spacing w:before="0" w:after="283"/>
              <w:jc w:val="left"/>
              <w:rPr/>
            </w:pPr>
            <w:r>
              <w:rPr/>
              <w:t>Lease Grant</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3.</w:t>
            </w:r>
          </w:p>
        </w:tc>
        <w:tc>
          <w:tcPr>
            <w:tcW w:w="6994" w:type="dxa"/>
            <w:gridSpan w:val="2"/>
            <w:tcBorders/>
            <w:vAlign w:val="center"/>
          </w:tcPr>
          <w:p>
            <w:pPr>
              <w:pStyle w:val="TableContents"/>
              <w:bidi w:val="0"/>
              <w:spacing w:before="0" w:after="283"/>
              <w:jc w:val="left"/>
              <w:rPr/>
            </w:pPr>
            <w:r>
              <w:rPr/>
              <w:t>Tender of Possession</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4.</w:t>
            </w:r>
          </w:p>
        </w:tc>
        <w:tc>
          <w:tcPr>
            <w:tcW w:w="6994" w:type="dxa"/>
            <w:gridSpan w:val="2"/>
            <w:tcBorders/>
            <w:vAlign w:val="center"/>
          </w:tcPr>
          <w:p>
            <w:pPr>
              <w:pStyle w:val="TableContents"/>
              <w:bidi w:val="0"/>
              <w:spacing w:before="0" w:after="283"/>
              <w:jc w:val="left"/>
              <w:rPr/>
            </w:pPr>
            <w:r>
              <w:rPr/>
              <w:t>Rent</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Payment</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Operating Costs</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b/>
              </w:rPr>
            </w:pPr>
            <w:r>
              <w:rPr>
                <w:b/>
              </w:rPr>
              <w:t>5.</w:t>
            </w:r>
          </w:p>
        </w:tc>
        <w:tc>
          <w:tcPr>
            <w:tcW w:w="6994" w:type="dxa"/>
            <w:gridSpan w:val="2"/>
            <w:tcBorders/>
            <w:vAlign w:val="center"/>
          </w:tcPr>
          <w:p>
            <w:pPr>
              <w:pStyle w:val="TableContents"/>
              <w:bidi w:val="0"/>
              <w:spacing w:before="0" w:after="283"/>
              <w:jc w:val="left"/>
              <w:rPr/>
            </w:pPr>
            <w:r>
              <w:rPr/>
              <w:t>Delinquent Payment; Handling Charges</w:t>
            </w:r>
          </w:p>
        </w:tc>
        <w:tc>
          <w:tcPr>
            <w:tcW w:w="905" w:type="dxa"/>
            <w:tcBorders/>
            <w:vAlign w:val="center"/>
          </w:tcPr>
          <w:p>
            <w:pPr>
              <w:pStyle w:val="TableContents"/>
              <w:bidi w:val="0"/>
              <w:spacing w:before="0" w:after="283"/>
              <w:jc w:val="center"/>
              <w:rPr/>
            </w:pPr>
            <w:r>
              <w:rPr/>
              <w:t>4</w:t>
            </w:r>
          </w:p>
        </w:tc>
      </w:tr>
      <w:tr>
        <w:trPr/>
        <w:tc>
          <w:tcPr>
            <w:tcW w:w="320" w:type="dxa"/>
            <w:tcBorders/>
            <w:vAlign w:val="center"/>
          </w:tcPr>
          <w:p>
            <w:pPr>
              <w:pStyle w:val="TableContents"/>
              <w:bidi w:val="0"/>
              <w:spacing w:before="0" w:after="283"/>
              <w:jc w:val="left"/>
              <w:rPr>
                <w:b/>
              </w:rPr>
            </w:pPr>
            <w:r>
              <w:rPr>
                <w:b/>
              </w:rPr>
              <w:t>6.</w:t>
            </w:r>
          </w:p>
        </w:tc>
        <w:tc>
          <w:tcPr>
            <w:tcW w:w="6994" w:type="dxa"/>
            <w:gridSpan w:val="2"/>
            <w:tcBorders/>
            <w:vAlign w:val="center"/>
          </w:tcPr>
          <w:p>
            <w:pPr>
              <w:pStyle w:val="TableContents"/>
              <w:bidi w:val="0"/>
              <w:spacing w:before="0" w:after="283"/>
              <w:jc w:val="left"/>
              <w:rPr/>
            </w:pPr>
            <w:r>
              <w:rPr/>
              <w:t>Security Deposit</w:t>
            </w:r>
          </w:p>
        </w:tc>
        <w:tc>
          <w:tcPr>
            <w:tcW w:w="905" w:type="dxa"/>
            <w:tcBorders/>
            <w:vAlign w:val="center"/>
          </w:tcPr>
          <w:p>
            <w:pPr>
              <w:pStyle w:val="TableContents"/>
              <w:bidi w:val="0"/>
              <w:spacing w:before="0" w:after="283"/>
              <w:jc w:val="center"/>
              <w:rPr/>
            </w:pPr>
            <w:r>
              <w:rPr/>
              <w:t>5</w:t>
            </w:r>
          </w:p>
        </w:tc>
      </w:tr>
      <w:tr>
        <w:trPr/>
        <w:tc>
          <w:tcPr>
            <w:tcW w:w="320" w:type="dxa"/>
            <w:tcBorders/>
            <w:vAlign w:val="center"/>
          </w:tcPr>
          <w:p>
            <w:pPr>
              <w:pStyle w:val="TableContents"/>
              <w:bidi w:val="0"/>
              <w:spacing w:before="0" w:after="283"/>
              <w:jc w:val="left"/>
              <w:rPr>
                <w:b/>
              </w:rPr>
            </w:pPr>
            <w:r>
              <w:rPr>
                <w:b/>
              </w:rPr>
              <w:t>7.</w:t>
            </w:r>
          </w:p>
        </w:tc>
        <w:tc>
          <w:tcPr>
            <w:tcW w:w="6994" w:type="dxa"/>
            <w:gridSpan w:val="2"/>
            <w:tcBorders/>
            <w:vAlign w:val="center"/>
          </w:tcPr>
          <w:p>
            <w:pPr>
              <w:pStyle w:val="TableContents"/>
              <w:bidi w:val="0"/>
              <w:spacing w:before="0" w:after="283"/>
              <w:jc w:val="left"/>
              <w:rPr/>
            </w:pPr>
            <w:r>
              <w:rPr/>
              <w:t>Landlord’s Maintenance Obligations</w:t>
            </w:r>
          </w:p>
        </w:tc>
        <w:tc>
          <w:tcPr>
            <w:tcW w:w="905" w:type="dxa"/>
            <w:tcBorders/>
            <w:vAlign w:val="center"/>
          </w:tcPr>
          <w:p>
            <w:pPr>
              <w:pStyle w:val="TableContents"/>
              <w:bidi w:val="0"/>
              <w:spacing w:before="0" w:after="283"/>
              <w:jc w:val="center"/>
              <w:rPr/>
            </w:pPr>
            <w:r>
              <w:rPr/>
              <w:t>5</w:t>
            </w:r>
          </w:p>
        </w:tc>
      </w:tr>
      <w:tr>
        <w:trPr/>
        <w:tc>
          <w:tcPr>
            <w:tcW w:w="320" w:type="dxa"/>
            <w:tcBorders/>
            <w:vAlign w:val="center"/>
          </w:tcPr>
          <w:p>
            <w:pPr>
              <w:pStyle w:val="TableContents"/>
              <w:bidi w:val="0"/>
              <w:spacing w:before="0" w:after="283"/>
              <w:jc w:val="left"/>
              <w:rPr>
                <w:b/>
              </w:rPr>
            </w:pPr>
            <w:r>
              <w:rPr>
                <w:b/>
              </w:rPr>
              <w:t>8.</w:t>
            </w:r>
          </w:p>
        </w:tc>
        <w:tc>
          <w:tcPr>
            <w:tcW w:w="6994" w:type="dxa"/>
            <w:gridSpan w:val="2"/>
            <w:tcBorders/>
            <w:vAlign w:val="center"/>
          </w:tcPr>
          <w:p>
            <w:pPr>
              <w:pStyle w:val="TableContents"/>
              <w:bidi w:val="0"/>
              <w:spacing w:before="0" w:after="283"/>
              <w:jc w:val="left"/>
              <w:rPr/>
            </w:pPr>
            <w:r>
              <w:rPr/>
              <w:t>Improvements; Alterations; Tenant’s Maintenance and Repair Obligations</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Improvements; Alterations</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Repairs; Maintenance</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Performance of Work</w:t>
            </w:r>
          </w:p>
        </w:tc>
        <w:tc>
          <w:tcPr>
            <w:tcW w:w="905" w:type="dxa"/>
            <w:tcBorders/>
            <w:vAlign w:val="center"/>
          </w:tcPr>
          <w:p>
            <w:pPr>
              <w:pStyle w:val="TableContents"/>
              <w:bidi w:val="0"/>
              <w:spacing w:before="0" w:after="283"/>
              <w:jc w:val="center"/>
              <w:rPr/>
            </w:pPr>
            <w:r>
              <w:rPr/>
              <w:t>7</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Mechanic’s Liens</w:t>
            </w:r>
          </w:p>
        </w:tc>
        <w:tc>
          <w:tcPr>
            <w:tcW w:w="905" w:type="dxa"/>
            <w:tcBorders/>
            <w:vAlign w:val="center"/>
          </w:tcPr>
          <w:p>
            <w:pPr>
              <w:pStyle w:val="TableContents"/>
              <w:bidi w:val="0"/>
              <w:spacing w:before="0" w:after="283"/>
              <w:jc w:val="center"/>
              <w:rPr/>
            </w:pPr>
            <w:r>
              <w:rPr/>
              <w:t>7</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Janitorial Services</w:t>
            </w:r>
          </w:p>
        </w:tc>
        <w:tc>
          <w:tcPr>
            <w:tcW w:w="905" w:type="dxa"/>
            <w:tcBorders/>
            <w:vAlign w:val="center"/>
          </w:tcPr>
          <w:p>
            <w:pPr>
              <w:pStyle w:val="TableContents"/>
              <w:bidi w:val="0"/>
              <w:spacing w:before="0" w:after="283"/>
              <w:jc w:val="center"/>
              <w:rPr/>
            </w:pPr>
            <w:r>
              <w:rPr/>
              <w:t>8</w:t>
            </w:r>
          </w:p>
        </w:tc>
      </w:tr>
      <w:tr>
        <w:trPr/>
        <w:tc>
          <w:tcPr>
            <w:tcW w:w="320" w:type="dxa"/>
            <w:tcBorders/>
            <w:vAlign w:val="center"/>
          </w:tcPr>
          <w:p>
            <w:pPr>
              <w:pStyle w:val="TableContents"/>
              <w:bidi w:val="0"/>
              <w:spacing w:before="0" w:after="283"/>
              <w:jc w:val="left"/>
              <w:rPr>
                <w:b/>
              </w:rPr>
            </w:pPr>
            <w:r>
              <w:rPr>
                <w:b/>
              </w:rPr>
              <w:t>9.</w:t>
            </w:r>
          </w:p>
        </w:tc>
        <w:tc>
          <w:tcPr>
            <w:tcW w:w="6994" w:type="dxa"/>
            <w:gridSpan w:val="2"/>
            <w:tcBorders/>
            <w:vAlign w:val="center"/>
          </w:tcPr>
          <w:p>
            <w:pPr>
              <w:pStyle w:val="TableContents"/>
              <w:bidi w:val="0"/>
              <w:spacing w:before="0" w:after="283"/>
              <w:jc w:val="left"/>
              <w:rPr/>
            </w:pPr>
            <w:r>
              <w:rPr/>
              <w:t>Utilities</w:t>
            </w:r>
          </w:p>
        </w:tc>
        <w:tc>
          <w:tcPr>
            <w:tcW w:w="905" w:type="dxa"/>
            <w:tcBorders/>
            <w:vAlign w:val="center"/>
          </w:tcPr>
          <w:p>
            <w:pPr>
              <w:pStyle w:val="TableContents"/>
              <w:bidi w:val="0"/>
              <w:spacing w:before="0" w:after="283"/>
              <w:jc w:val="center"/>
              <w:rPr/>
            </w:pPr>
            <w:r>
              <w:rPr/>
              <w:t>8</w:t>
            </w:r>
          </w:p>
        </w:tc>
      </w:tr>
      <w:tr>
        <w:trPr/>
        <w:tc>
          <w:tcPr>
            <w:tcW w:w="320" w:type="dxa"/>
            <w:tcBorders/>
            <w:vAlign w:val="center"/>
          </w:tcPr>
          <w:p>
            <w:pPr>
              <w:pStyle w:val="TableContents"/>
              <w:bidi w:val="0"/>
              <w:spacing w:before="0" w:after="283"/>
              <w:jc w:val="left"/>
              <w:rPr>
                <w:b/>
              </w:rPr>
            </w:pPr>
            <w:r>
              <w:rPr>
                <w:b/>
              </w:rPr>
              <w:t>10.</w:t>
            </w:r>
          </w:p>
        </w:tc>
        <w:tc>
          <w:tcPr>
            <w:tcW w:w="6994" w:type="dxa"/>
            <w:gridSpan w:val="2"/>
            <w:tcBorders/>
            <w:vAlign w:val="center"/>
          </w:tcPr>
          <w:p>
            <w:pPr>
              <w:pStyle w:val="TableContents"/>
              <w:bidi w:val="0"/>
              <w:spacing w:before="0" w:after="283"/>
              <w:jc w:val="left"/>
              <w:rPr/>
            </w:pPr>
            <w:r>
              <w:rPr/>
              <w:t>Use and Compliance with Law</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Use</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Compliance with Law</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b/>
              </w:rPr>
            </w:pPr>
            <w:r>
              <w:rPr>
                <w:b/>
              </w:rPr>
              <w:t>11.</w:t>
            </w:r>
          </w:p>
        </w:tc>
        <w:tc>
          <w:tcPr>
            <w:tcW w:w="6994" w:type="dxa"/>
            <w:gridSpan w:val="2"/>
            <w:tcBorders/>
            <w:vAlign w:val="center"/>
          </w:tcPr>
          <w:p>
            <w:pPr>
              <w:pStyle w:val="TableContents"/>
              <w:bidi w:val="0"/>
              <w:spacing w:before="0" w:after="283"/>
              <w:jc w:val="left"/>
              <w:rPr/>
            </w:pPr>
            <w:r>
              <w:rPr/>
              <w:t>Assignment and Subletting</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Transfers</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Consent Standards</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Request for Consent</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Conditions to Consent</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Attornment by Subtenants</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(f)</w:t>
            </w:r>
          </w:p>
        </w:tc>
        <w:tc>
          <w:tcPr>
            <w:tcW w:w="6559" w:type="dxa"/>
            <w:tcBorders/>
            <w:vAlign w:val="center"/>
          </w:tcPr>
          <w:p>
            <w:pPr>
              <w:pStyle w:val="TableContents"/>
              <w:bidi w:val="0"/>
              <w:spacing w:before="0" w:after="283"/>
              <w:jc w:val="left"/>
              <w:rPr/>
            </w:pPr>
            <w:r>
              <w:rPr/>
              <w:t>Cancellation</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(g)</w:t>
            </w:r>
          </w:p>
        </w:tc>
        <w:tc>
          <w:tcPr>
            <w:tcW w:w="6559" w:type="dxa"/>
            <w:tcBorders/>
            <w:vAlign w:val="center"/>
          </w:tcPr>
          <w:p>
            <w:pPr>
              <w:pStyle w:val="TableContents"/>
              <w:bidi w:val="0"/>
              <w:spacing w:before="0" w:after="283"/>
              <w:jc w:val="left"/>
              <w:rPr/>
            </w:pPr>
            <w:r>
              <w:rPr/>
              <w:t>Additional Compensation</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(h)</w:t>
            </w:r>
          </w:p>
        </w:tc>
        <w:tc>
          <w:tcPr>
            <w:tcW w:w="6559" w:type="dxa"/>
            <w:tcBorders/>
            <w:vAlign w:val="center"/>
          </w:tcPr>
          <w:p>
            <w:pPr>
              <w:pStyle w:val="TableContents"/>
              <w:bidi w:val="0"/>
              <w:spacing w:before="0" w:after="283"/>
              <w:jc w:val="left"/>
              <w:rPr/>
            </w:pPr>
            <w:r>
              <w:rPr/>
              <w:t>Permitted Transfers</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b/>
              </w:rPr>
            </w:pPr>
            <w:r>
              <w:rPr>
                <w:b/>
              </w:rPr>
              <w:t>12.</w:t>
            </w:r>
          </w:p>
        </w:tc>
        <w:tc>
          <w:tcPr>
            <w:tcW w:w="6994" w:type="dxa"/>
            <w:gridSpan w:val="2"/>
            <w:tcBorders/>
            <w:vAlign w:val="center"/>
          </w:tcPr>
          <w:p>
            <w:pPr>
              <w:pStyle w:val="TableContents"/>
              <w:bidi w:val="0"/>
              <w:spacing w:before="0" w:after="283"/>
              <w:jc w:val="left"/>
              <w:rPr/>
            </w:pPr>
            <w:r>
              <w:rPr/>
              <w:t>Insurance; Waivers; Subrogation; Indemnity</w:t>
            </w:r>
          </w:p>
        </w:tc>
        <w:tc>
          <w:tcPr>
            <w:tcW w:w="905" w:type="dxa"/>
            <w:tcBorders/>
            <w:vAlign w:val="center"/>
          </w:tcPr>
          <w:p>
            <w:pPr>
              <w:pStyle w:val="TableContents"/>
              <w:bidi w:val="0"/>
              <w:spacing w:before="0" w:after="283"/>
              <w:jc w:val="center"/>
              <w:rPr/>
            </w:pPr>
            <w:r>
              <w:rPr/>
              <w:t>13</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Tenant’s Insurance</w:t>
            </w:r>
          </w:p>
        </w:tc>
        <w:tc>
          <w:tcPr>
            <w:tcW w:w="905" w:type="dxa"/>
            <w:tcBorders/>
            <w:vAlign w:val="center"/>
          </w:tcPr>
          <w:p>
            <w:pPr>
              <w:pStyle w:val="TableContents"/>
              <w:bidi w:val="0"/>
              <w:spacing w:before="0" w:after="283"/>
              <w:jc w:val="center"/>
              <w:rPr/>
            </w:pPr>
            <w:r>
              <w:rPr/>
              <w:t>13</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Landlord’s Insurance</w:t>
            </w:r>
          </w:p>
        </w:tc>
        <w:tc>
          <w:tcPr>
            <w:tcW w:w="905" w:type="dxa"/>
            <w:tcBorders/>
            <w:vAlign w:val="center"/>
          </w:tcPr>
          <w:p>
            <w:pPr>
              <w:pStyle w:val="TableContents"/>
              <w:bidi w:val="0"/>
              <w:spacing w:before="0" w:after="283"/>
              <w:jc w:val="center"/>
              <w:rPr/>
            </w:pPr>
            <w:r>
              <w:rPr/>
              <w:t>14</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No Subrogation; Waiver of Property Claims</w:t>
            </w:r>
          </w:p>
        </w:tc>
        <w:tc>
          <w:tcPr>
            <w:tcW w:w="905" w:type="dxa"/>
            <w:tcBorders/>
            <w:vAlign w:val="center"/>
          </w:tcPr>
          <w:p>
            <w:pPr>
              <w:pStyle w:val="TableContents"/>
              <w:bidi w:val="0"/>
              <w:spacing w:before="0" w:after="283"/>
              <w:jc w:val="center"/>
              <w:rPr/>
            </w:pPr>
            <w:r>
              <w:rPr/>
              <w:t>14</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Indemnity</w:t>
            </w:r>
          </w:p>
        </w:tc>
        <w:tc>
          <w:tcPr>
            <w:tcW w:w="905" w:type="dxa"/>
            <w:tcBorders/>
            <w:vAlign w:val="center"/>
          </w:tcPr>
          <w:p>
            <w:pPr>
              <w:pStyle w:val="TableContents"/>
              <w:bidi w:val="0"/>
              <w:spacing w:before="0" w:after="283"/>
              <w:jc w:val="center"/>
              <w:rPr/>
            </w:pPr>
            <w:r>
              <w:rPr/>
              <w:t>15</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Cost of Landlord’s Insurance</w:t>
            </w:r>
          </w:p>
        </w:tc>
        <w:tc>
          <w:tcPr>
            <w:tcW w:w="905" w:type="dxa"/>
            <w:tcBorders/>
            <w:vAlign w:val="center"/>
          </w:tcPr>
          <w:p>
            <w:pPr>
              <w:pStyle w:val="TableContents"/>
              <w:bidi w:val="0"/>
              <w:spacing w:before="0" w:after="283"/>
              <w:jc w:val="center"/>
              <w:rPr/>
            </w:pPr>
            <w:r>
              <w:rPr/>
              <w:t>15</w:t>
            </w:r>
          </w:p>
        </w:tc>
      </w:tr>
      <w:tr>
        <w:trPr/>
        <w:tc>
          <w:tcPr>
            <w:tcW w:w="320" w:type="dxa"/>
            <w:tcBorders/>
            <w:vAlign w:val="center"/>
          </w:tcPr>
          <w:p>
            <w:pPr>
              <w:pStyle w:val="TableContents"/>
              <w:bidi w:val="0"/>
              <w:spacing w:before="0" w:after="283"/>
              <w:jc w:val="left"/>
              <w:rPr>
                <w:b/>
              </w:rPr>
            </w:pPr>
            <w:r>
              <w:rPr>
                <w:b/>
              </w:rPr>
              <w:t>13.</w:t>
            </w:r>
          </w:p>
        </w:tc>
        <w:tc>
          <w:tcPr>
            <w:tcW w:w="6994" w:type="dxa"/>
            <w:gridSpan w:val="2"/>
            <w:tcBorders/>
            <w:vAlign w:val="center"/>
          </w:tcPr>
          <w:p>
            <w:pPr>
              <w:pStyle w:val="TableContents"/>
              <w:bidi w:val="0"/>
              <w:spacing w:before="0" w:after="283"/>
              <w:jc w:val="left"/>
              <w:rPr/>
            </w:pPr>
            <w:r>
              <w:rPr/>
              <w:t>Subordination; Attornment; Notice to Landlord’s Mortgagee</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Subordination</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Attornment</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Notice to Landlord’s Mortgagee</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Landlord’s Mortgagee’s Protection Provisions</w:t>
            </w:r>
          </w:p>
        </w:tc>
        <w:tc>
          <w:tcPr>
            <w:tcW w:w="905"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14" w:type="dxa"/>
        <w:jc w:val="left"/>
        <w:tblInd w:w="0" w:type="dxa"/>
        <w:tblLayout w:type="fixed"/>
        <w:tblCellMar>
          <w:top w:w="0" w:type="dxa"/>
          <w:left w:w="0" w:type="dxa"/>
          <w:bottom w:w="0" w:type="dxa"/>
          <w:right w:w="0" w:type="dxa"/>
        </w:tblCellMar>
      </w:tblPr>
      <w:tblGrid>
        <w:gridCol w:w="320"/>
        <w:gridCol w:w="439"/>
        <w:gridCol w:w="4935"/>
        <w:gridCol w:w="320"/>
      </w:tblGrid>
      <w:tr>
        <w:trPr/>
        <w:tc>
          <w:tcPr>
            <w:tcW w:w="320" w:type="dxa"/>
            <w:tcBorders/>
            <w:vAlign w:val="center"/>
          </w:tcPr>
          <w:p>
            <w:pPr>
              <w:pStyle w:val="TableContents"/>
              <w:bidi w:val="0"/>
              <w:spacing w:before="0" w:after="283"/>
              <w:jc w:val="left"/>
              <w:rPr>
                <w:b/>
              </w:rPr>
            </w:pPr>
            <w:r>
              <w:rPr>
                <w:b/>
              </w:rPr>
              <w:t>14.</w:t>
            </w:r>
          </w:p>
        </w:tc>
        <w:tc>
          <w:tcPr>
            <w:tcW w:w="5374" w:type="dxa"/>
            <w:gridSpan w:val="2"/>
            <w:tcBorders/>
            <w:vAlign w:val="center"/>
          </w:tcPr>
          <w:p>
            <w:pPr>
              <w:pStyle w:val="TableContents"/>
              <w:bidi w:val="0"/>
              <w:spacing w:before="0" w:after="283"/>
              <w:jc w:val="left"/>
              <w:rPr/>
            </w:pPr>
            <w:r>
              <w:rPr/>
              <w:t>Rules and Regulations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b/>
              </w:rPr>
            </w:pPr>
            <w:r>
              <w:rPr>
                <w:b/>
              </w:rPr>
              <w:t>15.</w:t>
            </w:r>
          </w:p>
        </w:tc>
        <w:tc>
          <w:tcPr>
            <w:tcW w:w="5374" w:type="dxa"/>
            <w:gridSpan w:val="2"/>
            <w:tcBorders/>
            <w:vAlign w:val="center"/>
          </w:tcPr>
          <w:p>
            <w:pPr>
              <w:pStyle w:val="TableContents"/>
              <w:bidi w:val="0"/>
              <w:spacing w:before="0" w:after="283"/>
              <w:jc w:val="left"/>
              <w:rPr/>
            </w:pPr>
            <w:r>
              <w:rPr/>
              <w:t>Condemnation</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Total Taking</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Partial Taking - Tenant’s Rights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Partial Taking - Landlord’s Rights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Temporary Taking</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Award</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b/>
              </w:rPr>
            </w:pPr>
            <w:r>
              <w:rPr>
                <w:b/>
              </w:rPr>
              <w:t>16.</w:t>
            </w:r>
          </w:p>
        </w:tc>
        <w:tc>
          <w:tcPr>
            <w:tcW w:w="5374" w:type="dxa"/>
            <w:gridSpan w:val="2"/>
            <w:tcBorders/>
            <w:vAlign w:val="center"/>
          </w:tcPr>
          <w:p>
            <w:pPr>
              <w:pStyle w:val="TableContents"/>
              <w:bidi w:val="0"/>
              <w:spacing w:before="0" w:after="283"/>
              <w:jc w:val="left"/>
              <w:rPr/>
            </w:pPr>
            <w:r>
              <w:rPr/>
              <w:t>Fire or Other Casualty</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Repair Estimate</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Tenant’s Rights</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Landlord’s Rights</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Repair Obligation</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Abatement of Rent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b/>
              </w:rPr>
            </w:pPr>
            <w:r>
              <w:rPr>
                <w:b/>
              </w:rPr>
              <w:t>17.</w:t>
            </w:r>
          </w:p>
        </w:tc>
        <w:tc>
          <w:tcPr>
            <w:tcW w:w="5374" w:type="dxa"/>
            <w:gridSpan w:val="2"/>
            <w:tcBorders/>
            <w:vAlign w:val="center"/>
          </w:tcPr>
          <w:p>
            <w:pPr>
              <w:pStyle w:val="TableContents"/>
              <w:bidi w:val="0"/>
              <w:spacing w:before="0" w:after="283"/>
              <w:jc w:val="left"/>
              <w:rPr/>
            </w:pPr>
            <w:r>
              <w:rPr/>
              <w:t>Personal Property Taxes</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b/>
              </w:rPr>
            </w:pPr>
            <w:r>
              <w:rPr>
                <w:b/>
              </w:rPr>
              <w:t>18.</w:t>
            </w:r>
          </w:p>
        </w:tc>
        <w:tc>
          <w:tcPr>
            <w:tcW w:w="5374" w:type="dxa"/>
            <w:gridSpan w:val="2"/>
            <w:tcBorders/>
            <w:vAlign w:val="center"/>
          </w:tcPr>
          <w:p>
            <w:pPr>
              <w:pStyle w:val="TableContents"/>
              <w:bidi w:val="0"/>
              <w:spacing w:before="0" w:after="283"/>
              <w:jc w:val="left"/>
              <w:rPr/>
            </w:pPr>
            <w:r>
              <w:rPr/>
              <w:t>Events of Default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Payment Default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Abandonment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Estoppel</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Insurance</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Mechanic’s Liens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(f)</w:t>
            </w:r>
          </w:p>
        </w:tc>
        <w:tc>
          <w:tcPr>
            <w:tcW w:w="4935" w:type="dxa"/>
            <w:tcBorders/>
            <w:vAlign w:val="center"/>
          </w:tcPr>
          <w:p>
            <w:pPr>
              <w:pStyle w:val="TableContents"/>
              <w:bidi w:val="0"/>
              <w:spacing w:before="0" w:after="283"/>
              <w:jc w:val="left"/>
              <w:rPr/>
            </w:pPr>
            <w:r>
              <w:rPr/>
              <w:t>Other Defaults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(g)</w:t>
            </w:r>
          </w:p>
        </w:tc>
        <w:tc>
          <w:tcPr>
            <w:tcW w:w="4935" w:type="dxa"/>
            <w:tcBorders/>
            <w:vAlign w:val="center"/>
          </w:tcPr>
          <w:p>
            <w:pPr>
              <w:pStyle w:val="TableContents"/>
              <w:bidi w:val="0"/>
              <w:spacing w:before="0" w:after="283"/>
              <w:jc w:val="left"/>
              <w:rPr/>
            </w:pPr>
            <w:r>
              <w:rPr/>
              <w:t>Insolvency</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b/>
              </w:rPr>
            </w:pPr>
            <w:r>
              <w:rPr>
                <w:b/>
              </w:rPr>
              <w:t>19.</w:t>
            </w:r>
          </w:p>
        </w:tc>
        <w:tc>
          <w:tcPr>
            <w:tcW w:w="5374" w:type="dxa"/>
            <w:gridSpan w:val="2"/>
            <w:tcBorders/>
            <w:vAlign w:val="center"/>
          </w:tcPr>
          <w:p>
            <w:pPr>
              <w:pStyle w:val="TableContents"/>
              <w:bidi w:val="0"/>
              <w:spacing w:before="0" w:after="283"/>
              <w:jc w:val="left"/>
              <w:rPr/>
            </w:pPr>
            <w:r>
              <w:rPr/>
              <w:t>Remedies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Termination of Lease</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Termination of Possession</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Perform Acts on Behalf of Tenant</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Suspension of Services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Alteration of Locks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b/>
              </w:rPr>
            </w:pPr>
            <w:r>
              <w:rPr>
                <w:b/>
              </w:rPr>
              <w:t>20.</w:t>
            </w:r>
          </w:p>
        </w:tc>
        <w:tc>
          <w:tcPr>
            <w:tcW w:w="5374" w:type="dxa"/>
            <w:gridSpan w:val="2"/>
            <w:tcBorders/>
            <w:vAlign w:val="center"/>
          </w:tcPr>
          <w:p>
            <w:pPr>
              <w:pStyle w:val="TableContents"/>
              <w:bidi w:val="0"/>
              <w:spacing w:before="0" w:after="283"/>
              <w:jc w:val="left"/>
              <w:rPr/>
            </w:pPr>
            <w:r>
              <w:rPr/>
              <w:t>Payment by Tenant; Non-Waiver; Cumulative Remedies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Payment by Tenant</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No Waiver</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Cumulative Remedies</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b/>
              </w:rPr>
            </w:pPr>
            <w:r>
              <w:rPr>
                <w:b/>
              </w:rPr>
              <w:t>21.</w:t>
            </w:r>
          </w:p>
        </w:tc>
        <w:tc>
          <w:tcPr>
            <w:tcW w:w="5374" w:type="dxa"/>
            <w:gridSpan w:val="2"/>
            <w:tcBorders/>
            <w:vAlign w:val="center"/>
          </w:tcPr>
          <w:p>
            <w:pPr>
              <w:pStyle w:val="TableContents"/>
              <w:bidi w:val="0"/>
              <w:spacing w:before="0" w:after="283"/>
              <w:jc w:val="left"/>
              <w:rPr/>
            </w:pPr>
            <w:r>
              <w:rPr/>
              <w:t>Landlord’s Lien</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b/>
              </w:rPr>
            </w:pPr>
            <w:r>
              <w:rPr>
                <w:b/>
              </w:rPr>
              <w:t>22.</w:t>
            </w:r>
          </w:p>
        </w:tc>
        <w:tc>
          <w:tcPr>
            <w:tcW w:w="5374" w:type="dxa"/>
            <w:gridSpan w:val="2"/>
            <w:tcBorders/>
            <w:vAlign w:val="center"/>
          </w:tcPr>
          <w:p>
            <w:pPr>
              <w:pStyle w:val="TableContents"/>
              <w:bidi w:val="0"/>
              <w:spacing w:before="0" w:after="283"/>
              <w:jc w:val="left"/>
              <w:rPr/>
            </w:pPr>
            <w:r>
              <w:rPr/>
              <w:t>Surrender of Premises</w:t>
            </w:r>
          </w:p>
        </w:tc>
        <w:tc>
          <w:tcPr>
            <w:tcW w:w="32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320"/>
        <w:gridCol w:w="350"/>
        <w:gridCol w:w="5075"/>
        <w:gridCol w:w="260"/>
      </w:tblGrid>
      <w:tr>
        <w:trPr/>
        <w:tc>
          <w:tcPr>
            <w:tcW w:w="320" w:type="dxa"/>
            <w:tcBorders/>
            <w:vAlign w:val="center"/>
          </w:tcPr>
          <w:p>
            <w:pPr>
              <w:pStyle w:val="TableContents"/>
              <w:bidi w:val="0"/>
              <w:spacing w:before="0" w:after="283"/>
              <w:jc w:val="left"/>
              <w:rPr>
                <w:b/>
              </w:rPr>
            </w:pPr>
            <w:r>
              <w:rPr>
                <w:b/>
              </w:rPr>
              <w:t>23.</w:t>
            </w:r>
          </w:p>
        </w:tc>
        <w:tc>
          <w:tcPr>
            <w:tcW w:w="5425" w:type="dxa"/>
            <w:gridSpan w:val="2"/>
            <w:tcBorders/>
            <w:vAlign w:val="center"/>
          </w:tcPr>
          <w:p>
            <w:pPr>
              <w:pStyle w:val="TableContents"/>
              <w:bidi w:val="0"/>
              <w:spacing w:before="0" w:after="283"/>
              <w:jc w:val="left"/>
              <w:rPr/>
            </w:pPr>
            <w:r>
              <w:rPr/>
              <w:t>Holding Over</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b/>
              </w:rPr>
            </w:pPr>
            <w:r>
              <w:rPr>
                <w:b/>
              </w:rPr>
              <w:t>24.</w:t>
            </w:r>
          </w:p>
        </w:tc>
        <w:tc>
          <w:tcPr>
            <w:tcW w:w="5425" w:type="dxa"/>
            <w:gridSpan w:val="2"/>
            <w:tcBorders/>
            <w:vAlign w:val="center"/>
          </w:tcPr>
          <w:p>
            <w:pPr>
              <w:pStyle w:val="TableContents"/>
              <w:bidi w:val="0"/>
              <w:spacing w:before="0" w:after="283"/>
              <w:jc w:val="left"/>
              <w:rPr/>
            </w:pPr>
            <w:r>
              <w:rPr/>
              <w:t>Certain Rights Reserved by Landlord</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Building Operations</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Security</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Prospective Purchasers and Lenders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Prospective Tenants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b/>
              </w:rPr>
            </w:pPr>
            <w:r>
              <w:rPr>
                <w:b/>
              </w:rPr>
              <w:t>25.</w:t>
            </w:r>
          </w:p>
        </w:tc>
        <w:tc>
          <w:tcPr>
            <w:tcW w:w="5425" w:type="dxa"/>
            <w:gridSpan w:val="2"/>
            <w:tcBorders/>
            <w:vAlign w:val="center"/>
          </w:tcPr>
          <w:p>
            <w:pPr>
              <w:pStyle w:val="TableContents"/>
              <w:bidi w:val="0"/>
              <w:spacing w:before="0" w:after="283"/>
              <w:jc w:val="left"/>
              <w:rPr/>
            </w:pPr>
            <w:r>
              <w:rPr/>
              <w:t>Intentionally Omitted</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b/>
              </w:rPr>
            </w:pPr>
            <w:r>
              <w:rPr>
                <w:b/>
              </w:rPr>
              <w:t>26.</w:t>
            </w:r>
          </w:p>
        </w:tc>
        <w:tc>
          <w:tcPr>
            <w:tcW w:w="5425" w:type="dxa"/>
            <w:gridSpan w:val="2"/>
            <w:tcBorders/>
            <w:vAlign w:val="center"/>
          </w:tcPr>
          <w:p>
            <w:pPr>
              <w:pStyle w:val="TableContents"/>
              <w:bidi w:val="0"/>
              <w:spacing w:before="0" w:after="283"/>
              <w:jc w:val="left"/>
              <w:rPr/>
            </w:pPr>
            <w:r>
              <w:rPr/>
              <w:t>Miscellaneous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Landlord Transfer</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Landlord’s Liability</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Force Majeure</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Brokerage</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(e)</w:t>
            </w:r>
          </w:p>
        </w:tc>
        <w:tc>
          <w:tcPr>
            <w:tcW w:w="5075" w:type="dxa"/>
            <w:tcBorders/>
            <w:vAlign w:val="center"/>
          </w:tcPr>
          <w:p>
            <w:pPr>
              <w:pStyle w:val="TableContents"/>
              <w:bidi w:val="0"/>
              <w:spacing w:before="0" w:after="283"/>
              <w:jc w:val="left"/>
              <w:rPr/>
            </w:pPr>
            <w:r>
              <w:rPr/>
              <w:t>Estoppel Certificates</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(f)</w:t>
            </w:r>
          </w:p>
        </w:tc>
        <w:tc>
          <w:tcPr>
            <w:tcW w:w="5075" w:type="dxa"/>
            <w:tcBorders/>
            <w:vAlign w:val="center"/>
          </w:tcPr>
          <w:p>
            <w:pPr>
              <w:pStyle w:val="TableContents"/>
              <w:bidi w:val="0"/>
              <w:spacing w:before="0" w:after="283"/>
              <w:jc w:val="left"/>
              <w:rPr/>
            </w:pPr>
            <w:r>
              <w:rPr/>
              <w:t>Notices</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(g)</w:t>
            </w:r>
          </w:p>
        </w:tc>
        <w:tc>
          <w:tcPr>
            <w:tcW w:w="5075" w:type="dxa"/>
            <w:tcBorders/>
            <w:vAlign w:val="center"/>
          </w:tcPr>
          <w:p>
            <w:pPr>
              <w:pStyle w:val="TableContents"/>
              <w:bidi w:val="0"/>
              <w:spacing w:before="0" w:after="283"/>
              <w:jc w:val="left"/>
              <w:rPr/>
            </w:pPr>
            <w:r>
              <w:rPr/>
              <w:t>Separability</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(h)</w:t>
            </w:r>
          </w:p>
        </w:tc>
        <w:tc>
          <w:tcPr>
            <w:tcW w:w="5075" w:type="dxa"/>
            <w:tcBorders/>
            <w:vAlign w:val="center"/>
          </w:tcPr>
          <w:p>
            <w:pPr>
              <w:pStyle w:val="TableContents"/>
              <w:bidi w:val="0"/>
              <w:spacing w:before="0" w:after="283"/>
              <w:jc w:val="left"/>
              <w:rPr/>
            </w:pPr>
            <w:r>
              <w:rPr/>
              <w:t>Amendments; Binding Effect; No Electronic Records</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w:t>
            </w:r>
          </w:p>
        </w:tc>
        <w:tc>
          <w:tcPr>
            <w:tcW w:w="5075" w:type="dxa"/>
            <w:tcBorders/>
            <w:vAlign w:val="center"/>
          </w:tcPr>
          <w:p>
            <w:pPr>
              <w:pStyle w:val="TableContents"/>
              <w:bidi w:val="0"/>
              <w:spacing w:before="0" w:after="283"/>
              <w:jc w:val="left"/>
              <w:rPr/>
            </w:pPr>
            <w:r>
              <w:rPr/>
              <w:t>Quiet Enjoyment</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(j)</w:t>
            </w:r>
          </w:p>
        </w:tc>
        <w:tc>
          <w:tcPr>
            <w:tcW w:w="5075" w:type="dxa"/>
            <w:tcBorders/>
            <w:vAlign w:val="center"/>
          </w:tcPr>
          <w:p>
            <w:pPr>
              <w:pStyle w:val="TableContents"/>
              <w:bidi w:val="0"/>
              <w:spacing w:before="0" w:after="283"/>
              <w:jc w:val="left"/>
              <w:rPr/>
            </w:pPr>
            <w:r>
              <w:rPr/>
              <w:t>Entire Agreement</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(k)</w:t>
            </w:r>
          </w:p>
        </w:tc>
        <w:tc>
          <w:tcPr>
            <w:tcW w:w="5075" w:type="dxa"/>
            <w:tcBorders/>
            <w:vAlign w:val="center"/>
          </w:tcPr>
          <w:p>
            <w:pPr>
              <w:pStyle w:val="TableContents"/>
              <w:bidi w:val="0"/>
              <w:spacing w:before="0" w:after="283"/>
              <w:jc w:val="left"/>
              <w:rPr/>
            </w:pPr>
            <w:r>
              <w:rPr/>
              <w:t>Waiver of Jury Trial</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(l)</w:t>
            </w:r>
          </w:p>
        </w:tc>
        <w:tc>
          <w:tcPr>
            <w:tcW w:w="5075" w:type="dxa"/>
            <w:tcBorders/>
            <w:vAlign w:val="center"/>
          </w:tcPr>
          <w:p>
            <w:pPr>
              <w:pStyle w:val="TableContents"/>
              <w:bidi w:val="0"/>
              <w:spacing w:before="0" w:after="283"/>
              <w:jc w:val="left"/>
              <w:rPr/>
            </w:pPr>
            <w:r>
              <w:rPr/>
              <w:t>Governing Law</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(m)</w:t>
            </w:r>
          </w:p>
        </w:tc>
        <w:tc>
          <w:tcPr>
            <w:tcW w:w="5075" w:type="dxa"/>
            <w:tcBorders/>
            <w:vAlign w:val="center"/>
          </w:tcPr>
          <w:p>
            <w:pPr>
              <w:pStyle w:val="TableContents"/>
              <w:bidi w:val="0"/>
              <w:spacing w:before="0" w:after="283"/>
              <w:jc w:val="left"/>
              <w:rPr/>
            </w:pPr>
            <w:r>
              <w:rPr/>
              <w:t>Recording</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(n)</w:t>
            </w:r>
          </w:p>
        </w:tc>
        <w:tc>
          <w:tcPr>
            <w:tcW w:w="5075" w:type="dxa"/>
            <w:tcBorders/>
            <w:vAlign w:val="center"/>
          </w:tcPr>
          <w:p>
            <w:pPr>
              <w:pStyle w:val="TableContents"/>
              <w:bidi w:val="0"/>
              <w:spacing w:before="0" w:after="283"/>
              <w:jc w:val="left"/>
              <w:rPr/>
            </w:pPr>
            <w:r>
              <w:rPr/>
              <w:t>Water or Mold Notification</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(o)</w:t>
            </w:r>
          </w:p>
        </w:tc>
        <w:tc>
          <w:tcPr>
            <w:tcW w:w="5075" w:type="dxa"/>
            <w:tcBorders/>
            <w:vAlign w:val="center"/>
          </w:tcPr>
          <w:p>
            <w:pPr>
              <w:pStyle w:val="TableContents"/>
              <w:bidi w:val="0"/>
              <w:spacing w:before="0" w:after="283"/>
              <w:jc w:val="left"/>
              <w:rPr/>
            </w:pPr>
            <w:r>
              <w:rPr/>
              <w:t>Joint and Several Liability</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(p)</w:t>
            </w:r>
          </w:p>
        </w:tc>
        <w:tc>
          <w:tcPr>
            <w:tcW w:w="5075" w:type="dxa"/>
            <w:tcBorders/>
            <w:vAlign w:val="center"/>
          </w:tcPr>
          <w:p>
            <w:pPr>
              <w:pStyle w:val="TableContents"/>
              <w:bidi w:val="0"/>
              <w:spacing w:before="0" w:after="283"/>
              <w:jc w:val="left"/>
              <w:rPr/>
            </w:pPr>
            <w:r>
              <w:rPr/>
              <w:t>Financial Reports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(q)</w:t>
            </w:r>
          </w:p>
        </w:tc>
        <w:tc>
          <w:tcPr>
            <w:tcW w:w="5075" w:type="dxa"/>
            <w:tcBorders/>
            <w:vAlign w:val="center"/>
          </w:tcPr>
          <w:p>
            <w:pPr>
              <w:pStyle w:val="TableContents"/>
              <w:bidi w:val="0"/>
              <w:spacing w:before="0" w:after="283"/>
              <w:jc w:val="left"/>
              <w:rPr/>
            </w:pPr>
            <w:r>
              <w:rPr/>
              <w:t>Landlord’s Fees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(r)</w:t>
            </w:r>
          </w:p>
        </w:tc>
        <w:tc>
          <w:tcPr>
            <w:tcW w:w="5075" w:type="dxa"/>
            <w:tcBorders/>
            <w:vAlign w:val="center"/>
          </w:tcPr>
          <w:p>
            <w:pPr>
              <w:pStyle w:val="TableContents"/>
              <w:bidi w:val="0"/>
              <w:spacing w:before="0" w:after="283"/>
              <w:jc w:val="left"/>
              <w:rPr/>
            </w:pPr>
            <w:r>
              <w:rPr/>
              <w:t>Telecommunications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(s)</w:t>
            </w:r>
          </w:p>
        </w:tc>
        <w:tc>
          <w:tcPr>
            <w:tcW w:w="5075" w:type="dxa"/>
            <w:tcBorders/>
            <w:vAlign w:val="center"/>
          </w:tcPr>
          <w:p>
            <w:pPr>
              <w:pStyle w:val="TableContents"/>
              <w:bidi w:val="0"/>
              <w:spacing w:before="0" w:after="283"/>
              <w:jc w:val="left"/>
              <w:rPr/>
            </w:pPr>
            <w:r>
              <w:rPr/>
              <w:t>Confidentiality</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(t)</w:t>
            </w:r>
          </w:p>
        </w:tc>
        <w:tc>
          <w:tcPr>
            <w:tcW w:w="5075" w:type="dxa"/>
            <w:tcBorders/>
            <w:vAlign w:val="center"/>
          </w:tcPr>
          <w:p>
            <w:pPr>
              <w:pStyle w:val="TableContents"/>
              <w:bidi w:val="0"/>
              <w:spacing w:before="0" w:after="283"/>
              <w:jc w:val="left"/>
              <w:rPr/>
            </w:pPr>
            <w:r>
              <w:rPr/>
              <w:t>Authority</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(u)</w:t>
            </w:r>
          </w:p>
        </w:tc>
        <w:tc>
          <w:tcPr>
            <w:tcW w:w="5075" w:type="dxa"/>
            <w:tcBorders/>
            <w:vAlign w:val="center"/>
          </w:tcPr>
          <w:p>
            <w:pPr>
              <w:pStyle w:val="TableContents"/>
              <w:bidi w:val="0"/>
              <w:spacing w:before="0" w:after="283"/>
              <w:jc w:val="left"/>
              <w:rPr/>
            </w:pPr>
            <w:r>
              <w:rPr/>
              <w:t>Security Service</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w:t>
            </w:r>
          </w:p>
        </w:tc>
        <w:tc>
          <w:tcPr>
            <w:tcW w:w="5075" w:type="dxa"/>
            <w:tcBorders/>
            <w:vAlign w:val="center"/>
          </w:tcPr>
          <w:p>
            <w:pPr>
              <w:pStyle w:val="TableContents"/>
              <w:bidi w:val="0"/>
              <w:spacing w:before="0" w:after="283"/>
              <w:jc w:val="left"/>
              <w:rPr/>
            </w:pPr>
            <w:r>
              <w:rPr/>
              <w:t>List of Exhibits</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(w)</w:t>
            </w:r>
          </w:p>
        </w:tc>
        <w:tc>
          <w:tcPr>
            <w:tcW w:w="5075" w:type="dxa"/>
            <w:tcBorders/>
            <w:vAlign w:val="center"/>
          </w:tcPr>
          <w:p>
            <w:pPr>
              <w:pStyle w:val="TableContents"/>
              <w:bidi w:val="0"/>
              <w:spacing w:before="0" w:after="283"/>
              <w:jc w:val="left"/>
              <w:rPr/>
            </w:pPr>
            <w:r>
              <w:rPr/>
              <w:t>Prohibited Persons and Transactions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(x)</w:t>
            </w:r>
          </w:p>
        </w:tc>
        <w:tc>
          <w:tcPr>
            <w:tcW w:w="5075" w:type="dxa"/>
            <w:tcBorders/>
            <w:vAlign w:val="center"/>
          </w:tcPr>
          <w:p>
            <w:pPr>
              <w:pStyle w:val="TableContents"/>
              <w:bidi w:val="0"/>
              <w:spacing w:before="0" w:after="283"/>
              <w:jc w:val="left"/>
              <w:rPr/>
            </w:pPr>
            <w:r>
              <w:rPr/>
              <w:t>Determination of Charges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(y)</w:t>
            </w:r>
          </w:p>
        </w:tc>
        <w:tc>
          <w:tcPr>
            <w:tcW w:w="5075" w:type="dxa"/>
            <w:tcBorders/>
            <w:vAlign w:val="center"/>
          </w:tcPr>
          <w:p>
            <w:pPr>
              <w:pStyle w:val="TableContents"/>
              <w:bidi w:val="0"/>
              <w:spacing w:before="0" w:after="283"/>
              <w:jc w:val="left"/>
              <w:rPr/>
            </w:pPr>
            <w:r>
              <w:rPr/>
              <w:t>No Invasive Testing</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(z)</w:t>
            </w:r>
          </w:p>
        </w:tc>
        <w:tc>
          <w:tcPr>
            <w:tcW w:w="5075" w:type="dxa"/>
            <w:tcBorders/>
            <w:vAlign w:val="center"/>
          </w:tcPr>
          <w:p>
            <w:pPr>
              <w:pStyle w:val="TableContents"/>
              <w:bidi w:val="0"/>
              <w:spacing w:before="0" w:after="283"/>
              <w:jc w:val="left"/>
              <w:rPr/>
            </w:pPr>
            <w:r>
              <w:rPr/>
              <w:t>Counterparts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b/>
              </w:rPr>
            </w:pPr>
            <w:r>
              <w:rPr>
                <w:b/>
              </w:rPr>
              <w:t>27.</w:t>
            </w:r>
          </w:p>
        </w:tc>
        <w:tc>
          <w:tcPr>
            <w:tcW w:w="5425" w:type="dxa"/>
            <w:gridSpan w:val="2"/>
            <w:tcBorders/>
            <w:vAlign w:val="center"/>
          </w:tcPr>
          <w:p>
            <w:pPr>
              <w:pStyle w:val="TableContents"/>
              <w:bidi w:val="0"/>
              <w:spacing w:before="0" w:after="283"/>
              <w:jc w:val="left"/>
              <w:rPr/>
            </w:pPr>
            <w:r>
              <w:rPr/>
              <w:t>Environmental Requirements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Prohibition against Hazardous Materials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Environmental Requirements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Removal of Hazardous Materials</w:t>
            </w:r>
          </w:p>
        </w:tc>
        <w:tc>
          <w:tcPr>
            <w:tcW w:w="260" w:type="dxa"/>
            <w:tcBorders/>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Tenant’s Indemnity</w:t>
            </w:r>
          </w:p>
        </w:tc>
        <w:tc>
          <w:tcPr>
            <w:tcW w:w="260" w:type="dxa"/>
            <w:tcBorders/>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(e)</w:t>
            </w:r>
          </w:p>
        </w:tc>
        <w:tc>
          <w:tcPr>
            <w:tcW w:w="5075" w:type="dxa"/>
            <w:tcBorders/>
            <w:vAlign w:val="center"/>
          </w:tcPr>
          <w:p>
            <w:pPr>
              <w:pStyle w:val="TableContents"/>
              <w:bidi w:val="0"/>
              <w:spacing w:before="0" w:after="283"/>
              <w:jc w:val="left"/>
              <w:rPr/>
            </w:pPr>
            <w:r>
              <w:rPr/>
              <w:t>Inspections and Tests</w:t>
            </w:r>
          </w:p>
        </w:tc>
        <w:tc>
          <w:tcPr>
            <w:tcW w:w="260" w:type="dxa"/>
            <w:tcBorders/>
            <w:vAlign w:val="center"/>
          </w:tcPr>
          <w:p>
            <w:pPr>
              <w:pStyle w:val="TableContents"/>
              <w:bidi w:val="0"/>
              <w:spacing w:before="0" w:after="283"/>
              <w:jc w:val="center"/>
              <w:rPr/>
            </w:pPr>
            <w:r>
              <w:rPr/>
              <w:t>31</w:t>
            </w:r>
          </w:p>
        </w:tc>
      </w:tr>
      <w:tr>
        <w:trPr/>
        <w:tc>
          <w:tcPr>
            <w:tcW w:w="320" w:type="dxa"/>
            <w:tcBorders/>
            <w:vAlign w:val="center"/>
          </w:tcPr>
          <w:p>
            <w:pPr>
              <w:pStyle w:val="TableContents"/>
              <w:bidi w:val="0"/>
              <w:spacing w:before="0" w:after="283"/>
              <w:jc w:val="left"/>
              <w:rPr>
                <w:b/>
              </w:rPr>
            </w:pPr>
            <w:r>
              <w:rPr>
                <w:b/>
              </w:rPr>
              <w:t>28.</w:t>
            </w:r>
          </w:p>
        </w:tc>
        <w:tc>
          <w:tcPr>
            <w:tcW w:w="5425" w:type="dxa"/>
            <w:gridSpan w:val="2"/>
            <w:tcBorders/>
            <w:vAlign w:val="center"/>
          </w:tcPr>
          <w:p>
            <w:pPr>
              <w:pStyle w:val="TableContents"/>
              <w:bidi w:val="0"/>
              <w:spacing w:before="0" w:after="283"/>
              <w:jc w:val="left"/>
              <w:rPr/>
            </w:pPr>
            <w:r>
              <w:rPr/>
              <w:t>Parking</w:t>
            </w:r>
          </w:p>
        </w:tc>
        <w:tc>
          <w:tcPr>
            <w:tcW w:w="26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vi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DEFINED TERMS</w:t>
      </w:r>
    </w:p>
    <w:p>
      <w:pPr>
        <w:pStyle w:val="TextBody"/>
        <w:bidi w:val="0"/>
        <w:spacing w:before="0" w:after="283"/>
        <w:jc w:val="left"/>
        <w:rPr/>
      </w:pPr>
      <w:r>
        <w:rPr/>
        <w:t> </w:t>
      </w:r>
    </w:p>
    <w:tbl>
      <w:tblPr>
        <w:tblW w:w="4345" w:type="dxa"/>
        <w:jc w:val="left"/>
        <w:tblInd w:w="0" w:type="dxa"/>
        <w:tblLayout w:type="fixed"/>
        <w:tblCellMar>
          <w:top w:w="0" w:type="dxa"/>
          <w:left w:w="0" w:type="dxa"/>
          <w:bottom w:w="0" w:type="dxa"/>
          <w:right w:w="0" w:type="dxa"/>
        </w:tblCellMar>
      </w:tblPr>
      <w:tblGrid>
        <w:gridCol w:w="3380"/>
        <w:gridCol w:w="965"/>
      </w:tblGrid>
      <w:tr>
        <w:trPr/>
        <w:tc>
          <w:tcPr>
            <w:tcW w:w="3380" w:type="dxa"/>
            <w:tcBorders/>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before="0" w:after="283"/>
              <w:jc w:val="center"/>
              <w:rPr/>
            </w:pPr>
            <w:r>
              <w:rPr/>
              <w:t xml:space="preserve">Page No. </w:t>
            </w:r>
          </w:p>
        </w:tc>
      </w:tr>
      <w:tr>
        <w:trPr/>
        <w:tc>
          <w:tcPr>
            <w:tcW w:w="3380" w:type="dxa"/>
            <w:tcBorders/>
            <w:vAlign w:val="center"/>
          </w:tcPr>
          <w:p>
            <w:pPr>
              <w:pStyle w:val="TableContents"/>
              <w:bidi w:val="0"/>
              <w:spacing w:before="0" w:after="283"/>
              <w:jc w:val="left"/>
              <w:rPr/>
            </w:pPr>
            <w:r>
              <w:rPr/>
              <w:t>Additional Rent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Affiliate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Basic Lease Information</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Basic Rent</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Building</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Building’s Structure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Building’s Systems</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Casualty</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Code Modification</w:t>
            </w:r>
          </w:p>
        </w:tc>
        <w:tc>
          <w:tcPr>
            <w:tcW w:w="965" w:type="dxa"/>
            <w:tcBorders/>
            <w:vAlign w:val="center"/>
          </w:tcPr>
          <w:p>
            <w:pPr>
              <w:pStyle w:val="TableContents"/>
              <w:bidi w:val="0"/>
              <w:spacing w:before="0" w:after="283"/>
              <w:jc w:val="center"/>
              <w:rPr/>
            </w:pPr>
            <w:r>
              <w:rPr/>
              <w:t>9</w:t>
            </w:r>
          </w:p>
        </w:tc>
      </w:tr>
      <w:tr>
        <w:trPr/>
        <w:tc>
          <w:tcPr>
            <w:tcW w:w="3380" w:type="dxa"/>
            <w:tcBorders/>
            <w:vAlign w:val="center"/>
          </w:tcPr>
          <w:p>
            <w:pPr>
              <w:pStyle w:val="TableContents"/>
              <w:bidi w:val="0"/>
              <w:spacing w:before="0" w:after="283"/>
              <w:jc w:val="left"/>
              <w:rPr/>
            </w:pPr>
            <w:r>
              <w:rPr/>
              <w:t>Collateral</w:t>
            </w:r>
          </w:p>
        </w:tc>
        <w:tc>
          <w:tcPr>
            <w:tcW w:w="965" w:type="dxa"/>
            <w:tcBorders/>
            <w:vAlign w:val="center"/>
          </w:tcPr>
          <w:p>
            <w:pPr>
              <w:pStyle w:val="TableContents"/>
              <w:bidi w:val="0"/>
              <w:spacing w:before="0" w:after="283"/>
              <w:jc w:val="center"/>
              <w:rPr/>
            </w:pPr>
            <w:r>
              <w:rPr/>
              <w:t>22</w:t>
            </w:r>
          </w:p>
        </w:tc>
      </w:tr>
      <w:tr>
        <w:trPr/>
        <w:tc>
          <w:tcPr>
            <w:tcW w:w="3380" w:type="dxa"/>
            <w:tcBorders/>
            <w:vAlign w:val="center"/>
          </w:tcPr>
          <w:p>
            <w:pPr>
              <w:pStyle w:val="TableContents"/>
              <w:bidi w:val="0"/>
              <w:spacing w:before="0" w:after="283"/>
              <w:jc w:val="left"/>
              <w:rPr/>
            </w:pPr>
            <w:r>
              <w:rPr/>
              <w:t>Commencement Date</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Complex</w:t>
            </w:r>
          </w:p>
        </w:tc>
        <w:tc>
          <w:tcPr>
            <w:tcW w:w="965" w:type="dxa"/>
            <w:tcBorders/>
            <w:vAlign w:val="center"/>
          </w:tcPr>
          <w:p>
            <w:pPr>
              <w:pStyle w:val="TableContents"/>
              <w:bidi w:val="0"/>
              <w:spacing w:before="0" w:after="283"/>
              <w:jc w:val="center"/>
              <w:rPr/>
            </w:pPr>
            <w:r>
              <w:rPr/>
              <w:t>3</w:t>
            </w:r>
          </w:p>
        </w:tc>
      </w:tr>
      <w:tr>
        <w:trPr/>
        <w:tc>
          <w:tcPr>
            <w:tcW w:w="3380" w:type="dxa"/>
            <w:tcBorders/>
            <w:vAlign w:val="center"/>
          </w:tcPr>
          <w:p>
            <w:pPr>
              <w:pStyle w:val="TableContents"/>
              <w:bidi w:val="0"/>
              <w:spacing w:before="0" w:after="283"/>
              <w:jc w:val="left"/>
              <w:rPr/>
            </w:pPr>
            <w:r>
              <w:rPr/>
              <w:t>Damage Notice</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Default Rate</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Environmental Requirements</w:t>
            </w:r>
          </w:p>
        </w:tc>
        <w:tc>
          <w:tcPr>
            <w:tcW w:w="965" w:type="dxa"/>
            <w:tcBorders/>
            <w:vAlign w:val="center"/>
          </w:tcPr>
          <w:p>
            <w:pPr>
              <w:pStyle w:val="TableContents"/>
              <w:bidi w:val="0"/>
              <w:spacing w:before="0" w:after="283"/>
              <w:jc w:val="center"/>
              <w:rPr/>
            </w:pPr>
            <w:r>
              <w:rPr/>
              <w:t>29</w:t>
            </w:r>
          </w:p>
        </w:tc>
      </w:tr>
      <w:tr>
        <w:trPr/>
        <w:tc>
          <w:tcPr>
            <w:tcW w:w="3380" w:type="dxa"/>
            <w:tcBorders/>
            <w:vAlign w:val="center"/>
          </w:tcPr>
          <w:p>
            <w:pPr>
              <w:pStyle w:val="TableContents"/>
              <w:bidi w:val="0"/>
              <w:spacing w:before="0" w:after="283"/>
              <w:jc w:val="left"/>
              <w:rPr/>
            </w:pPr>
            <w:r>
              <w:rPr/>
              <w:t>Estimated Delivery Date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Event of Default</w:t>
            </w:r>
          </w:p>
        </w:tc>
        <w:tc>
          <w:tcPr>
            <w:tcW w:w="965" w:type="dxa"/>
            <w:tcBorders/>
            <w:vAlign w:val="center"/>
          </w:tcPr>
          <w:p>
            <w:pPr>
              <w:pStyle w:val="TableContents"/>
              <w:bidi w:val="0"/>
              <w:spacing w:before="0" w:after="283"/>
              <w:jc w:val="center"/>
              <w:rPr/>
            </w:pPr>
            <w:r>
              <w:rPr/>
              <w:t>19</w:t>
            </w:r>
          </w:p>
        </w:tc>
      </w:tr>
      <w:tr>
        <w:trPr/>
        <w:tc>
          <w:tcPr>
            <w:tcW w:w="3380" w:type="dxa"/>
            <w:tcBorders/>
            <w:vAlign w:val="center"/>
          </w:tcPr>
          <w:p>
            <w:pPr>
              <w:pStyle w:val="TableContents"/>
              <w:bidi w:val="0"/>
              <w:spacing w:before="0" w:after="283"/>
              <w:jc w:val="left"/>
              <w:rPr/>
            </w:pPr>
            <w:r>
              <w:rPr/>
              <w:t>GAAP</w:t>
            </w:r>
          </w:p>
        </w:tc>
        <w:tc>
          <w:tcPr>
            <w:tcW w:w="965" w:type="dxa"/>
            <w:tcBorders/>
            <w:vAlign w:val="center"/>
          </w:tcPr>
          <w:p>
            <w:pPr>
              <w:pStyle w:val="TableContents"/>
              <w:bidi w:val="0"/>
              <w:spacing w:before="0" w:after="283"/>
              <w:jc w:val="center"/>
              <w:rPr/>
            </w:pPr>
            <w:r>
              <w:rPr/>
              <w:t>13</w:t>
            </w:r>
          </w:p>
        </w:tc>
      </w:tr>
      <w:tr>
        <w:trPr/>
        <w:tc>
          <w:tcPr>
            <w:tcW w:w="3380" w:type="dxa"/>
            <w:tcBorders/>
            <w:vAlign w:val="center"/>
          </w:tcPr>
          <w:p>
            <w:pPr>
              <w:pStyle w:val="TableContents"/>
              <w:bidi w:val="0"/>
              <w:spacing w:before="0" w:after="283"/>
              <w:jc w:val="left"/>
              <w:rPr/>
            </w:pPr>
            <w:r>
              <w:rPr/>
              <w:t>Governmental Requirements</w:t>
            </w:r>
          </w:p>
        </w:tc>
        <w:tc>
          <w:tcPr>
            <w:tcW w:w="965" w:type="dxa"/>
            <w:tcBorders/>
            <w:vAlign w:val="center"/>
          </w:tcPr>
          <w:p>
            <w:pPr>
              <w:pStyle w:val="TableContents"/>
              <w:bidi w:val="0"/>
              <w:spacing w:before="0" w:after="283"/>
              <w:jc w:val="center"/>
              <w:rPr/>
            </w:pPr>
            <w:r>
              <w:rPr/>
              <w:t>9</w:t>
            </w:r>
          </w:p>
        </w:tc>
      </w:tr>
      <w:tr>
        <w:trPr/>
        <w:tc>
          <w:tcPr>
            <w:tcW w:w="3380" w:type="dxa"/>
            <w:tcBorders/>
            <w:vAlign w:val="center"/>
          </w:tcPr>
          <w:p>
            <w:pPr>
              <w:pStyle w:val="TableContents"/>
              <w:bidi w:val="0"/>
              <w:spacing w:before="0" w:after="283"/>
              <w:jc w:val="left"/>
              <w:rPr/>
            </w:pPr>
            <w:r>
              <w:rPr/>
              <w:t>Hazardous Materials</w:t>
            </w:r>
          </w:p>
        </w:tc>
        <w:tc>
          <w:tcPr>
            <w:tcW w:w="965" w:type="dxa"/>
            <w:tcBorders/>
            <w:vAlign w:val="center"/>
          </w:tcPr>
          <w:p>
            <w:pPr>
              <w:pStyle w:val="TableContents"/>
              <w:bidi w:val="0"/>
              <w:spacing w:before="0" w:after="283"/>
              <w:jc w:val="center"/>
              <w:rPr/>
            </w:pPr>
            <w:r>
              <w:rPr/>
              <w:t>30</w:t>
            </w:r>
          </w:p>
        </w:tc>
      </w:tr>
      <w:tr>
        <w:trPr/>
        <w:tc>
          <w:tcPr>
            <w:tcW w:w="3380" w:type="dxa"/>
            <w:tcBorders/>
            <w:vAlign w:val="center"/>
          </w:tcPr>
          <w:p>
            <w:pPr>
              <w:pStyle w:val="TableContents"/>
              <w:bidi w:val="0"/>
              <w:spacing w:before="0" w:after="283"/>
              <w:jc w:val="left"/>
              <w:rPr/>
            </w:pPr>
            <w:r>
              <w:rPr/>
              <w:t>including</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Insurance Costs</w:t>
            </w:r>
          </w:p>
        </w:tc>
        <w:tc>
          <w:tcPr>
            <w:tcW w:w="965" w:type="dxa"/>
            <w:tcBorders/>
            <w:vAlign w:val="center"/>
          </w:tcPr>
          <w:p>
            <w:pPr>
              <w:pStyle w:val="TableContents"/>
              <w:bidi w:val="0"/>
              <w:spacing w:before="0" w:after="283"/>
              <w:jc w:val="center"/>
              <w:rPr/>
            </w:pPr>
            <w:r>
              <w:rPr/>
              <w:t>15</w:t>
            </w:r>
          </w:p>
        </w:tc>
      </w:tr>
      <w:tr>
        <w:trPr/>
        <w:tc>
          <w:tcPr>
            <w:tcW w:w="3380" w:type="dxa"/>
            <w:tcBorders/>
            <w:vAlign w:val="center"/>
          </w:tcPr>
          <w:p>
            <w:pPr>
              <w:pStyle w:val="TableContents"/>
              <w:bidi w:val="0"/>
              <w:spacing w:before="0" w:after="283"/>
              <w:jc w:val="left"/>
              <w:rPr/>
            </w:pPr>
            <w:r>
              <w:rPr/>
              <w:t>Land</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Landlord</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Landlord’s Mortgagee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Law</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Laws</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Lease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Lease Month</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Loss</w:t>
            </w:r>
          </w:p>
        </w:tc>
        <w:tc>
          <w:tcPr>
            <w:tcW w:w="965" w:type="dxa"/>
            <w:tcBorders/>
            <w:vAlign w:val="center"/>
          </w:tcPr>
          <w:p>
            <w:pPr>
              <w:pStyle w:val="TableContents"/>
              <w:bidi w:val="0"/>
              <w:spacing w:before="0" w:after="283"/>
              <w:jc w:val="center"/>
              <w:rPr/>
            </w:pPr>
            <w:r>
              <w:rPr/>
              <w:t>15</w:t>
            </w:r>
          </w:p>
        </w:tc>
      </w:tr>
      <w:tr>
        <w:trPr/>
        <w:tc>
          <w:tcPr>
            <w:tcW w:w="3380" w:type="dxa"/>
            <w:tcBorders/>
            <w:vAlign w:val="center"/>
          </w:tcPr>
          <w:p>
            <w:pPr>
              <w:pStyle w:val="TableContents"/>
              <w:bidi w:val="0"/>
              <w:spacing w:before="0" w:after="283"/>
              <w:jc w:val="left"/>
              <w:rPr/>
            </w:pPr>
            <w:r>
              <w:rPr/>
              <w:t>Mortgage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OFAC</w:t>
            </w:r>
          </w:p>
        </w:tc>
        <w:tc>
          <w:tcPr>
            <w:tcW w:w="965" w:type="dxa"/>
            <w:tcBorders/>
            <w:vAlign w:val="center"/>
          </w:tcPr>
          <w:p>
            <w:pPr>
              <w:pStyle w:val="TableContents"/>
              <w:bidi w:val="0"/>
              <w:spacing w:before="0" w:after="283"/>
              <w:jc w:val="center"/>
              <w:rPr/>
            </w:pPr>
            <w:r>
              <w:rPr/>
              <w:t>10</w:t>
            </w:r>
          </w:p>
        </w:tc>
      </w:tr>
      <w:tr>
        <w:trPr/>
        <w:tc>
          <w:tcPr>
            <w:tcW w:w="3380" w:type="dxa"/>
            <w:tcBorders/>
            <w:vAlign w:val="center"/>
          </w:tcPr>
          <w:p>
            <w:pPr>
              <w:pStyle w:val="TableContents"/>
              <w:bidi w:val="0"/>
              <w:spacing w:before="0" w:after="283"/>
              <w:jc w:val="left"/>
              <w:rPr/>
            </w:pPr>
            <w:r>
              <w:rPr/>
              <w:t>Operating Costs</w:t>
            </w:r>
          </w:p>
        </w:tc>
        <w:tc>
          <w:tcPr>
            <w:tcW w:w="965" w:type="dxa"/>
            <w:tcBorders/>
            <w:vAlign w:val="center"/>
          </w:tcPr>
          <w:p>
            <w:pPr>
              <w:pStyle w:val="TableContents"/>
              <w:bidi w:val="0"/>
              <w:spacing w:before="0" w:after="283"/>
              <w:jc w:val="center"/>
              <w:rPr/>
            </w:pPr>
            <w:r>
              <w:rPr/>
              <w:t>2</w:t>
            </w:r>
          </w:p>
        </w:tc>
      </w:tr>
      <w:tr>
        <w:trPr/>
        <w:tc>
          <w:tcPr>
            <w:tcW w:w="3380" w:type="dxa"/>
            <w:tcBorders/>
            <w:vAlign w:val="center"/>
          </w:tcPr>
          <w:p>
            <w:pPr>
              <w:pStyle w:val="TableContents"/>
              <w:bidi w:val="0"/>
              <w:spacing w:before="0" w:after="283"/>
              <w:jc w:val="left"/>
              <w:rPr/>
            </w:pPr>
            <w:r>
              <w:rPr/>
              <w:t>Operating Costs and Tax Statement</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Permitted Transfer</w:t>
            </w:r>
          </w:p>
        </w:tc>
        <w:tc>
          <w:tcPr>
            <w:tcW w:w="965" w:type="dxa"/>
            <w:tcBorders/>
            <w:vAlign w:val="center"/>
          </w:tcPr>
          <w:p>
            <w:pPr>
              <w:pStyle w:val="TableContents"/>
              <w:bidi w:val="0"/>
              <w:spacing w:before="0" w:after="283"/>
              <w:jc w:val="center"/>
              <w:rPr/>
            </w:pPr>
            <w:r>
              <w:rPr/>
              <w:t>12</w:t>
            </w:r>
          </w:p>
        </w:tc>
      </w:tr>
      <w:tr>
        <w:trPr/>
        <w:tc>
          <w:tcPr>
            <w:tcW w:w="3380" w:type="dxa"/>
            <w:tcBorders/>
            <w:vAlign w:val="center"/>
          </w:tcPr>
          <w:p>
            <w:pPr>
              <w:pStyle w:val="TableContents"/>
              <w:bidi w:val="0"/>
              <w:spacing w:before="0" w:after="283"/>
              <w:jc w:val="left"/>
              <w:rPr/>
            </w:pPr>
            <w:r>
              <w:rPr/>
              <w:t>Permitted Transferee</w:t>
            </w:r>
          </w:p>
        </w:tc>
        <w:tc>
          <w:tcPr>
            <w:tcW w:w="965" w:type="dxa"/>
            <w:tcBorders/>
            <w:vAlign w:val="center"/>
          </w:tcPr>
          <w:p>
            <w:pPr>
              <w:pStyle w:val="TableContents"/>
              <w:bidi w:val="0"/>
              <w:spacing w:before="0" w:after="283"/>
              <w:jc w:val="center"/>
              <w:rPr/>
            </w:pPr>
            <w:r>
              <w:rPr/>
              <w:t>12</w:t>
            </w:r>
          </w:p>
        </w:tc>
      </w:tr>
      <w:tr>
        <w:trPr/>
        <w:tc>
          <w:tcPr>
            <w:tcW w:w="3380" w:type="dxa"/>
            <w:tcBorders/>
            <w:vAlign w:val="center"/>
          </w:tcPr>
          <w:p>
            <w:pPr>
              <w:pStyle w:val="TableContents"/>
              <w:bidi w:val="0"/>
              <w:spacing w:before="0" w:after="283"/>
              <w:jc w:val="left"/>
              <w:rPr/>
            </w:pPr>
            <w:r>
              <w:rPr/>
              <w:t>Permitted Use</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Premises</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Primary Lease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Project</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PSA</w:t>
            </w:r>
          </w:p>
        </w:tc>
        <w:tc>
          <w:tcPr>
            <w:tcW w:w="965" w:type="dxa"/>
            <w:tcBorders/>
            <w:vAlign w:val="center"/>
          </w:tcPr>
          <w:p>
            <w:pPr>
              <w:pStyle w:val="TableContents"/>
              <w:bidi w:val="0"/>
              <w:spacing w:before="0" w:after="283"/>
              <w:jc w:val="center"/>
              <w:rPr/>
            </w:pPr>
            <w:r>
              <w:rPr/>
              <w:t>5</w:t>
            </w:r>
          </w:p>
        </w:tc>
      </w:tr>
      <w:tr>
        <w:trPr/>
        <w:tc>
          <w:tcPr>
            <w:tcW w:w="3380" w:type="dxa"/>
            <w:tcBorders/>
            <w:vAlign w:val="center"/>
          </w:tcPr>
          <w:p>
            <w:pPr>
              <w:pStyle w:val="TableContents"/>
              <w:bidi w:val="0"/>
              <w:spacing w:before="0" w:after="283"/>
              <w:jc w:val="left"/>
              <w:rPr/>
            </w:pPr>
            <w:r>
              <w:rPr/>
              <w:t>Punchlist Items</w:t>
            </w:r>
          </w:p>
        </w:tc>
        <w:tc>
          <w:tcPr>
            <w:tcW w:w="965" w:type="dxa"/>
            <w:tcBorders/>
            <w:vAlign w:val="center"/>
          </w:tcPr>
          <w:p>
            <w:pPr>
              <w:pStyle w:val="TableContents"/>
              <w:bidi w:val="0"/>
              <w:spacing w:before="0" w:after="283"/>
              <w:jc w:val="center"/>
              <w:rPr/>
            </w:pPr>
            <w:r>
              <w:rPr/>
              <w:t>E-3</w:t>
            </w:r>
          </w:p>
        </w:tc>
      </w:tr>
      <w:tr>
        <w:trPr/>
        <w:tc>
          <w:tcPr>
            <w:tcW w:w="3380" w:type="dxa"/>
            <w:tcBorders/>
            <w:vAlign w:val="center"/>
          </w:tcPr>
          <w:p>
            <w:pPr>
              <w:pStyle w:val="TableContents"/>
              <w:bidi w:val="0"/>
              <w:spacing w:before="0" w:after="283"/>
              <w:jc w:val="left"/>
              <w:rPr/>
            </w:pPr>
            <w:r>
              <w:rPr/>
              <w:t>Rent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Repair Period</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Security Deposit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Substantial Completion</w:t>
            </w:r>
          </w:p>
        </w:tc>
        <w:tc>
          <w:tcPr>
            <w:tcW w:w="965" w:type="dxa"/>
            <w:tcBorders/>
            <w:vAlign w:val="center"/>
          </w:tcPr>
          <w:p>
            <w:pPr>
              <w:pStyle w:val="TableContents"/>
              <w:bidi w:val="0"/>
              <w:spacing w:before="0" w:after="283"/>
              <w:jc w:val="center"/>
              <w:rPr/>
            </w:pPr>
            <w:r>
              <w:rPr/>
              <w:t>D-1</w:t>
            </w:r>
          </w:p>
        </w:tc>
      </w:tr>
      <w:tr>
        <w:trPr/>
        <w:tc>
          <w:tcPr>
            <w:tcW w:w="3380" w:type="dxa"/>
            <w:tcBorders/>
            <w:vAlign w:val="center"/>
          </w:tcPr>
          <w:p>
            <w:pPr>
              <w:pStyle w:val="TableContents"/>
              <w:bidi w:val="0"/>
              <w:spacing w:before="0" w:after="283"/>
              <w:jc w:val="left"/>
              <w:rPr/>
            </w:pPr>
            <w:r>
              <w:rPr/>
              <w:t>Substantially Completed</w:t>
            </w:r>
          </w:p>
        </w:tc>
        <w:tc>
          <w:tcPr>
            <w:tcW w:w="965" w:type="dxa"/>
            <w:tcBorders/>
            <w:vAlign w:val="center"/>
          </w:tcPr>
          <w:p>
            <w:pPr>
              <w:pStyle w:val="TableContents"/>
              <w:bidi w:val="0"/>
              <w:spacing w:before="0" w:after="283"/>
              <w:jc w:val="center"/>
              <w:rPr/>
            </w:pPr>
            <w:r>
              <w:rPr/>
              <w:t>D-1</w:t>
            </w:r>
          </w:p>
        </w:tc>
      </w:tr>
      <w:tr>
        <w:trPr/>
        <w:tc>
          <w:tcPr>
            <w:tcW w:w="3380" w:type="dxa"/>
            <w:tcBorders/>
            <w:vAlign w:val="center"/>
          </w:tcPr>
          <w:p>
            <w:pPr>
              <w:pStyle w:val="TableContents"/>
              <w:bidi w:val="0"/>
              <w:spacing w:before="0" w:after="283"/>
              <w:jc w:val="left"/>
              <w:rPr/>
            </w:pPr>
            <w:r>
              <w:rPr/>
              <w:t>Taking</w:t>
            </w:r>
          </w:p>
        </w:tc>
        <w:tc>
          <w:tcPr>
            <w:tcW w:w="965" w:type="dxa"/>
            <w:tcBorders/>
            <w:vAlign w:val="center"/>
          </w:tcPr>
          <w:p>
            <w:pPr>
              <w:pStyle w:val="TableContents"/>
              <w:bidi w:val="0"/>
              <w:spacing w:before="0" w:after="283"/>
              <w:jc w:val="center"/>
              <w:rPr/>
            </w:pPr>
            <w:r>
              <w:rPr/>
              <w:t>17</w:t>
            </w:r>
          </w:p>
        </w:tc>
      </w:tr>
      <w:tr>
        <w:trPr/>
        <w:tc>
          <w:tcPr>
            <w:tcW w:w="3380" w:type="dxa"/>
            <w:tcBorders/>
            <w:vAlign w:val="center"/>
          </w:tcPr>
          <w:p>
            <w:pPr>
              <w:pStyle w:val="TableContents"/>
              <w:bidi w:val="0"/>
              <w:spacing w:before="0" w:after="283"/>
              <w:jc w:val="left"/>
              <w:rPr/>
            </w:pPr>
            <w:r>
              <w:rPr/>
              <w:t>Tangible Net Worth</w:t>
            </w:r>
          </w:p>
        </w:tc>
        <w:tc>
          <w:tcPr>
            <w:tcW w:w="965" w:type="dxa"/>
            <w:tcBorders/>
            <w:vAlign w:val="center"/>
          </w:tcPr>
          <w:p>
            <w:pPr>
              <w:pStyle w:val="TableContents"/>
              <w:bidi w:val="0"/>
              <w:spacing w:before="0" w:after="283"/>
              <w:jc w:val="center"/>
              <w:rPr/>
            </w:pPr>
            <w:r>
              <w:rPr/>
              <w:t>13</w:t>
            </w:r>
          </w:p>
        </w:tc>
      </w:tr>
      <w:tr>
        <w:trPr/>
        <w:tc>
          <w:tcPr>
            <w:tcW w:w="3380" w:type="dxa"/>
            <w:tcBorders/>
            <w:vAlign w:val="center"/>
          </w:tcPr>
          <w:p>
            <w:pPr>
              <w:pStyle w:val="TableContents"/>
              <w:bidi w:val="0"/>
              <w:spacing w:before="0" w:after="283"/>
              <w:jc w:val="left"/>
              <w:rPr/>
            </w:pPr>
            <w:r>
              <w:rPr/>
              <w:t>Taxes</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Telecommunications Services</w:t>
            </w:r>
          </w:p>
        </w:tc>
        <w:tc>
          <w:tcPr>
            <w:tcW w:w="965" w:type="dxa"/>
            <w:tcBorders/>
            <w:vAlign w:val="center"/>
          </w:tcPr>
          <w:p>
            <w:pPr>
              <w:pStyle w:val="TableContents"/>
              <w:bidi w:val="0"/>
              <w:spacing w:before="0" w:after="283"/>
              <w:jc w:val="center"/>
              <w:rPr/>
            </w:pPr>
            <w:r>
              <w:rPr/>
              <w:t>27</w:t>
            </w:r>
          </w:p>
        </w:tc>
      </w:tr>
      <w:tr>
        <w:trPr/>
        <w:tc>
          <w:tcPr>
            <w:tcW w:w="3380" w:type="dxa"/>
            <w:tcBorders/>
            <w:vAlign w:val="center"/>
          </w:tcPr>
          <w:p>
            <w:pPr>
              <w:pStyle w:val="TableContents"/>
              <w:bidi w:val="0"/>
              <w:spacing w:before="0" w:after="283"/>
              <w:jc w:val="left"/>
              <w:rPr/>
            </w:pPr>
            <w:r>
              <w:rPr/>
              <w:t>Tenant</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 Party</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Tenant’s Off-Premises Equipment</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Tenant’s Proportionate Share</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Term</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Transfer</w:t>
            </w:r>
          </w:p>
        </w:tc>
        <w:tc>
          <w:tcPr>
            <w:tcW w:w="965" w:type="dxa"/>
            <w:tcBorders/>
            <w:vAlign w:val="center"/>
          </w:tcPr>
          <w:p>
            <w:pPr>
              <w:pStyle w:val="TableContents"/>
              <w:bidi w:val="0"/>
              <w:spacing w:before="0" w:after="283"/>
              <w:jc w:val="center"/>
              <w:rPr/>
            </w:pPr>
            <w:r>
              <w:rPr/>
              <w:t>10</w:t>
            </w:r>
          </w:p>
        </w:tc>
      </w:tr>
      <w:tr>
        <w:trPr/>
        <w:tc>
          <w:tcPr>
            <w:tcW w:w="3380" w:type="dxa"/>
            <w:tcBorders/>
            <w:vAlign w:val="center"/>
          </w:tcPr>
          <w:p>
            <w:pPr>
              <w:pStyle w:val="TableContents"/>
              <w:bidi w:val="0"/>
              <w:spacing w:before="0" w:after="283"/>
              <w:jc w:val="left"/>
              <w:rPr/>
            </w:pPr>
            <w:r>
              <w:rPr/>
              <w:t>UCC</w:t>
            </w:r>
          </w:p>
        </w:tc>
        <w:tc>
          <w:tcPr>
            <w:tcW w:w="965"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vii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Agreement (this “</w:t>
      </w:r>
      <w:r>
        <w:rPr>
          <w:rFonts w:ascii="Times New Roman;Times;Serif" w:hAnsi="Times New Roman;Times;Serif"/>
          <w:b/>
          <w:i w:val="false"/>
          <w:caps w:val="false"/>
          <w:smallCaps w:val="false"/>
          <w:sz w:val="20"/>
          <w:u w:val="single"/>
        </w:rPr>
        <w:t>Lease</w:t>
      </w:r>
      <w:r>
        <w:rPr>
          <w:rFonts w:ascii="Times New Roman;Times;Serif" w:hAnsi="Times New Roman;Times;Serif"/>
          <w:b w:val="false"/>
          <w:i w:val="false"/>
          <w:caps w:val="false"/>
          <w:smallCaps w:val="false"/>
          <w:sz w:val="20"/>
        </w:rPr>
        <w:t>”) is entered into as of May _</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_, 2026, between Hightower Phase I Owner, LLC, a Delaware limited liability company (“</w:t>
      </w:r>
      <w:r>
        <w:rPr>
          <w:rFonts w:ascii="Times New Roman;Times;Serif" w:hAnsi="Times New Roman;Times;Serif"/>
          <w:b/>
          <w:i w:val="false"/>
          <w:caps w:val="false"/>
          <w:smallCaps w:val="false"/>
          <w:sz w:val="20"/>
          <w:u w:val="single"/>
        </w:rPr>
        <w:t>Landlord</w:t>
      </w:r>
      <w:r>
        <w:rPr>
          <w:rFonts w:ascii="Times New Roman;Times;Serif" w:hAnsi="Times New Roman;Times;Serif"/>
          <w:b w:val="false"/>
          <w:i w:val="false"/>
          <w:caps w:val="false"/>
          <w:smallCaps w:val="false"/>
          <w:sz w:val="20"/>
        </w:rPr>
        <w:t>”), and Applied Optoelectronics, Inc., a Delaware corporation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 and Basic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definitions and basic provisions set forth in the Basic Lease Information (the “</w:t>
      </w:r>
      <w:r>
        <w:rPr>
          <w:rFonts w:ascii="Times New Roman;Times;Serif" w:hAnsi="Times New Roman;Times;Serif"/>
          <w:b/>
          <w:i w:val="false"/>
          <w:caps w:val="false"/>
          <w:smallCaps w:val="false"/>
          <w:sz w:val="20"/>
          <w:u w:val="single"/>
        </w:rPr>
        <w:t>Basic Lease Information</w:t>
      </w:r>
      <w:r>
        <w:rPr>
          <w:rFonts w:ascii="Times New Roman;Times;Serif" w:hAnsi="Times New Roman;Times;Serif"/>
          <w:b w:val="false"/>
          <w:i w:val="false"/>
          <w:caps w:val="false"/>
          <w:smallCaps w:val="false"/>
          <w:sz w:val="20"/>
        </w:rPr>
        <w:t>”) set forth above are incorporated herein by reference for all purposes. Additionally, the following terms shall have the following meanings when used in this Lease: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or entity which, directly or indirectly controls, is controlled by, or is under common control with the party in question; “</w:t>
      </w:r>
      <w:r>
        <w:rPr>
          <w:rFonts w:ascii="Times New Roman;Times;Serif" w:hAnsi="Times New Roman;Times;Serif"/>
          <w:b/>
          <w:i w:val="false"/>
          <w:caps w:val="false"/>
          <w:smallCaps w:val="false"/>
          <w:sz w:val="20"/>
          <w:u w:val="single"/>
        </w:rPr>
        <w:t>Building’s Structure</w:t>
      </w:r>
      <w:r>
        <w:rPr>
          <w:rFonts w:ascii="Times New Roman;Times;Serif" w:hAnsi="Times New Roman;Times;Serif"/>
          <w:b w:val="false"/>
          <w:i w:val="false"/>
          <w:caps w:val="false"/>
          <w:smallCaps w:val="false"/>
          <w:sz w:val="20"/>
        </w:rPr>
        <w:t>” means the Building’s exterior walls, roof, elevator shafts, footings, foundations, structural portions of load-bearing walls, structural floors and subfloors, and structural columns and beams; “</w:t>
      </w:r>
      <w:r>
        <w:rPr>
          <w:rFonts w:ascii="Times New Roman;Times;Serif" w:hAnsi="Times New Roman;Times;Serif"/>
          <w:b/>
          <w:i w:val="false"/>
          <w:caps w:val="false"/>
          <w:smallCaps w:val="false"/>
          <w:sz w:val="20"/>
          <w:u w:val="single"/>
        </w:rPr>
        <w:t>Building’s Systems</w:t>
      </w:r>
      <w:r>
        <w:rPr>
          <w:rFonts w:ascii="Times New Roman;Times;Serif" w:hAnsi="Times New Roman;Times;Serif"/>
          <w:b w:val="false"/>
          <w:i w:val="false"/>
          <w:caps w:val="false"/>
          <w:smallCaps w:val="false"/>
          <w:sz w:val="20"/>
        </w:rPr>
        <w:t>” means the Building’s HVAC, life-safety, plumbing, electrical, and mechanical systems;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w:t>
      </w:r>
      <w:r>
        <w:rPr>
          <w:rFonts w:ascii="Times New Roman;Times;Serif" w:hAnsi="Times New Roman;Times;Serif"/>
          <w:b/>
          <w:i w:val="false"/>
          <w:caps w:val="false"/>
          <w:smallCaps w:val="false"/>
          <w:sz w:val="20"/>
          <w:u w:val="single"/>
        </w:rPr>
        <w:t>Laws</w:t>
      </w:r>
      <w:r>
        <w:rPr>
          <w:rFonts w:ascii="Times New Roman;Times;Serif" w:hAnsi="Times New Roman;Times;Serif"/>
          <w:b w:val="false"/>
          <w:i w:val="false"/>
          <w:caps w:val="false"/>
          <w:smallCaps w:val="false"/>
          <w:sz w:val="20"/>
        </w:rPr>
        <w:t>” means all federal, state, and local laws, ordinances, rules and regulations, all court orders, governmental directives, and governmental orders, and all interpretations of the foregoing, and all restrictive covenants affecting this Lease or the Project, and “</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of the foregoing; “</w:t>
      </w:r>
      <w:r>
        <w:rPr>
          <w:rFonts w:ascii="Times New Roman;Times;Serif" w:hAnsi="Times New Roman;Times;Serif"/>
          <w:b/>
          <w:i w:val="false"/>
          <w:caps w:val="false"/>
          <w:smallCaps w:val="false"/>
          <w:sz w:val="20"/>
          <w:u w:val="single"/>
        </w:rPr>
        <w:t>Tenant’s Off-Premises Equipment</w:t>
      </w:r>
      <w:r>
        <w:rPr>
          <w:rFonts w:ascii="Times New Roman;Times;Serif" w:hAnsi="Times New Roman;Times;Serif"/>
          <w:b w:val="false"/>
          <w:i w:val="false"/>
          <w:caps w:val="false"/>
          <w:smallCaps w:val="false"/>
          <w:sz w:val="20"/>
        </w:rPr>
        <w:t>” means any of Tenant’s equipment or other property that may be located on or about the Project (other than inside the Premises); and “</w:t>
      </w:r>
      <w:r>
        <w:rPr>
          <w:rFonts w:ascii="Times New Roman;Times;Serif" w:hAnsi="Times New Roman;Times;Serif"/>
          <w:b/>
          <w:i w:val="false"/>
          <w:caps w:val="false"/>
          <w:smallCaps w:val="false"/>
          <w:sz w:val="20"/>
          <w:u w:val="single"/>
        </w:rPr>
        <w:t>Tenant Party</w:t>
      </w:r>
      <w:r>
        <w:rPr>
          <w:rFonts w:ascii="Times New Roman;Times;Serif" w:hAnsi="Times New Roman;Times;Serif"/>
          <w:b w:val="false"/>
          <w:i w:val="false"/>
          <w:caps w:val="false"/>
          <w:smallCaps w:val="false"/>
          <w:sz w:val="20"/>
        </w:rPr>
        <w:t>” means any of the following persons: Tenant; any assignees claiming by, through, or under Tenant; any subtenants claiming by, through, or under Tenant; and any of their respective agents, contractors, employees, licensees, guests and invitees.</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 Grant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Subject to the terms of this Lease, Landlord leases to Tenant, and Tenant leases from Landlord, the Premises. Additionally, subject to the terms of this Lease and Landlord’s rules and regulations therefor, Tenant and its employees and invitees shall have a non-exclusive license to use any applicable driveways, loading dock areas, roadways, rail tracks and other similar improvements designated by Landlord from time to time as common areas for the common use and enjoyment of all tenants and occupants of the Complex. In addition, notwithstanding anything in this Lease to the contrary, Tenant shall have the exclusive right to use, on a “24 hour a day”, “365 days a year” basis and without any additional charge, the following: (a) the loading facilities and areas exclusively serving the Premises, (b) the trash removal area labeled and shown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the “Tenant Trash Removal Area”, and (c) the parking areas (including trailer parking stalls) within the Project labeled and shown on Exhibit “A” attached hereto as the “Tenant Exclusive Parking Area” (so called herein).</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Tender of Possession</w:t>
      </w:r>
      <w:r>
        <w:rPr>
          <w:rFonts w:ascii="Times New Roman;Times;Serif" w:hAnsi="Times New Roman;Times;Serif"/>
          <w:b/>
          <w:i w:val="false"/>
          <w:caps w:val="false"/>
          <w:smallCaps w:val="false"/>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Landlord and Tenant anticipate the Work to be Substantially Complete on or about November 1, 2026 (the “</w:t>
      </w:r>
      <w:r>
        <w:rPr>
          <w:rFonts w:ascii="Times New Roman;Times;Serif" w:hAnsi="Times New Roman;Times;Serif"/>
          <w:b/>
          <w:i w:val="false"/>
          <w:caps w:val="false"/>
          <w:smallCaps w:val="false"/>
          <w:sz w:val="20"/>
          <w:u w:val="single"/>
        </w:rPr>
        <w:t>Estimated Delivery Date</w:t>
      </w:r>
      <w:r>
        <w:rPr>
          <w:rFonts w:ascii="Times New Roman;Times;Serif" w:hAnsi="Times New Roman;Times;Serif"/>
          <w:b w:val="false"/>
          <w:i w:val="false"/>
          <w:caps w:val="false"/>
          <w:smallCaps w:val="false"/>
          <w:sz w:val="20"/>
        </w:rPr>
        <w:t>”). If the Work is not Substantially Complete by the Estimated Delivery Date, then (1) the validity of this Lease shall not be affected or impaired thereby, (2) Landlord shall not be in default hereunder or be liable for damages therefor, and (3) Tenant shall accept possession of the Premises when the Work is Substantially Complete. Notwithstanding the foregoing, if the Work is not Substantially Complete by January 1, 2027, as extended one day for each Tenant Delay Day or day of Force Majeure (the “</w:t>
      </w:r>
      <w:r>
        <w:rPr>
          <w:rFonts w:ascii="Times New Roman;Times;Serif" w:hAnsi="Times New Roman;Times;Serif"/>
          <w:b/>
          <w:i w:val="false"/>
          <w:caps w:val="false"/>
          <w:smallCaps w:val="false"/>
          <w:sz w:val="20"/>
          <w:u w:val="single"/>
        </w:rPr>
        <w:t>Outside Delivery Date</w:t>
      </w:r>
      <w:r>
        <w:rPr>
          <w:rFonts w:ascii="Times New Roman;Times;Serif" w:hAnsi="Times New Roman;Times;Serif"/>
          <w:b w:val="false"/>
          <w:i w:val="false"/>
          <w:caps w:val="false"/>
          <w:smallCaps w:val="false"/>
          <w:sz w:val="20"/>
        </w:rPr>
        <w:t>”), Basic Rent will be abated, commencing with Lease Month 4, one (1) day for each day after the Outside Delivery Date that occurs before the date the Work is Substantially Complete (the “</w:t>
      </w:r>
      <w:r>
        <w:rPr>
          <w:rFonts w:ascii="Times New Roman;Times;Serif" w:hAnsi="Times New Roman;Times;Serif"/>
          <w:b/>
          <w:i w:val="false"/>
          <w:caps w:val="false"/>
          <w:smallCaps w:val="false"/>
          <w:sz w:val="20"/>
          <w:u w:val="single"/>
        </w:rPr>
        <w:t>Actual Delivery Date</w:t>
      </w:r>
      <w:r>
        <w:rPr>
          <w:rFonts w:ascii="Times New Roman;Times;Serif" w:hAnsi="Times New Roman;Times;Serif"/>
          <w:b w:val="false"/>
          <w:i w:val="false"/>
          <w:caps w:val="false"/>
          <w:smallCaps w:val="false"/>
          <w:sz w:val="20"/>
        </w:rPr>
        <w:t xml:space="preserve">”), and if the Actual Delivery Date has not occurred by July 1, 2027, then Tenant may terminate this Lease upon thirty (30) days’ advance written notice to Landlord but prior to the date on which Landlord Substantially Completes the Work; provided, however, that if the Actual Delivery Date occurs during such 30-day period, such termination shall be deemed rescinded and this Lease will continue in full force and effect. In the event of such termination, Landlord shall return to Tenant the Security Deposit and the Prepaid Rent within ten (10) days after the date of such termination, which obligation shall survive termination of this Lease. By occupying the Premises, Tenant shall be deemed to have accepted the Premises in their condition as of the date of such occupancy, subject to the performance of punch-list items that remain to be performed by Landlord, if any, and Landlord’s repair of latent defects of which Tenant provides Landlord written notice within one (1) year after the Actual Delivery Date. Prior to occupying the Premises, Tenant shall execute and deliver to Landlord a letter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and Landlord’s repair of latent defects of which Tenant provides Landlord written notice within one (1) year after the Actual Delivery Date);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and Additional 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Remeasurement</w:t>
      </w:r>
      <w:r>
        <w:rPr>
          <w:rFonts w:ascii="Times New Roman;Times;Serif" w:hAnsi="Times New Roman;Times;Serif"/>
          <w:b w:val="false"/>
          <w:i w:val="false"/>
          <w:caps w:val="false"/>
          <w:smallCaps w:val="false"/>
          <w:sz w:val="20"/>
        </w:rPr>
        <w:t>. Within thirty (30) days after Substantial Completion of the Work, Landlord shall cause (at Landlord’s sole cost) its architect to measure the area of the Building in accordance with BOMA International and the Society of Industrial and Office Realtors Industrial Buildings: Standard Methods of Measurement (ANSI Z65.2-2025), using Exterior Wall Methodology (Method A), and provide a written certification of such measurement to Landlord and Tenant. The area stipulated therein (absent manifest error of which a party notifies the other in writing within ten (10) days following receipt of the initial written certification) shall be fully applicable and binding on the parties until after such time, if ever, as any such measurement is effected, following which event the new measurements, if they differ from those herein set forth, shall be applicable to future obligations only. Upon such measurement(s), the square footage of the Premises and all other provisions in this Lease which are based on the square footage of the Premises and/or Building shall be adjusted accordingly. Landlord shall provide Tenant ten (10) days advance notice of the date of such measurement and Tenant shall be permitted to have one or more representatives present during such measurement.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Rent</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Tenant shall timely pay to Landlord Rent, without notice, demand, deduction or set 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Rent to Landlord and the obligations of Landlord under this Lease are independent obligations. Rent shall be payable monthly in advance. The first monthly installment of Basic Rent shall be payable contemporaneously with the execution of this Lease (the “</w:t>
      </w:r>
      <w:r>
        <w:rPr>
          <w:rFonts w:ascii="Times New Roman;Times;Serif" w:hAnsi="Times New Roman;Times;Serif"/>
          <w:b/>
          <w:i w:val="false"/>
          <w:caps w:val="false"/>
          <w:smallCaps w:val="false"/>
          <w:sz w:val="20"/>
          <w:u w:val="single"/>
        </w:rPr>
        <w:t>Prepaid Rent</w:t>
      </w:r>
      <w:r>
        <w:rPr>
          <w:rFonts w:ascii="Times New Roman;Times;Serif" w:hAnsi="Times New Roman;Times;Serif"/>
          <w:b w:val="false"/>
          <w:i w:val="false"/>
          <w:caps w:val="false"/>
          <w:smallCaps w:val="false"/>
          <w:sz w:val="20"/>
        </w:rPr>
        <w:t>”); thereafter, Basic Rent shall be payable on the first day of each month beginning on the first day of the fourth Lease Month. The monthly Rent for any partial month at the beginning of the Term shall equal the product of 1/365 of the annual Basic Rent (and Additional Rent) in effect during the partial month and the number of days in the partial month, and shall be due on the Commencement Date. Payments of Rent for any fractional calendar month at the end of the Term shall be similarly prorated.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Costs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pay to Landlord Tenant’s Proportionate Share of the annual Operating Costs (defined below). Prior to each calendar year of the Term, Landlord shall make a good faith estimate of Tenant’s Proportionate Share of Operating Costs for the following calendar year or part thereof during the Term. During each calendar year or partial calendar year of the Term, Tenant shall pay to Landlord, in advance concurrently with each monthly installment of Basic Rent, an amount equal to the estimated Tenant’s Proportionate Share of Operating Costs for such calendar year or part thereof divided by the number of months therein. From time to time, but not more than once a calendar year, Landlord may re-estimate the amount of Tenant’s Proportionate Share of Operating Costs to be due by Tenant and deliver a copy of the re-estimate to Tenant. Thereafter, the monthly installments of Tenant’s Proportionate Share of Operating Costs shall be adjusted in accordance with the estimations so that, by the end of the calendar year in question, Tenant shall have paid all of Tenant’s Proportionate Share of Operating Costs as estimated by Landlord. Any amounts paid based on such an estimate shall be subject to adjustment as herein provided when actual Operating Costs are available for each calendar year.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u w:val="single"/>
        </w:rPr>
        <w:t>Operating Costs</w:t>
      </w:r>
      <w:r>
        <w:rPr>
          <w:rFonts w:ascii="Times New Roman;Times;Serif" w:hAnsi="Times New Roman;Times;Serif"/>
          <w:b w:val="false"/>
          <w:i w:val="false"/>
          <w:caps w:val="false"/>
          <w:smallCaps w:val="false"/>
          <w:sz w:val="20"/>
        </w:rPr>
        <w:t>” means all expenses and disbursements (subject to the limitations set forth below) that Landlord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relating thereto; (B) all supplies and materials used in the operation, maintenance, repair, replacement, and security of the Project; (C) cost of all utilities (including fuel, gas, electricity, water, sewer, and other services) for the common areas and other non-tenant areas of the Project (e.g., mechanical, electrical and telecommunications rooms) as reasonably determined by Landlord; (D) repairs, replacements, and general maintenance of the Project including paving and parking areas, roads, roof repairs (Landlord is responsible for replacement of the roof as provided in Section 7), alleys and driveways, trash collection, sweeping and removal of trash for the common areas, mowing and snow removal, landscaping and exterior painting, the cost of maintaining utility lines, fire sprinklers and fire protection systems, exterior lighting, and mechanical and plumbing systems serving the Project and, to the extent the following items serve more than one tenant in the Project, dock doors, drains and sump pumps; (E) fair market rental and other costs with respect to the management office for the Project; (F) service, maintenance and management contracts with independent contractors for the operation, maintenance, management, repair, replacement, and security of the Project (including alarm service, window cleaning, and elevator maintenance); (G) reasonable costs of professional services rendered for the general benefit of the Project; (H) environmental insurance or environmental management fees; (I) the cost of any insurance deductibles for insurance required to be maintained by Landlord; and (J)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new interpretations of any Law hereafter rendered with respect to any existing Law, as amortized using a commercially reasonable interest rate over the useful economic life of such improvements as determined by Landlord in its reasonable discretion. The parties acknowledge the Project is part of an industrial park complex (the “</w:t>
      </w:r>
      <w:r>
        <w:rPr>
          <w:rFonts w:ascii="Times New Roman;Times;Serif" w:hAnsi="Times New Roman;Times;Serif"/>
          <w:b/>
          <w:i w:val="false"/>
          <w:caps w:val="false"/>
          <w:smallCaps w:val="false"/>
          <w:sz w:val="20"/>
          <w:u w:val="single"/>
        </w:rPr>
        <w:t>Complex</w:t>
      </w:r>
      <w:r>
        <w:rPr>
          <w:rFonts w:ascii="Times New Roman;Times;Serif" w:hAnsi="Times New Roman;Times;Serif"/>
          <w:b w:val="false"/>
          <w:i w:val="false"/>
          <w:caps w:val="false"/>
          <w:smallCaps w:val="false"/>
          <w:sz w:val="20"/>
        </w:rPr>
        <w:t>”), Operating Costs, Taxes (defined below) and Insurance Costs (defined below) for the Complex may be prorated among the Project and the other buildings of the Complex, as reasonably determined by Landlord.</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shall not include costs for (i) capital improvements made to the Project or the Complex, other than capital improvements described in Section 4(b)(2)(J) and except for items which are generally considered maintenance and repair items, such as painting of common areas, replacement of carpet in elevator lobbies (if any), and the like; (ii) repair, replacements and general maintenance paid by proceeds of insurance or by Tenant or other third parties; (iii) interest, amortization or other payments on loans to Landlord; (iv) depreciation; (v) leasing commissions; (vi) legal expenses for services, other than those that benefit the Project tenants generally (e.g., tax disputes); (vii) Taxes; (viii) Insurance Costs; (ix) renovating or otherwise improving space for occupants of the Project or the Complex or vacant space in the Project or the Complex; (x) [intentionally omitted]; (xi) overhead and profit increment paid to Landlord or to subsidiaries or affiliates of Landlord for goods and/or services in or to the Complex to the extent the same exceeds the costs of such goods and/or services rendered by unaffiliated third parties on a competitive basis; (xii) costs of any impact or tap fees or any sewer or water connection fees for the benefit of any particular tenant in the Complex; (xiii) any costs incurred in the removal, containment encapsulation or disposal of or repair or cleaning or monitoring of areas affected by any Hazardous Materials unless same arise due to the acts or omissions of Tenant; (xiv) any costs incurred in connection with the original design, construction, and landscaping of the Complex; (xv) Landlord’s general corporate overhead and general administrative expenses; (xvi) wages, salaries, benefits, or other costs of employees above the grade of “building manager” or similar title; (xvii) any administrative or management fee(s) in excess of three percent (3%) of the gross revenue of the Complex; (xviii) reserves of any kind; or (xix) any costs necessitated by or resulting from the gross negligence or willful misconduct of Landlord, or its agents, contractors, or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also pay Tenant’s Proportionate Share of the Taxes for each year and partial year falling within the Term. Tenant shall pay Tenant’s Proportionate Share of Taxes in the same manner as provided above for Tenant’s Proportionate Share of Operating Costs.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(including the franchise tax set forth in V.T.C.A. Tax Code section 171.0001 et seq., as the same may be amended or recorded from time to time), excluding, however, penalties and interest thereon and federal and state taxes on income (if the present method of taxation changes so that in lieu of or in addition to the whole or any part of any Taxes, there is levied on Landlord a capital tax, sales tax, or use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costs of consultants retained in an effort to lower taxes and all costs incurred in disputing any taxes or in seeking to lower the tax valuation of the Project. Notwithstanding the foregoing, (i) Taxes will exclude income, margin, franchise inheritance, transfer, gift and “roll-back” or similar taxes, penalties or interest other than those attributable to Tenant’s failure to comply timely with its obligations under this Lease, (ii) in the event that any Taxes may be paid in installments, Tenant shall have the option to pay such Taxes in installments; and in such event, Tenant shall be liable only for those installments that are allocable to periods during the Term and become due and payable during the Term, and (iii) the Fort Bend County Municipal Utility District No. 168 (the “</w:t>
      </w:r>
      <w:r>
        <w:rPr>
          <w:rFonts w:ascii="Times New Roman;Times;Serif" w:hAnsi="Times New Roman;Times;Serif"/>
          <w:b/>
          <w:i w:val="false"/>
          <w:caps w:val="false"/>
          <w:smallCaps w:val="false"/>
          <w:sz w:val="20"/>
          <w:u w:val="single"/>
        </w:rPr>
        <w:t>MUD</w:t>
      </w:r>
      <w:r>
        <w:rPr>
          <w:rFonts w:ascii="Times New Roman;Times;Serif" w:hAnsi="Times New Roman;Times;Serif"/>
          <w:b w:val="false"/>
          <w:i w:val="false"/>
          <w:caps w:val="false"/>
          <w:smallCaps w:val="false"/>
          <w:sz w:val="20"/>
        </w:rPr>
        <w:t>”) tax rate for the Real Property shall not exceed $1.00 per $100.00 of taxable value.</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property tax purposes, Tenant waives all rights to protest or appeal the appraised value of the Premises, as well as the Project, and all rights to receive notices of reappraisement, as set forth in Sections 41.413 and 42.015 of the Texas Tax Code. Landlord agrees to consult with a real estate tax consultant or advisor engaged by it from time to time and in the exercise of reasonable and prudent ownership judgment contest any unreasonable tax assessment to the extent such tax counsel advises Landlord that a reasonable basis exists therefor. Upon at least 10 days’ written request from Tenant, Landlord will confirm to Tenant by April 30 of any calendar year during the Term, whether it will protest or appeal the appraised value of the Project. If Landlord fails to respond to such inquiry by April 30 of any calendar year or responds to Tenant that it will not protest or appeal the appraised value of the Project, then notwithstanding the terms of this Section 2(b)(4), Tenant may protest or appeal the appraised value of the Project.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April 1 of each calendar year, or as soon thereafter as practicable, Landlord shall furnish to Tenant a statement of Operating Costs and Taxes for the previous year (the “</w:t>
      </w:r>
      <w:r>
        <w:rPr>
          <w:rFonts w:ascii="Times New Roman;Times;Serif" w:hAnsi="Times New Roman;Times;Serif"/>
          <w:b/>
          <w:i w:val="false"/>
          <w:caps w:val="false"/>
          <w:smallCaps w:val="false"/>
          <w:sz w:val="20"/>
          <w:u w:val="single"/>
        </w:rPr>
        <w:t>Operating Costs and Tax Statement</w:t>
      </w:r>
      <w:r>
        <w:rPr>
          <w:rFonts w:ascii="Times New Roman;Times;Serif" w:hAnsi="Times New Roman;Times;Serif"/>
          <w:b w:val="false"/>
          <w:i w:val="false"/>
          <w:caps w:val="false"/>
          <w:smallCaps w:val="false"/>
          <w:sz w:val="20"/>
        </w:rPr>
        <w:t>”). If Tenant’s estimated payments of Operating Costs or Taxes under this Section 4(b) for the year covered by the Operating Costs and Tax Statement exceed Tenant’s Proportionate Share of such items as indicated in the Operating Costs and Tax Statement, then Landlord shall promptly credit or reimburse Tenant for such excess; likewise, if Tenant’s estimated payments of Operating Costs or Taxes under this Section 4(b) for such year are less than Tenant’s Proportionate Share of such items as indicated in the Operating Costs and Tax Statement, then Tenant shall promptly pay Landlord such deficiency.</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commencing with the first full calendar year after the first anniversary of the Commencement Date, the amount of Controllable Expenses (defined below) for purposes of calculating Tenant’s Proportionate Share of Operating Costs under Section 4(b) shall not increase by more than seven percent (7%) over Tenant’s Proportionate Share of Controllable Expenses in the previous calendar year, cumulative and compounded. The term “Controllable Expenses” means all Operating Costs but excludes all expenses relating to the cost of utilities, security expenses, insurance, real estate taxes and assessments, and other expenses that are deemed by industry standards to be uncontrollable to the extent same constitute Operating Costs.</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Audit Rights.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Event of Default is then outstanding, Tenant shall have the right to inspect, at reasonable times and in a reasonable manner, during the sixty (60) day period following the delivery of the Operating Costs and Tax Statement (the “</w:t>
      </w:r>
      <w:r>
        <w:rPr>
          <w:rFonts w:ascii="Times New Roman;Times;Serif" w:hAnsi="Times New Roman;Times;Serif"/>
          <w:b/>
          <w:i w:val="false"/>
          <w:caps w:val="false"/>
          <w:smallCaps w:val="false"/>
          <w:sz w:val="20"/>
          <w:u w:val="single"/>
        </w:rPr>
        <w:t>Inspection Period</w:t>
      </w:r>
      <w:r>
        <w:rPr>
          <w:rFonts w:ascii="Times New Roman;Times;Serif" w:hAnsi="Times New Roman;Times;Serif"/>
          <w:b w:val="false"/>
          <w:i w:val="false"/>
          <w:caps w:val="false"/>
          <w:smallCaps w:val="false"/>
          <w:sz w:val="20"/>
        </w:rPr>
        <w:t>”), such of Landlord’s books of account and records as pertain to and contain information concerning the Operating Costs and Taxes for the prior calendar year in order to verify the amounts thereof. Such inspection shall take place at Landlord’s office upon at least fifteen (15) days prior written notice from Tenant to Landlord. Tenant shall also agree to follow Landlord’s reasonable procedures for auditing such books and records. Landlord and Tenant shall act reasonably in assessing the other party’s calculation of the Operating Costs and Taxes. Tenant shall provide Landlord with a copy of its findings within thirty (30) days after completion of the audit. Tenant’s failure to exercise its rights hereunder within the Inspection Period shall be deemed a waiver of its right to inspect or contest the method, accuracy or amount of such Operating Costs and Taxes.</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Landlord’s calculation of the Operating Costs and Taxes or Tenant’s Proportionate Share thereof for the inspected calendar year was incorrect, the parties shall enter into a written agreement confirming such undisputed error and then Landlord shall make a correcting payment in full to Tenant within thirty (30) days after the determination of the amount of such error or credit such amount against future Additional Rent if Tenant overpaid such amount, and Tenant shall pay Landlord within thirty (30) days after the determination of such error if Tenant underpaid such amount. In the event of any errors on the part of Landlord that cost Tenant in excess of $5,000, Landlord will also reimburse Tenant for the costs of an audit reasonably incurred by Tenant (not to exceed $5,000) within the above thirty (30) day period. If Tenant provides Landlord with written notice disputing the correctness of Landlord’s statement, and if such dispute shall have not been settled by agreement within thirty (30) days after Tenant provides Landlord with such written notice, Tenant may submit the dispute to a reputable firm of independent certified public accountants selected by Tenant and reasonably approved by Landlord, and the decision of such accountants shall be conclusive and binding upon the parties. If such accountant decides that there was an error, Landlord will make correcting payment if Tenant overpaid such amount, and Tenant shall pay Landlord if Tenant underpaid such amount. The fees and expenses involved in such decision shall be borne by the party required to pay for the audit.</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maintain the results of each such audit or inspection confidential and shall not be permitted to use any third party to perform such audit or inspection, other than an independent firm of certified public accountants (1) reasonably acceptable to Landlord, (2) which is not compensated on a contingency fee basis or in any other manner which is dependent upon the results of such audit or inspection (and Tenant shall deliver the fee agreement or other similar evidence of such fee arrangement to Landlord upon request), and (3) which agrees with Landlord in writing to maintain the results of such audit or inspection confidential. Nothing in this Section 4(c) shall be construed to limit, suspend or abate Tenant’s obligation to pay Rent when due, including Additional Rent.</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Delinquent Payment; Handling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payments required of Tenant hereunder not received within three (3) business days of the date due shall bear interest from the date due until paid at the lesser of eighteen percent per annum or the maximum lawful rate of interest (such lesser amount is referred to herein as the “</w:t>
      </w:r>
      <w:r>
        <w:rPr>
          <w:rFonts w:ascii="Times New Roman;Times;Serif" w:hAnsi="Times New Roman;Times;Serif"/>
          <w:b/>
          <w:i w:val="false"/>
          <w:caps w:val="false"/>
          <w:smallCaps w:val="false"/>
          <w:sz w:val="20"/>
          <w:u w:val="single"/>
        </w:rPr>
        <w:t>Default Rate</w:t>
      </w:r>
      <w:r>
        <w:rPr>
          <w:rFonts w:ascii="Times New Roman;Times;Serif" w:hAnsi="Times New Roman;Times;Serif"/>
          <w:b w:val="false"/>
          <w:i w:val="false"/>
          <w:caps w:val="false"/>
          <w:smallCaps w:val="false"/>
          <w:sz w:val="20"/>
        </w:rPr>
        <w:t>”); additionally, Landlord, in addition to all other rights and remedies available to it, may charge Tenant a fee equal to the greater of (a) $50.00 or (b) five percent of the delinquent payment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rate of interest. Notwithstanding the foregoing, the interest and late fee referenced above shall not be charged with respect to the first occurrence (but not any subsequent occurrence) during any 12-month period that Tenant fails to make payment within three (3) business days of the date due, until five days after Landlord delivers written notice of such delinquency to Tenant.</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Deposit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Contemporaneously with the execution of this Lease, Tenant shall pay to Landlord the Security Deposit, which shall be held 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Landlord and Tenant agree that such deductions shall include, without limitation, all damages and losses that Landlord has suffered or that Landlord reasonably estimates that it will suffer as a result of any breach of this Lease by Tenant. The Security Deposit may be commingled with other funds, and no interest shall be paid thereon. If Landlord transfers its interest in the Premises, Landlord will assign the Security Deposit to the transferee and, upon such transfer and the delivery to Tenant of an acknowledgement of the transferee’s responsibility for the Security Deposit as provided by Law, Landlord thereafter shall have no further liability for the return of the Security Deposit. Notwithstanding anything to the contrary set forth herein, (i) if no Event of Default occurs during the first fifteen (15) Lease Months (i.e., the first twelve Lease Months during which Tenant is obligated to pay Basic Rent), then upon written request of Tenant, Landlord will reduce the Security Deposit by $111,332.82 and (ii) if no Event of Default occurs during Lease Months sixteen through twenty-seven, then upon written request of Tenant, Landlord will further reduce the Security Deposit by an additional $111,332.82, leaving a Security Deposit balance of $168,947.55. Each reduction in the Security Deposit will be applied by Landlord to Tenant’s next accruing installments of Basic Rent hereunder.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Maintenance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Lease is intended to be a net lease; accordingly, Landlord’s maintenance obligations are limited to the replacement of the Building’s Structure; Landlord shall not be responsible for any such work until Tenant notifies Landlord of the need therefor in writing. The Building’s Structure does not include skylights, windows, glass or plate glass, doors or overhead doors, special fronts, or office entries, dock bumpers, dock plates or levelers, loading areas and docks, and loading dock equipment, all of which shall be maintained by Tenant. Landlord’s liability for any defects, repairs, replacement or maintenance for which Landlord is specifically responsible for under this Lease shall be limited to the cost of performing the work. Additionally, Landlord shall maintain the parking areas, and other common areas of the Building, including driveways, alleys, landscape and grounds surrounding the Premises and utility lines in a good condition, consistent with the operation of a bulk warehouse/industrial or service center facility, including maintenance, repair, and replacement of any rail tracks serving the Premises, the exterior of the Building (including painting), landscaping sprinkler systems, and any items normally associated with the foregoing. All costs in performing the work described in the foregoing sentence shall be included in Operating Costs. Tenant shall promptly notify Landlord in writing of any work required to be performed under this Section 7, and Landlord shall not be responsible for performing such work until Tenant delivers to Landlord such notice. Notwithstanding anything to the contrary contained herein, Landlord shall, in its commercially reasonable discretion, determine the appropriate remedial action required of it to satisfy its maintenance obligations hereunder (e.g., Landlord shall, in its commercially reasonable discretion, determine whether, and to the extent, repairs or replacements are the appropriate remedial action).</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Improvements; Alterations; Tenant’s Maintenance and Repair Obligations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Improvements; Alterations</w:t>
      </w:r>
      <w:r>
        <w:rPr>
          <w:rFonts w:ascii="Times New Roman;Times;Serif" w:hAnsi="Times New Roman;Times;Serif"/>
          <w:b w:val="false"/>
          <w:i w:val="false"/>
          <w:caps w:val="false"/>
          <w:smallCaps w:val="false"/>
          <w:sz w:val="20"/>
        </w:rPr>
        <w:t xml:space="preserve">. Except for the Work to be performed pursuant to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all alterations and improvements to the Premises shall be installed at Tenant’s expense only in accordance with plans and specifications which have been previously approved in writing by Landlord, which approval shall be governed by the provisions set forth in this Section 8(a). No alterations or additions in or to the Premises may be made without Landlord’s prior written consent, which shall not be unreasonably withheld or delayed; however, Landlord may withhold its consent to any alteration or addition that would adversely affect (in the reasonable discretion of Landlord) (1) the Building’s Structure or the Building’s Systems (including the Building’s restrooms or mechanical rooms), (2) the exterior appearance of the Building, (3) the appearance of the Building’s common areas, or (4) the provision of services to other Building occupants.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Notwithstanding the foregoing, Tenant may, without Landlord’s consent, make non-structural alterations to the interior of the Premises (collectively, “</w:t>
      </w:r>
      <w:r>
        <w:rPr>
          <w:rFonts w:ascii="Times New Roman;Times;Serif" w:hAnsi="Times New Roman;Times;Serif"/>
          <w:b/>
          <w:i w:val="false"/>
          <w:caps w:val="false"/>
          <w:smallCaps w:val="false"/>
          <w:sz w:val="20"/>
          <w:u w:val="single"/>
        </w:rPr>
        <w:t>Non-Structural Alterations</w:t>
      </w:r>
      <w:r>
        <w:rPr>
          <w:rFonts w:ascii="Times New Roman;Times;Serif" w:hAnsi="Times New Roman;Times;Serif"/>
          <w:b w:val="false"/>
          <w:i w:val="false"/>
          <w:caps w:val="false"/>
          <w:smallCaps w:val="false"/>
          <w:sz w:val="20"/>
        </w:rPr>
        <w:t>”) provided that (i) the cost does not exceed two hundred thousand dollars ($200,000) for any one project, (ii) such alterations do not affect the Building’s Structure or the Building’s Systems and do not require issuance of a building permit, (iii) Tenant provides Landlord with prior written notice of its intention to make such alterations stating in reasonable detail the nature, extent and estimated cost of such alterations, together with, if applicable, the plans and specifications for the same (collectively, a “</w:t>
      </w:r>
      <w:r>
        <w:rPr>
          <w:rFonts w:ascii="Times New Roman;Times;Serif" w:hAnsi="Times New Roman;Times;Serif"/>
          <w:b/>
          <w:i w:val="false"/>
          <w:caps w:val="false"/>
          <w:smallCaps w:val="false"/>
          <w:sz w:val="20"/>
          <w:u w:val="single"/>
        </w:rPr>
        <w:t>Non-Structural Alterations Notice</w:t>
      </w:r>
      <w:r>
        <w:rPr>
          <w:rFonts w:ascii="Times New Roman;Times;Serif" w:hAnsi="Times New Roman;Times;Serif"/>
          <w:b w:val="false"/>
          <w:i w:val="false"/>
          <w:caps w:val="false"/>
          <w:smallCaps w:val="false"/>
          <w:sz w:val="20"/>
        </w:rPr>
        <w:t>”), and (iv) Tenant’s construction of such alterations otherwise complies with the terms of this Section 8. Notwithstanding the foregoing to the contrary, if requested by Tenant, Landlord shall not unreasonably withhold, condition or delay approval of the construction of building improvements on Reserve Tract 4.</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Repairs; Maintenance</w:t>
      </w:r>
      <w:r>
        <w:rPr>
          <w:rFonts w:ascii="Times New Roman;Times;Serif" w:hAnsi="Times New Roman;Times;Serif"/>
          <w:b w:val="false"/>
          <w:i w:val="false"/>
          <w:caps w:val="false"/>
          <w:smallCaps w:val="false"/>
          <w:sz w:val="20"/>
        </w:rPr>
        <w:t>. Tenant shall maintain the Premises, including the loading areas and dock, and loading dock equipment in connection with the Premises, in a clean, safe, and operable condition, and shall not permit or allow to remain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including loading docks, sump pumps, dock wells, dock equipment and loading areas, dock doors, dock seals, overhead doors, “levellors” and similar leveling equipment, plumbing, water, fire sprinkler system, and sewer lines up to points of common connection, entries, doors, ceilings, windows, interior walls, and the interior side of demising walls, and heating, ventilation and air conditioning systems (including any evaporative units), and other building and mechanical systems serving the Premises. Such repair and replacements include capital expenditures and repairs whose benefit may extend beyond the Term. Upon written request of Tenant, Landlord will enforce for the benefit of Tenant, any warranties received by Landlord which are applicable to the portions of the Premises to be maintained by Tenant hereunder. If Tenant fails to perform any of its maintenance obligations hereunder and such failure continues for five (5) business days after written notice from Landlord (or such longer period as may be reasonably required provided Tenant commences to perform such required maintenance within such five (5) business-day period and proceeds diligently to completion), then Landlord may make the same at Tenant’s cost. Tenant shall repair or replace, subject to Landlord’s direction and supervision, any damage to the Building caused by a Tenant Party. If Tenant fails to make such repairs or replacements within 15 days after the occurrence of such damage (or such longer period as may be reasonably required provided Tenant commences to make such repairs or replacements within such 15-day period and proceeds diligently to completion), then Landlord may make the same at Tenant’s cost. If any such damage occurs outside of the Premises, then Landlord may elect to repair such damage at Tenant’s expense, rather than having Tenant repair such damage. The reasonable costs of all maintenance, repair or replacement work performed by Landlord under this Section 8 shall be paid by Tenant to Landlord within 30 days after Landlord has invoiced Tenant therefor.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of Work</w:t>
      </w:r>
      <w:r>
        <w:rPr>
          <w:rFonts w:ascii="Times New Roman;Times;Serif" w:hAnsi="Times New Roman;Times;Serif"/>
          <w:b w:val="false"/>
          <w:i w:val="false"/>
          <w:caps w:val="false"/>
          <w:smallCaps w:val="false"/>
          <w:sz w:val="20"/>
        </w:rPr>
        <w:t xml:space="preserve">. All work described in this Section 8 shall be performed only by Landlord or by contractors and subcontractors approved in writing by Landlord, which approval will not be unreasonably withheld for contractors and subcontractors that maintain the insurance coverages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cause all contractors and subcontractors to procure and maintain insurance coverage naming Landlord, Landlord’s property management company and Landlord’s asset management company as additional insureds against such risks, in such amounts, with such companies, and coverage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Building roof must be performed by Landlord’s roofing contractor, and will not be permitted if it would void or reduce the warranty on the roof.</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All work performed, materials furnished, or obligations incurred by or at the request of a Tenant Party shall be deemed authorized and ordered by Tenant only, and Tenant shall not permit any mechanic’s liens to be filed against the Premises or the Project in connection therewith. Promptly following completion of any such work, Tenant shall deliver to Landlord final lien waivers from all contractors, subcontractors and materialmen who performed such work costing in excess of $5,000. If a lien is filed, then Tenant shall, within twenty days after Landlord has delivered notice of the filing thereof to Tenant (or earlier, as necessary to prevent the forfeiture of the Premises, the Project or any interest of Landlord therein or the imposition of any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during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Janitorial Services</w:t>
      </w:r>
      <w:r>
        <w:rPr>
          <w:rFonts w:ascii="Times New Roman;Times;Serif" w:hAnsi="Times New Roman;Times;Serif"/>
          <w:b w:val="false"/>
          <w:i w:val="false"/>
          <w:caps w:val="false"/>
          <w:smallCaps w:val="false"/>
          <w:sz w:val="20"/>
        </w:rPr>
        <w:t>. Tenant, at its sole expense, shall provide janitorial services to the Premises and shall maintain the Premises in a clean and safe condition. Tenant shall store all trash and garbage within the Tenant Trash Removal Area and shall, at its sole expense, arrange for the regular pickup of such trash and garbage pursuant to reasonable regulations established by Landlord from time to time. If Tenant fails to provide janitorial services to the Premises or trash removal services in compliance with the foregoing and such failure continues for more than five (5) days after written notice to Tenant (or more than twice in any 12-month period), Landlord, in addition to any other rights and remedies available to it, may provide such services, and Tenant shall pay to Landlord the cost thereof, plus an administrative fee equal to 15% of such cost, within ten days after Landlord delivers to Tenant an invoice therefor.</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Utilities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pay for all water, gas, electricity, heat, telephone, sewer, sprinkler charges and other utilities and services used at the Premises, together with any taxes, penalties, surcharges, connection charges, maintenance charges, and the like pertaining to Tenant’s use of the Premises. Landlord shall, at Landlord’s expense, submeter water for the Premises and bill Tenant directly for its use of such utility service. To the extent any utility service for the Premises is submetered, the meter shall be read by Landlord or Landlord’s designee, and Tenant shall pay to Landlord, within 30 days after receipt of an invoice therefor, the cost of such service based on rates charged for such service by the utility company furnishing such service, including all fuel adjustment charges, demand charges and taxes. To the extent that any particular utility is not separately metered or submetered as provided above (e.g., water or sewer charges), Landlord shall, using its good-faith, reasonable judgment, allocate the expenses for such utility among the existing tenants of the Project based upon density, usage, and other factors in Landlord’s reasonable judgment. Tenant, at its expense, shall obtain all utility services for the Premises (other than utilities submetered or otherwise provided to the Premises by Landlord). Landlord shall not be liable for any interruption or failure of utility service to the Premises, and such interruption or failure of utility service shall not be a constructive eviction of Tenant, constitute a breach of any implied warranty, or, except as provided in the next sentence, entitle Tenant to any abatement of Tenant’s obligations hereunder. If, however, Tenant is prevented from using the Premises for more than five (5) consecutive business days because of the unavailability of any such service and such unavailability was caused by Landlord, its agents, employees or contractors, and restoration of such service is within the reasonable control of Landlord (a “</w:t>
      </w:r>
      <w:r>
        <w:rPr>
          <w:rFonts w:ascii="Times New Roman;Times;Serif" w:hAnsi="Times New Roman;Times;Serif"/>
          <w:b/>
          <w:i w:val="false"/>
          <w:caps w:val="false"/>
          <w:smallCaps w:val="false"/>
          <w:sz w:val="20"/>
          <w:u w:val="single"/>
        </w:rPr>
        <w:t>Service Interruption</w:t>
      </w:r>
      <w:r>
        <w:rPr>
          <w:rFonts w:ascii="Times New Roman;Times;Serif" w:hAnsi="Times New Roman;Times;Serif"/>
          <w:b w:val="false"/>
          <w:i w:val="false"/>
          <w:caps w:val="false"/>
          <w:smallCaps w:val="false"/>
          <w:sz w:val="20"/>
        </w:rPr>
        <w:t>”), then Tenant, as its exclusive remedy is entitled to a reasonable abatement of Rent for each consecutive day (after such 5 business-day period) that Tenant is so prevented from using the Premises. Notwithstanding anything herein to the contrary, Landlord shall use commercially reasonable efforts to restore the availability of any such service following an interruption, and Landlord shall use commercially reasonable efforts to coordinate any planned interruptions outside of normal business hours. Rent shall not abate by reason of the interruption, insufficiency, unavailability or discontinuance of such service if such unavailability or discontinuance was not caused by Landlord, its agents, employees or contractors and restoration of such service is not within the reasonable control of Landlord.</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and Compliance with Law</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w:t>
      </w:r>
      <w:r>
        <w:rPr>
          <w:rFonts w:ascii="Times New Roman;Times;Serif" w:hAnsi="Times New Roman;Times;Serif"/>
          <w:b w:val="false"/>
          <w:i w:val="false"/>
          <w:caps w:val="false"/>
          <w:smallCaps w:val="false"/>
          <w:sz w:val="20"/>
        </w:rPr>
        <w:t>. Tenant shall use the Premises only for the Permitted Use and shall comply with all Laws relating to this Lease and/or the use and occupancy of the Premises and will not commit waste, overload the Building’s Structure or the Building’s Systems. The Premises shall not be used for any use which is disreputable, or creates extraordinary fire hazards, or for the storage of any Hazardous Materials (except as provided in Section 27 hereto). Outside storage, including storage of trucks or other vehicles, is prohibited without Landlord’s prior written consent. If, because of a Tenant Party’s acts or because Tenant vacates the Premises, the rate of insurance on the Building or its contents increases, then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Existing Governmental Regulations</w:t>
      </w:r>
      <w:r>
        <w:rPr>
          <w:rFonts w:ascii="Times New Roman;Times;Serif" w:hAnsi="Times New Roman;Times;Serif"/>
          <w:b w:val="false"/>
          <w:i w:val="false"/>
          <w:caps w:val="false"/>
          <w:smallCaps w:val="false"/>
          <w:sz w:val="20"/>
        </w:rPr>
        <w:t>. If any federal, state or local laws, ordinances, orders, rules, regulations or requirements (collectively, “</w:t>
      </w:r>
      <w:r>
        <w:rPr>
          <w:rFonts w:ascii="Times New Roman;Times;Serif" w:hAnsi="Times New Roman;Times;Serif"/>
          <w:b/>
          <w:i w:val="false"/>
          <w:caps w:val="false"/>
          <w:smallCaps w:val="false"/>
          <w:sz w:val="20"/>
          <w:u w:val="single"/>
        </w:rPr>
        <w:t>Governmental Requirements</w:t>
      </w:r>
      <w:r>
        <w:rPr>
          <w:rFonts w:ascii="Times New Roman;Times;Serif" w:hAnsi="Times New Roman;Times;Serif"/>
          <w:b w:val="false"/>
          <w:i w:val="false"/>
          <w:caps w:val="false"/>
          <w:smallCaps w:val="false"/>
          <w:sz w:val="20"/>
        </w:rPr>
        <w:t>”) in existence as of the date of the Lease require an alteration or modification of the Premises (a “</w:t>
      </w:r>
      <w:r>
        <w:rPr>
          <w:rFonts w:ascii="Times New Roman;Times;Serif" w:hAnsi="Times New Roman;Times;Serif"/>
          <w:b/>
          <w:i w:val="false"/>
          <w:caps w:val="false"/>
          <w:smallCaps w:val="false"/>
          <w:sz w:val="20"/>
          <w:u w:val="single"/>
        </w:rPr>
        <w:t>Code Modification</w:t>
      </w:r>
      <w:r>
        <w:rPr>
          <w:rFonts w:ascii="Times New Roman;Times;Serif" w:hAnsi="Times New Roman;Times;Serif"/>
          <w:b w:val="false"/>
          <w:i w:val="false"/>
          <w:caps w:val="false"/>
          <w:smallCaps w:val="false"/>
          <w:sz w:val="20"/>
        </w:rPr>
        <w:t>”) and such Code Modification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at Landlord’s sole cost and expense.</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Regulations – Landlord Responsibility</w:t>
      </w:r>
      <w:r>
        <w:rPr>
          <w:rFonts w:ascii="Times New Roman;Times;Serif" w:hAnsi="Times New Roman;Times;Serif"/>
          <w:b w:val="false"/>
          <w:i w:val="false"/>
          <w:caps w:val="false"/>
          <w:smallCaps w:val="false"/>
          <w:sz w:val="20"/>
        </w:rPr>
        <w:t>. If, as a result of one or more Governmental Requirements that are not in existence as of the date of this Lease, it is necessary from time to time during the Lease Term, to perform a Code Modification to the Building or the Project that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and cost thereof shall be included in Operating Costs.</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Regulations – Tenant Responsibility</w:t>
      </w:r>
      <w:r>
        <w:rPr>
          <w:rFonts w:ascii="Times New Roman;Times;Serif" w:hAnsi="Times New Roman;Times;Serif"/>
          <w:b w:val="false"/>
          <w:i w:val="false"/>
          <w:caps w:val="false"/>
          <w:smallCaps w:val="false"/>
          <w:sz w:val="20"/>
        </w:rPr>
        <w:t>. If, as a result of one or more Governmental Requirements, it is necessary from time to time during the Lease Term to perform a Code Modification to the Building or the Project that is made necessary as a result of the specific use being made by Tenant of the Premises or as a result of any alteration of the Premises by Tenant, such Code Modification shall be the sole and exclusive responsibility of Tenant in all respects; provided, however, that Tenant shall have the right to retract its request to perform a proposed alteration in the event that the performance of such alteration would trigger the requirement for a Code Modification.</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 and Subletting</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Except as provided in Section 11(h), Tenant shall not, without the prior written consent of Landlord,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Section 11(a)(1) through 11(a)(6) being a “</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Standards</w:t>
      </w:r>
      <w:r>
        <w:rPr>
          <w:rFonts w:ascii="Times New Roman;Times;Serif" w:hAnsi="Times New Roman;Times;Serif"/>
          <w:b w:val="false"/>
          <w:i w:val="false"/>
          <w:caps w:val="false"/>
          <w:smallCaps w:val="false"/>
          <w:sz w:val="20"/>
        </w:rPr>
        <w:t>. Landlord shall not unreasonably withhold its consent to any assignment or subletting of the Premises, provided that the proposed transferee (1) is creditworthy, (2) has a good reputation in the business community, (3) will use the Premises for the Permitted Use (thus, excluding, without limitation, uses for credit processing and telemarketing), (4) will not use the Premises, Building or Project in a manner that would materially increase the pedestrian or vehicular traffic to the Premises, Building or Project, (5) is not a governmental entity, or subdivision or agency thereof, (6) is not another occupant of the Building or Complex, (7) is in compliance with the regulations of the Office of Foreign Asset Control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to any proposed Transfer if any Event of Default by Tenant then exists.</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Request for Consent</w:t>
      </w:r>
      <w:r>
        <w:rPr>
          <w:rFonts w:ascii="Times New Roman;Times;Serif" w:hAnsi="Times New Roman;Times;Serif"/>
          <w:b w:val="false"/>
          <w:i w:val="false"/>
          <w:caps w:val="false"/>
          <w:smallCaps w:val="false"/>
          <w:sz w:val="20"/>
        </w:rPr>
        <w:t>.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Within 30 days after written notice from Landlord, Tenant will reimburse Landlord for its reasonable attorneys’ fees incurred in connection with considering any request for consent to a Transfer, not to exceed $2,500.00 per request for consent.</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Consent</w:t>
      </w:r>
      <w:r>
        <w:rPr>
          <w:rFonts w:ascii="Times New Roman;Times;Serif" w:hAnsi="Times New Roman;Times;Serif"/>
          <w:b w:val="false"/>
          <w:i w:val="false"/>
          <w:caps w:val="false"/>
          <w:smallCaps w:val="false"/>
          <w:sz w:val="20"/>
        </w:rPr>
        <w:t>. If Landlord consents to a proposed Transfer, the proposed transferee shall deliver to Landlord a written agreement expressly assuming Tenant’s obligations hereunder; however, any transferee of less than all of the Premises shall be liable only for obligations under this Lease properly allocable to the space subject to the Transfer, for the period of the Transfer. No Transfer shall release Tenant from its obligations under this Lease; Tenant and its transferee shall be jointly and severally liable therefor. Landlord’s consent to any Transfer shall not waive Landlord’s rights as to any subsequent Transfers. If an Event of Default occurs while any part of the Premises or any part thereof are subject to a Transfer, then Landlord, in addition to its other remedies, may collect directly from such transferee all rents becoming due to Tenant, and apply such rents against Rent. Tenant instructs its transferees to make payments of rent directly to Landlord upon receipt of notice from Landlord to do so following the occurrence of an Event of Default. Tenant shall pay for the cost of any demising walls or other improvements necessitated by a proposed subletting or assignment.</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Attornment by Subtenants</w:t>
      </w:r>
      <w:r>
        <w:rPr>
          <w:rFonts w:ascii="Times New Roman;Times;Serif" w:hAnsi="Times New Roman;Times;Serif"/>
          <w:b w:val="false"/>
          <w:i w:val="false"/>
          <w:caps w:val="false"/>
          <w:smallCaps w:val="false"/>
          <w:sz w:val="20"/>
        </w:rPr>
        <w:t>. Each sublease hereunder shall be subject and subordinate to this Lease and to the matters to which this Lease is or shall be subordinate, and each subtenant is deemed to have agreed that in the event of termination, re-entry or dispossession by Landlord under this Lease, Landlord may, at its option, take over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of such subtenant against Tenant, (3) bound by any previous modification of such sublease not approved by Landlord in writing or by any rent or additional rent or advance rent which such subtenant has paid for more than the current month to Tenant, and all such rent shall remain due and owing, notwithstanding such advance payment, (4) bound by any security or advance rental deposit made by such subtenant which is not delivered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as a condition of its occupying or using any part of the Premises, to have agreed to be bound by the terms of this Section 11(e).</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Landlord may, within 30 days after receipt of Tenant’s written request for Landlord’s consent to an assignment of the entire Premises for all or substantially of the remaining Term, cancel this Lease as to the portion of the Premises proposed to be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such portion of the Premises. Thereafter, Landlord may lease such portion of the Premises to the prospective transferee (or to any other person) without liability to Tenant. Notwithstanding the foregoing, if Landlord provides written notification to Tenant of its election to cancel this Lease as to any portion of the Premises as provided above, Tenant may rescind its proposed assignment of all or any portion of the Premises by notifying Landlord in writing within ten business days following Landlord’s written cancellation notice.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Tenant shall pay to Landlord, immediately upon receipt thereof, the excess of (1) all rental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(2) the Rent allocable to the portion of the Premises covered thereby.</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Notwithstanding Section 11(a), Tenant may Transfer all or part of its interest in this Lease or all or part of the Premises (a “</w:t>
      </w:r>
      <w:r>
        <w:rPr>
          <w:rFonts w:ascii="Times New Roman;Times;Serif" w:hAnsi="Times New Roman;Times;Serif"/>
          <w:b/>
          <w:i w:val="false"/>
          <w:caps w:val="false"/>
          <w:smallCaps w:val="false"/>
          <w:sz w:val="20"/>
          <w:u w:val="single"/>
        </w:rPr>
        <w:t>Permitted Transfer</w:t>
      </w:r>
      <w:r>
        <w:rPr>
          <w:rFonts w:ascii="Times New Roman;Times;Serif" w:hAnsi="Times New Roman;Times;Serif"/>
          <w:b w:val="false"/>
          <w:i w:val="false"/>
          <w:caps w:val="false"/>
          <w:smallCaps w:val="false"/>
          <w:sz w:val="20"/>
        </w:rPr>
        <w:t>”) to the following types of entities (a “</w:t>
      </w:r>
      <w:r>
        <w:rPr>
          <w:rFonts w:ascii="Times New Roman;Times;Serif" w:hAnsi="Times New Roman;Times;Serif"/>
          <w:b/>
          <w:i w:val="false"/>
          <w:caps w:val="false"/>
          <w:smallCaps w:val="false"/>
          <w:sz w:val="20"/>
          <w:u w:val="single"/>
        </w:rPr>
        <w:t>Permitted Transferee</w:t>
      </w:r>
      <w:r>
        <w:rPr>
          <w:rFonts w:ascii="Times New Roman;Times;Serif" w:hAnsi="Times New Roman;Times;Serif"/>
          <w:b w:val="false"/>
          <w:i w:val="false"/>
          <w:caps w:val="false"/>
          <w:smallCaps w:val="false"/>
          <w:sz w:val="20"/>
        </w:rPr>
        <w:t>”) without the written consent of Landlord:</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Tenant;</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No later than 30 days after the effective date of any Permitted Transfer, Tenant shall furnish Landlord with (A) copies of the instrument effecting such Permitted Transfer, (B) documentation establishing Tenant’s satisfaction of the requirements set forth above applicable to such Transfer, (C) evidence of insurance as required under this Lease with respect to the Permitted Transferee, and (D) evidence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Times New Roman;Times;Serif" w:hAnsi="Times New Roman;Times;Serif"/>
          <w:b/>
          <w:i w:val="false"/>
          <w:caps w:val="false"/>
          <w:smallCaps w:val="false"/>
          <w:sz w:val="20"/>
          <w:u w:val="single"/>
        </w:rPr>
        <w:t>Tangible Net Worth</w:t>
      </w:r>
      <w:r>
        <w:rPr>
          <w:rFonts w:ascii="Times New Roman;Times;Serif" w:hAnsi="Times New Roman;Times;Serif"/>
          <w:b w:val="false"/>
          <w:i w:val="false"/>
          <w:caps w:val="false"/>
          <w:smallCaps w:val="false"/>
          <w:sz w:val="20"/>
        </w:rPr>
        <w:t>” means the excess of total assets over total liabilities, in each case as determined in accordance with generally accepted accounting principles consistently applied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 Waivers; Subrogation; Indemnity</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Insurance</w:t>
      </w:r>
      <w:r>
        <w:rPr>
          <w:rFonts w:ascii="Times New Roman;Times;Serif" w:hAnsi="Times New Roman;Times;Serif"/>
          <w:b w:val="false"/>
          <w:i w:val="false"/>
          <w:caps w:val="false"/>
          <w:smallCaps w:val="false"/>
          <w:sz w:val="20"/>
        </w:rPr>
        <w:t>. Effective as of the earlier of (1) the date Tenant enters or occupies the Premises, or (2) the Commencement Date, and continuing throughout the Term, Tenant shall maintain the following insurance policies: (A) commercial general liability insurance in amounts of not less than $1,000,000 per occurrence, $1,000,000 general aggregate, $2,000,000 products/completed operations aggregate, $1,000,000 personal and advertising injury liability, and $100,000 fire legal liability or, following the expiration of the initial Term, such other amounts as Landlord from time to time reasonably requires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on a primary and non-contributory basis and (without implying any consent by Landlord to the installation 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 (E) worker’s compensation insurance in accordance with the laws of the state in which the Premises are located, with Employer’s Liability insurance with limits of $1,000,000 Bodily Injury each Accident, $1,000,000 Disease each Employee, and $1,000,000 Disease– Policy Limit, (F) business interruption insurance in an amount not less than one hundred percent (100%) of all charges payable by Tenant under this lease for a period of twelve (12) months, (G) Automobile Liability insurance covering owned, hired and non-owned vehicles with limits of $1,000,000 combined single limit, (H) Umbrella/Excess Liability insurance, with a limit of $10,000,000 per occurrence and $10,000,000 annual aggregate on a following form basis in excess of the required Commercial General Liability, Automobile Liability, and Employer’s Liability coverages, and (I) Pollution liability insurance, with a limit of $1,000,000 limit is required if Tenant uses or stores any flammable or toxic chemicals or if otherwise requested by Landlord. Tenant shall furnish to Landlord certificates of such insurance least ten (10) days prior to the earlier of the Commencement Date or the date Tenant enters or occupies the Premises, and at least fifteen (15) days prior to each renewal of said insurance, and Tenant shall notify Landlord at least thirty (30) days before cancellation of any such insurance policies. All such insurance policies shall be in form reasonably satisfactory to Landlord and issued by companies with a Best’s rating of A+:VII or better. Tenant’s insurance requirements may be covered under a blanket insurance policy or policies covering other premises or insureds in addition to the Premises. If Tenant fails to comply with the foregoing insurance requirements or to deliver to Landlord the certificates or evidence of coverage required herein, and such failure continues for more than two (2) business days after written notice from Landlord, Landlord, in addition to any other remedy available pursuant to this Lease or otherwise, may, but shall not be obligated to, obtain such insurance and Tenant shall pay to Landlord within thirty (30) days after written notice from Landlord, the premium costs thereof, plus an administrative fee of 15% of such cost.</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Insurance</w:t>
      </w:r>
      <w:r>
        <w:rPr>
          <w:rFonts w:ascii="Times New Roman;Times;Serif" w:hAnsi="Times New Roman;Times;Serif"/>
          <w:b w:val="false"/>
          <w:i w:val="false"/>
          <w:caps w:val="false"/>
          <w:smallCaps w:val="false"/>
          <w:sz w:val="20"/>
        </w:rPr>
        <w:t>. Throughout the Term of this Lease, Landlord shall maintain, as a minimum, the following insurance policies: (1) property insurance for the Building’s replacement value (excluding property required to be insured by Tenant), less a commercially-reasonable deductible if Landlord so chooses, and (2) commercial general liability insurance in an amount of not less than $3,000,000. Landlord may, but is not obligated to, maintain such other insurance and additional coverages as it may deem necessary. The cost of all insurance carried by Landlord with respect to the Project shall be included in Insurance Costs (defined below). The foregoing insurance policies and any other insurance carried by Landlord shall be for the sole benefit of Landlord and under Landlord’s sole control, and Tenant shall have no right or claim to any proceeds thereof or any other rights thereunder.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Subrogation; Waiver of Property Claims</w:t>
      </w:r>
      <w:r>
        <w:rPr>
          <w:rFonts w:ascii="Times New Roman;Times;Serif" w:hAnsi="Times New Roman;Times;Serif"/>
          <w:b w:val="false"/>
          <w:i w:val="false"/>
          <w:caps w:val="false"/>
          <w:smallCaps w:val="false"/>
          <w:sz w:val="20"/>
        </w:rPr>
        <w:t xml:space="preserve">. Landlord and Tenant each waives any claim it might have against the other for any damage to or theft, destruction, loss, or loss of use of any property, to the extent the same is insured against under any property insurance policy of the types described in this Section 12 that covers the Project, the Premises, Landlord’s or Tenant’s fixtures, personal property, inventory, leasehold improvements, or business, or is required to be insured against under the terms hereof, </w:t>
      </w:r>
      <w:r>
        <w:rPr>
          <w:rFonts w:ascii="Times New Roman;Times;Serif" w:hAnsi="Times New Roman;Times;Serif"/>
          <w:b/>
          <w:i w:val="false"/>
          <w:caps w:val="false"/>
          <w:smallCaps w:val="false"/>
          <w:sz w:val="20"/>
        </w:rPr>
        <w:t>regardless of whether the negligence of the other party caused such Loss</w:t>
      </w:r>
      <w:r>
        <w:rPr>
          <w:rFonts w:ascii="Times New Roman;Times;Serif" w:hAnsi="Times New Roman;Times;Serif"/>
          <w:b w:val="false"/>
          <w:i w:val="false"/>
          <w:caps w:val="false"/>
          <w:smallCaps w:val="false"/>
          <w:sz w:val="20"/>
        </w:rPr>
        <w:t xml:space="preserve"> (defined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Times New Roman;Times;Serif" w:hAnsi="Times New Roman;Times;Serif"/>
          <w:b/>
          <w:i w:val="false"/>
          <w:caps w:val="false"/>
          <w:smallCaps w:val="false"/>
          <w:sz w:val="20"/>
        </w:rPr>
        <w:t>regardless of whether the negligence of any party caused such loss in whole or in part</w:t>
      </w:r>
      <w:r>
        <w:rPr>
          <w:rFonts w:ascii="Times New Roman;Times;Serif" w:hAnsi="Times New Roman;Times;Serif"/>
          <w:b w:val="false"/>
          <w:i w:val="false"/>
          <w:caps w:val="false"/>
          <w:smallCaps w:val="false"/>
          <w:sz w:val="20"/>
        </w:rPr>
        <w:t>. Tenant acknowledges that Landlord shall not carry insurance on, and shall not be responsible for damage to, any property of any Tenant Party located in or about the Project.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Subject to Section 12(c),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xml:space="preserve">”) occurring in or on the Project. This indemnity is intended to indemnify Landlord and its agents against the consequences of their own negligence or fault, </w:t>
      </w:r>
      <w:r>
        <w:rPr>
          <w:rFonts w:ascii="Times New Roman;Times;Serif" w:hAnsi="Times New Roman;Times;Serif"/>
          <w:b/>
          <w:i w:val="false"/>
          <w:caps w:val="false"/>
          <w:smallCaps w:val="false"/>
          <w:sz w:val="20"/>
        </w:rPr>
        <w:t>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w:t>
      </w:r>
      <w:r>
        <w:rPr>
          <w:rFonts w:ascii="Times New Roman;Times;Serif" w:hAnsi="Times New Roman;Times;Serif"/>
          <w:b w:val="false"/>
          <w:i w:val="false"/>
          <w:caps w:val="false"/>
          <w:smallCaps w:val="false"/>
          <w:sz w:val="20"/>
        </w:rPr>
        <w:t xml:space="preserve">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 Tenant acknowledges that the decision as to whether to include dock locks, dock restraints or other safety-related equipment, fixtures or improvements in the Premises or elsewhere in the Building shall solely be the responsibility of Tenant, and Tenant shall indemnify, defend and hold harmless the Landlord Indemnitees from and against any and all claims, damages, causes of action, demands, penalties, costs, liabilities, losses, and expenses (including reasonable attorneys’ fees and expenses at the trial and appellate levels) resulting from actual or threatened claims by third parties occasioned by injuries to any person and damage to, or theft or loss of, property occurring in or about the Premises or the Building to the extent caused or alleged to be caused by the failure of any such safety-related equipment, fixtures or improvements to be installed or maintained at the Building. This indemnity provision shall survive termination or expiration of this Lease. The furnishing of insurance required hereunder shall not be deemed to limit Tenant’s indemnification obligations.</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Cost of Landlord’s Insurance</w:t>
      </w:r>
      <w:r>
        <w:rPr>
          <w:rFonts w:ascii="Times New Roman;Times;Serif" w:hAnsi="Times New Roman;Times;Serif"/>
          <w:b w:val="false"/>
          <w:i w:val="false"/>
          <w:caps w:val="false"/>
          <w:smallCaps w:val="false"/>
          <w:sz w:val="20"/>
        </w:rPr>
        <w:t>. Tenant shall pay Tenant’s Proportionate Share of the cost of the insurance carried by Landlord from time to time with respect to the Project (including other improvements and Landlord’s personal property used in connection therewith), which may include fire and extended coverage insurance (including extended and broad form coverage risks, mudslide, land subsidence, volcanic eruption, flood, earthquake and rent loss insurance) and comprehensive general public liability insurance and excess liability insurance, in such amounts and containing such terms as Landlord reasonably deems necessary or desirable (collectively, “</w:t>
      </w:r>
      <w:r>
        <w:rPr>
          <w:rFonts w:ascii="Times New Roman;Times;Serif" w:hAnsi="Times New Roman;Times;Serif"/>
          <w:b/>
          <w:i w:val="false"/>
          <w:caps w:val="false"/>
          <w:smallCaps w:val="false"/>
          <w:sz w:val="20"/>
          <w:u w:val="single"/>
        </w:rPr>
        <w:t>Insurance Costs</w:t>
      </w:r>
      <w:r>
        <w:rPr>
          <w:rFonts w:ascii="Times New Roman;Times;Serif" w:hAnsi="Times New Roman;Times;Serif"/>
          <w:b w:val="false"/>
          <w:i w:val="false"/>
          <w:caps w:val="false"/>
          <w:smallCaps w:val="false"/>
          <w:sz w:val="20"/>
        </w:rPr>
        <w:t>”). During each month of the Term, Tenant shall make a monthly payment to Landlord equal to 1/12th of Tenant’s Proportionate Share of Insurance Costs that will be due and payable for that particular year. Each payment of Insurance Costs shall be due and payable at the same time as, and in the same manner as, provided above for Tenant’s Proportionate Share of Operating Costs. The initial monthly payment of Insurance Costs is based upon Landlord’s good faith estimate of Tenant’s Proportionate Share of the estimated Insurance Costs for the remainder of the first calendar year. The monthly payment of Insurance Costs is subject to increase or decrease as determined by Landlord to reflect accurately Tenant’s Proportionate Share of estimated Insurance Costs. If, following Landlord’s receipt of the bill for the insurance premiums for a calendar year, Landlord determines that Tenant’s total payments of Insurance Costs are less than Tenant’s Proportionate Share of actual Insurance Costs, Tenant shall pay to Landlord the difference within thirty (30) days after written notice from Landlord; if Tenant’s total payments of Insurance Costs are more than Tenant’s Proportionate Share of actual Insurance Costs, Landlord shall retain such excess and credit it to Tenant’s future payments of Insurance Costs (unless such adjustment is at the end of the Term, in which event Landlord shall refund such excess to Tenant within thirty (30) days after expiration).</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Subordination; Attornment; Notice to Landlord’s Mortgagee</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This Lease shall be subordinate to any deed of trust, mortgage, or other security instrument (each, a “</w:t>
      </w:r>
      <w:r>
        <w:rPr>
          <w:rFonts w:ascii="Times New Roman;Times;Serif" w:hAnsi="Times New Roman;Times;Serif"/>
          <w:b/>
          <w:i w:val="false"/>
          <w:caps w:val="false"/>
          <w:smallCaps w:val="false"/>
          <w:sz w:val="20"/>
          <w:u w:val="single"/>
        </w:rPr>
        <w:t>Mortgage</w:t>
      </w:r>
      <w:r>
        <w:rPr>
          <w:rFonts w:ascii="Times New Roman;Times;Serif" w:hAnsi="Times New Roman;Times;Serif"/>
          <w:b w:val="false"/>
          <w:i w:val="false"/>
          <w:caps w:val="false"/>
          <w:smallCaps w:val="false"/>
          <w:sz w:val="20"/>
        </w:rPr>
        <w:t>”), or any ground lease, master lease, or primary lease (each, a “</w:t>
      </w:r>
      <w:r>
        <w:rPr>
          <w:rFonts w:ascii="Times New Roman;Times;Serif" w:hAnsi="Times New Roman;Times;Serif"/>
          <w:b/>
          <w:i w:val="false"/>
          <w:caps w:val="false"/>
          <w:smallCaps w:val="false"/>
          <w:sz w:val="20"/>
          <w:u w:val="single"/>
        </w:rPr>
        <w:t>Primary Lease</w:t>
      </w:r>
      <w:r>
        <w:rPr>
          <w:rFonts w:ascii="Times New Roman;Times;Serif" w:hAnsi="Times New Roman;Times;Serif"/>
          <w:b w:val="false"/>
          <w:i w:val="false"/>
          <w:caps w:val="false"/>
          <w:smallCaps w:val="false"/>
          <w:sz w:val="20"/>
        </w:rPr>
        <w:t>”), that now or hereafter covers all or any part of the Premises (the mortgagee under any such Mortgage, beneficiary under any such deed of trust, or the lessor under any such Primary Lease is referred to herein as a “</w:t>
      </w:r>
      <w:r>
        <w:rPr>
          <w:rFonts w:ascii="Times New Roman;Times;Serif" w:hAnsi="Times New Roman;Times;Serif"/>
          <w:b/>
          <w:i w:val="false"/>
          <w:caps w:val="false"/>
          <w:smallCaps w:val="false"/>
          <w:sz w:val="20"/>
          <w:u w:val="single"/>
        </w:rPr>
        <w:t>Landlord’s Mortgagee</w:t>
      </w:r>
      <w:r>
        <w:rPr>
          <w:rFonts w:ascii="Times New Roman;Times;Serif" w:hAnsi="Times New Roman;Times;Serif"/>
          <w:b w:val="false"/>
          <w:i w:val="false"/>
          <w:caps w:val="false"/>
          <w:smallCaps w:val="false"/>
          <w:sz w:val="20"/>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Attornment</w:t>
      </w:r>
      <w:r>
        <w:rPr>
          <w:rFonts w:ascii="Times New Roman;Times;Serif" w:hAnsi="Times New Roman;Times;Serif"/>
          <w:b w:val="false"/>
          <w:i w:val="false"/>
          <w:caps w:val="false"/>
          <w:smallCaps w:val="false"/>
          <w:sz w:val="20"/>
        </w:rPr>
        <w:t>. Tenant shall attorn to any party succeeding to Landlord’s interest in the Premises, whether by purchase, foreclosure, deed in lieu of foreclosure, power of sale, or otherwise, upon such party’s request, and shall execute such agreements confirming such attornment as such party may reasonably request.</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Landlord’s Mortgagee</w:t>
      </w:r>
      <w:r>
        <w:rPr>
          <w:rFonts w:ascii="Times New Roman;Times;Serif" w:hAnsi="Times New Roman;Times;Serif"/>
          <w:b w:val="false"/>
          <w:i w:val="false"/>
          <w:caps w:val="false"/>
          <w:smallCaps w:val="false"/>
          <w:sz w:val="20"/>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Mortgagee’s Protection Provisions</w:t>
      </w:r>
      <w:r>
        <w:rPr>
          <w:rFonts w:ascii="Times New Roman;Times;Serif" w:hAnsi="Times New Roman;Times;Serif"/>
          <w:b w:val="false"/>
          <w:i w:val="false"/>
          <w:caps w:val="false"/>
          <w:smallCaps w:val="false"/>
          <w:sz w:val="20"/>
        </w:rPr>
        <w:t>. If Landlord’s Mortgagee shall succeed to the interest of Landlord under this Lease, Landlord’s Mortgagee shall not be: (1) liable for any act or omission of any prior lessor (including Landlord); (2) bound by any Rent which Tenant has paid for more than the current month to any prior lessor (including Landlord), and all such rent shall remain due and owing;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Non-Disturbance and Recognition</w:t>
      </w:r>
      <w:r>
        <w:rPr>
          <w:rFonts w:ascii="Times New Roman;Times;Serif" w:hAnsi="Times New Roman;Times;Serif"/>
          <w:b w:val="false"/>
          <w:i w:val="false"/>
          <w:caps w:val="false"/>
          <w:smallCaps w:val="false"/>
          <w:sz w:val="20"/>
        </w:rPr>
        <w:t xml:space="preserve">. Landlord shall obtain an SNDA (defined below) in the form attached hereto as </w:t>
      </w:r>
      <w:r>
        <w:rPr>
          <w:rFonts w:ascii="Times New Roman;Times;Serif" w:hAnsi="Times New Roman;Times;Serif"/>
          <w:b/>
          <w:i w:val="false"/>
          <w:caps w:val="false"/>
          <w:smallCaps w:val="false"/>
          <w:sz w:val="20"/>
          <w:u w:val="single"/>
        </w:rPr>
        <w:t>Exhibit G</w:t>
      </w:r>
      <w:r>
        <w:rPr>
          <w:rFonts w:ascii="Times New Roman;Times;Serif" w:hAnsi="Times New Roman;Times;Serif"/>
          <w:b w:val="false"/>
          <w:i w:val="false"/>
          <w:caps w:val="false"/>
          <w:smallCaps w:val="false"/>
          <w:sz w:val="20"/>
        </w:rPr>
        <w:t xml:space="preserve"> from the current Landlord’s Mortgagee, signed and acknowledge by Landlord and Landlord’s mortgagee, within sixty (60) days after the Effective Date; failing which, Tenant may terminate this Lease at any time (but before receiving such SNDA). Notwithstanding Section 13(a) above, any subordination of Tenant’s interest in the Lease to any future Primary Lease or Mortgage is subject to Tenant’s execution of a commercially reasonable Recognition, Non-Disturbance and Attornment Agreement (“</w:t>
      </w:r>
      <w:r>
        <w:rPr>
          <w:rFonts w:ascii="Times New Roman;Times;Serif" w:hAnsi="Times New Roman;Times;Serif"/>
          <w:b/>
          <w:i w:val="false"/>
          <w:caps w:val="false"/>
          <w:smallCaps w:val="false"/>
          <w:sz w:val="20"/>
          <w:u w:val="single"/>
        </w:rPr>
        <w:t>RNDA</w:t>
      </w:r>
      <w:r>
        <w:rPr>
          <w:rFonts w:ascii="Times New Roman;Times;Serif" w:hAnsi="Times New Roman;Times;Serif"/>
          <w:b w:val="false"/>
          <w:i w:val="false"/>
          <w:caps w:val="false"/>
          <w:smallCaps w:val="false"/>
          <w:sz w:val="20"/>
        </w:rPr>
        <w:t>”) and/or a Subordination, Non-Disturbance and Attornment Agreement (“</w:t>
      </w:r>
      <w:r>
        <w:rPr>
          <w:rFonts w:ascii="Times New Roman;Times;Serif" w:hAnsi="Times New Roman;Times;Serif"/>
          <w:b/>
          <w:i w:val="false"/>
          <w:caps w:val="false"/>
          <w:smallCaps w:val="false"/>
          <w:sz w:val="20"/>
          <w:u w:val="single"/>
        </w:rPr>
        <w:t>SNDA</w:t>
      </w:r>
      <w:r>
        <w:rPr>
          <w:rFonts w:ascii="Times New Roman;Times;Serif" w:hAnsi="Times New Roman;Times;Serif"/>
          <w:b w:val="false"/>
          <w:i w:val="false"/>
          <w:caps w:val="false"/>
          <w:smallCaps w:val="false"/>
          <w:sz w:val="20"/>
        </w:rPr>
        <w:t>”) by Tenant, Landlord and the other party(ies) to such Primary Lease or Mortgage, as applicable. Landlord also agrees to provide an RNDA and SNDA from any such parties who later come into existence after the Effective Date during the Term.</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the rules and regulations of the Project which are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Landlord may, from time to time, change such rules and regulations for the safety, care, or cleanliness of the Project and related facilities, provided that such changes are applicable to all tenants of the Complex, will not unreasonably interfere with Tenant’s use of the Premises and are enforced by Landlord in a non-discriminatory manner. Tenant shall be responsible for the compliance with such rules and regulations by each Tenant Party. To the extent of a conflict between the terms of this Lease and such rules and regulations, the terms of this Lease shall control.</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Condemnation</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Total Taking</w:t>
      </w:r>
      <w:r>
        <w:rPr>
          <w:rFonts w:ascii="Times New Roman;Times;Serif" w:hAnsi="Times New Roman;Times;Serif"/>
          <w:b w:val="false"/>
          <w:i w:val="false"/>
          <w:caps w:val="false"/>
          <w:smallCaps w:val="false"/>
          <w:sz w:val="20"/>
        </w:rPr>
        <w:t>. If the entire Building or Premises are taken by right of eminent domain or conveyed in lieu thereof (a “</w:t>
      </w:r>
      <w:r>
        <w:rPr>
          <w:rFonts w:ascii="Times New Roman;Times;Serif" w:hAnsi="Times New Roman;Times;Serif"/>
          <w:b/>
          <w:i w:val="false"/>
          <w:caps w:val="false"/>
          <w:smallCaps w:val="false"/>
          <w:sz w:val="20"/>
          <w:u w:val="single"/>
        </w:rPr>
        <w:t>Taking</w:t>
      </w:r>
      <w:r>
        <w:rPr>
          <w:rFonts w:ascii="Times New Roman;Times;Serif" w:hAnsi="Times New Roman;Times;Serif"/>
          <w:b w:val="false"/>
          <w:i w:val="false"/>
          <w:caps w:val="false"/>
          <w:smallCaps w:val="false"/>
          <w:sz w:val="20"/>
        </w:rPr>
        <w:t>”), this Lease shall terminate as of the date of the Taking. In the event of a termination under Section 15(a) of either or both of the other two lease agreements between Landlord and Tenant for the leasing of space in the Complex (the “</w:t>
      </w:r>
      <w:r>
        <w:rPr>
          <w:rFonts w:ascii="Times New Roman;Times;Serif" w:hAnsi="Times New Roman;Times;Serif"/>
          <w:b/>
          <w:i w:val="false"/>
          <w:caps w:val="false"/>
          <w:smallCaps w:val="false"/>
          <w:sz w:val="20"/>
          <w:u w:val="single"/>
        </w:rPr>
        <w:t>Other Leases</w:t>
      </w:r>
      <w:r>
        <w:rPr>
          <w:rFonts w:ascii="Times New Roman;Times;Serif" w:hAnsi="Times New Roman;Times;Serif"/>
          <w:b w:val="false"/>
          <w:i w:val="false"/>
          <w:caps w:val="false"/>
          <w:smallCaps w:val="false"/>
          <w:sz w:val="20"/>
        </w:rPr>
        <w:t>”), Tenant shall have the option to terminate this Lease by providing Landlord written notice to that effect within sixty (60) days after the date of such termination.</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Partial Taking - Tenant’s Rights</w:t>
      </w:r>
      <w:r>
        <w:rPr>
          <w:rFonts w:ascii="Times New Roman;Times;Serif" w:hAnsi="Times New Roman;Times;Serif"/>
          <w:b w:val="false"/>
          <w:i w:val="false"/>
          <w:caps w:val="false"/>
          <w:smallCaps w:val="false"/>
          <w:sz w:val="20"/>
        </w:rPr>
        <w:t>. If any part of the Building becomes subject to a Taking and such Taking will prevent Tenant from conducting on a permanent basis its business in the Premises in a manner reasonably comparable to that conducted immediately before such Taking, or if Landlord does not commit to repairing within 180 days after the date of the Taking any damage caused by the Taking and adversely affecting Tenant’s conducting business in the Premises,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Partial Taking - Landlord’s Rights</w:t>
      </w:r>
      <w:r>
        <w:rPr>
          <w:rFonts w:ascii="Times New Roman;Times;Serif" w:hAnsi="Times New Roman;Times;Serif"/>
          <w:b w:val="false"/>
          <w:i w:val="false"/>
          <w:caps w:val="false"/>
          <w:smallCaps w:val="false"/>
          <w:sz w:val="20"/>
        </w:rPr>
        <w:t>. If any material portion, but less than all, of the Building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Section 15(b). In the event Landlord exercises its termination right under Section 15(c) of either or both of the Other Leases, Tenant shall have the option to terminate this Lease by providing Landlord written notice to that effect within sixty (60) days after the date of such Landlord termination.</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Temporary Taking</w:t>
      </w:r>
      <w:r>
        <w:rPr>
          <w:rFonts w:ascii="Times New Roman;Times;Serif" w:hAnsi="Times New Roman;Times;Serif"/>
          <w:b w:val="false"/>
          <w:i w:val="false"/>
          <w:caps w:val="false"/>
          <w:smallCaps w:val="false"/>
          <w:sz w:val="20"/>
        </w:rPr>
        <w:t>. If all or any portion of the Premises becomes subject to a Taking for a limited period of time,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 (1) compensates Tenant for its loss of use of the Premises within the Term and (2) reimburses Tenant for the reasonable out-of-pocket costs actually incurred by Tenant to restore the Premises as required by this Section.</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Fire or Other Casualty</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 Estimate</w:t>
      </w:r>
      <w:r>
        <w:rPr>
          <w:rFonts w:ascii="Times New Roman;Times;Serif" w:hAnsi="Times New Roman;Times;Serif"/>
          <w:b w:val="false"/>
          <w:i w:val="false"/>
          <w:caps w:val="false"/>
          <w:smallCaps w:val="false"/>
          <w:sz w:val="20"/>
        </w:rPr>
        <w:t>. If the Premises or the Building are damaged by fire or other casualty (a “</w:t>
      </w:r>
      <w:r>
        <w:rPr>
          <w:rFonts w:ascii="Times New Roman;Times;Serif" w:hAnsi="Times New Roman;Times;Serif"/>
          <w:b/>
          <w:i w:val="false"/>
          <w:caps w:val="false"/>
          <w:smallCaps w:val="false"/>
          <w:sz w:val="20"/>
          <w:u w:val="single"/>
        </w:rPr>
        <w:t>Casualty</w:t>
      </w:r>
      <w:r>
        <w:rPr>
          <w:rFonts w:ascii="Times New Roman;Times;Serif" w:hAnsi="Times New Roman;Times;Serif"/>
          <w:b w:val="false"/>
          <w:i w:val="false"/>
          <w:caps w:val="false"/>
          <w:smallCaps w:val="false"/>
          <w:sz w:val="20"/>
        </w:rPr>
        <w:t>”), Landlord shall, within 90 days after such Casualty, deliver to Tenant a good faith estimate (the “</w:t>
      </w:r>
      <w:r>
        <w:rPr>
          <w:rFonts w:ascii="Times New Roman;Times;Serif" w:hAnsi="Times New Roman;Times;Serif"/>
          <w:b/>
          <w:i w:val="false"/>
          <w:caps w:val="false"/>
          <w:smallCaps w:val="false"/>
          <w:sz w:val="20"/>
          <w:u w:val="single"/>
        </w:rPr>
        <w:t>Damage Notice</w:t>
      </w:r>
      <w:r>
        <w:rPr>
          <w:rFonts w:ascii="Times New Roman;Times;Serif" w:hAnsi="Times New Roman;Times;Serif"/>
          <w:b w:val="false"/>
          <w:i w:val="false"/>
          <w:caps w:val="false"/>
          <w:smallCaps w:val="false"/>
          <w:sz w:val="20"/>
        </w:rPr>
        <w:t>”) of the cost and time needed to repair the damage caused by such Casualty.</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Rights</w:t>
      </w:r>
      <w:r>
        <w:rPr>
          <w:rFonts w:ascii="Times New Roman;Times;Serif" w:hAnsi="Times New Roman;Times;Serif"/>
          <w:b w:val="false"/>
          <w:i w:val="false"/>
          <w:caps w:val="false"/>
          <w:smallCaps w:val="false"/>
          <w:sz w:val="20"/>
        </w:rPr>
        <w:t>. If a material portion of the Premises is damaged by Casualty such that Tenant is prevented from 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Times New Roman;Times;Serif" w:hAnsi="Times New Roman;Times;Serif"/>
          <w:b/>
          <w:i w:val="false"/>
          <w:caps w:val="false"/>
          <w:smallCaps w:val="false"/>
          <w:sz w:val="20"/>
          <w:u w:val="single"/>
        </w:rPr>
        <w:t>Repair Period</w:t>
      </w:r>
      <w:r>
        <w:rPr>
          <w:rFonts w:ascii="Times New Roman;Times;Serif" w:hAnsi="Times New Roman;Times;Serif"/>
          <w:b w:val="false"/>
          <w:i w:val="false"/>
          <w:caps w:val="false"/>
          <w:smallCaps w:val="false"/>
          <w:sz w:val="20"/>
        </w:rPr>
        <w:t>”), then Tenant may terminate this Lease by delivering written notice to Landlord of its election to terminate within 30 days after the Damage Notice has been delivered to Tenant.</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Rights</w:t>
      </w:r>
      <w:r>
        <w:rPr>
          <w:rFonts w:ascii="Times New Roman;Times;Serif" w:hAnsi="Times New Roman;Times;Serif"/>
          <w:b w:val="false"/>
          <w:i w:val="false"/>
          <w:caps w:val="false"/>
          <w:smallCaps w:val="false"/>
          <w:sz w:val="20"/>
        </w:rPr>
        <w:t>. If (i) a Casualty damages the Premises or a material portion of the Building, (ii) Tenant does not agree in writing within ten (10) business days after receipt of the Damage Notice to pay for the cost of repair of such damage and restoration of the Premises pursuant to this Section 16, and (iii) either (1) Landlord estimates that the damage to the Premises cannot be repaired within the Repair Period, (2) 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plus applicable deductibles (provided Landlord carries the insurance required hereunder) or Landlord makes a good faith determination that restoring the Building would be uneconomical, or (4) Landlord is required to pay any insurance proceeds arising out of the Casualty to a Landlord’s Mortgagee such that remaining insurance proceeds are insufficient to cover the costs of rebuilding, then Landlord may terminate this Lease by giving written notice of its election to terminate within 30 days after the Damage Notice has been delivered to Tenant. In the event Landlord exercises its termination right under Section 16(c) of either or both of the Other Leases, Tenant shall have the option to terminate this Lease by providing Landlord written notice to that effect within sixty (60) days after the date of such Landlord termination.</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 Obligation</w:t>
      </w:r>
      <w:r>
        <w:rPr>
          <w:rFonts w:ascii="Times New Roman;Times;Serif" w:hAnsi="Times New Roman;Times;Serif"/>
          <w:b w:val="false"/>
          <w:i w:val="false"/>
          <w:caps w:val="false"/>
          <w:smallCaps w:val="false"/>
          <w:sz w:val="20"/>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(plus applicable deductible amounts). If this Lease is terminated under the provisions of this Section 16,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If Landlord does not complete the restoration of the Premises within 120 days after the time period estimated by Landlord to repair the damage caused by such Casualty as specified in the Damage Notice, as the same may be extended by force majeure or delays caused by a Tenant Party, Tenant may terminate this Lease by delivering written notice to Landlord and Landlord’s Mortgagee following the expiration of such 120-day period (as the same may be extended as set forth above) and prior to the date upon which Landlord substantially completes such restoration. Such termination shall be effective as of the date specified in Tenant’s termination notice (but not earlier than 30 days nor later than 90 days after the date of such notice) as if such date were the date fixed for the expiration of the Term. If Tenant fails to timely give such termination notice, Tenant shall be deemed to have waived its right to terminate this Lease, time being of the essence with respect thereto. Notwithstanding the foregoing, if upon the receipt of Tenant’s written election to terminate this Lease as provided in this Section 15.(d), Landlord reasonably believes it can complete the restoration of the Premises within 30 days following the receipt of such notice, Landlord may, in its sole discretion, elect to proceed with such restoration and, provided Landlord substantially completes such restoration within such 30-day period, Tenant’s election to terminate shall be null and void.</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Abatement of Rent</w:t>
      </w:r>
      <w:r>
        <w:rPr>
          <w:rFonts w:ascii="Times New Roman;Times;Serif" w:hAnsi="Times New Roman;Times;Serif"/>
          <w:b w:val="false"/>
          <w:i w:val="false"/>
          <w:caps w:val="false"/>
          <w:smallCaps w:val="false"/>
          <w:sz w:val="20"/>
        </w:rPr>
        <w:t>. If the Premises are damaged by Casualty, Rent for the portion of the Premises rendered untenantable by the damage shall be abated on a reasonable basis from the date of damage until the completion of Landlord’s repairs (or until the date of termination of this Lease by Landlord or Tenant as provided above, as the case may be), unless the gross negligence or willful misconduct of a Tenant Party caused such damage, in which case, Tenant shall continue to pay Rent without abatement.</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Personal Property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be liable for all taxes levied or assessed against personal property, furniture, or fixtures 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following occurrences shall be an “</w:t>
      </w:r>
      <w:r>
        <w:rPr>
          <w:rFonts w:ascii="Times New Roman;Times;Serif" w:hAnsi="Times New Roman;Times;Serif"/>
          <w:b/>
          <w:i w:val="false"/>
          <w:caps w:val="false"/>
          <w:smallCaps w:val="false"/>
          <w:sz w:val="20"/>
          <w:u w:val="single"/>
        </w:rPr>
        <w:t>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Default</w:t>
      </w:r>
      <w:r>
        <w:rPr>
          <w:rFonts w:ascii="Times New Roman;Times;Serif" w:hAnsi="Times New Roman;Times;Serif"/>
          <w:b w:val="false"/>
          <w:i w:val="false"/>
          <w:caps w:val="false"/>
          <w:smallCaps w:val="false"/>
          <w:sz w:val="20"/>
        </w:rPr>
        <w:t>. Tenant’s failure to pay Rent within three (3) business days of the date due, which failure continues for five (5) days after Landlord has delivered written notice to Tenant that the same is due; however, an Event of Default shall occur hereunder without any obligation of Landlord to give any notice if Tenant fails to pay any regularly scheduled Rent payment within three (3) business days of the date due and, during the 12 month interval preceding such failure, Landlord has given Tenant written notice of failure to pay any regularly scheduled Rent payment on one or more occasions;</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Abandonment</w:t>
      </w:r>
      <w:r>
        <w:rPr>
          <w:rFonts w:ascii="Times New Roman;Times;Serif" w:hAnsi="Times New Roman;Times;Serif"/>
          <w:b w:val="false"/>
          <w:i w:val="false"/>
          <w:caps w:val="false"/>
          <w:smallCaps w:val="false"/>
          <w:sz w:val="20"/>
        </w:rPr>
        <w:t>. Tenant abandons the Premises or any substantial portion thereof;</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Estoppel</w:t>
      </w:r>
      <w:r>
        <w:rPr>
          <w:rFonts w:ascii="Times New Roman;Times;Serif" w:hAnsi="Times New Roman;Times;Serif"/>
          <w:b w:val="false"/>
          <w:i w:val="false"/>
          <w:caps w:val="false"/>
          <w:smallCaps w:val="false"/>
          <w:sz w:val="20"/>
        </w:rPr>
        <w:t>. Tenant fails to provide any estoppel certificate after Landlord’s written request therefor pursuant to Section 26(e) and such failure shall continue for three business days after Landlord’s second written notice thereof to Tenant;</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Tenant fails to procure, maintain and deliver to Landlord evidence of the insurance policies and coverages as required under Section 12(a), and with respect to delivery of evidence of such insurance only, such failure shall continue for five business days after Landlord’s written notice thereof to Tenant;</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Tenant fails to pay and release of record, or diligently contest and bond around, any mechanic’s lien filed against the Premises or the Project for any work performed, materials furnished, or obligation incurred by or at the request of Tenant, within the time and in the manner required by Section 8(d) and such failure shall continue for five business days after Landlord’s written notice thereof to Tenant;</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Tenant’s failure to perform, comply with, or observe any other agreement or obligation of Tenant under this Lease and the continuance of such failure for a period of more than 30 days after Landlord has delivered to Tenant written notice thereof; however, if such failure cannot be cured within such 30-day period (thus excluding, for example, Tenant’s obligation to provide Landlord evidence of Tenant’s insurance coverage) and Tenant commences to cure such failure within such 30-day period and thereafter diligently pursues such cure to completion, then such failure shall not be an Event of Default unless it is not fully cured within an additional 60 days after the expiration of the 30-day period; and</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The filing of a petition by or against Tenant (the term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 shall include, for the purpose of this Section 18(g),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Landlord’s sole remedy for the Event of Default set forth in Subsection 18(b) above (Abandonment) is termination of this Lease. During the existence of any other Event of Default, Landlord may, in addition to all other rights and remedies afforded Landlord hereunder or by law or equity, take any one or more of the following actions:</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Lease</w:t>
      </w:r>
      <w:r>
        <w:rPr>
          <w:rFonts w:ascii="Times New Roman;Times;Serif" w:hAnsi="Times New Roman;Times;Serif"/>
          <w:b w:val="false"/>
          <w:i w:val="false"/>
          <w:caps w:val="false"/>
          <w:smallCaps w:val="false"/>
          <w:sz w:val="20"/>
        </w:rPr>
        <w:t>. Terminate this Lease by giving Tenant written notice thereof, in which event Tenant shall pay to Landlord the sum of (1) all Rent accrued hereunder through the date of termination, (2) all amounts due under Section 20(a), and (3) an amount equal to (A) 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Possession</w:t>
      </w:r>
      <w:r>
        <w:rPr>
          <w:rFonts w:ascii="Times New Roman;Times;Serif" w:hAnsi="Times New Roman;Times;Serif"/>
          <w:b w:val="false"/>
          <w:i w:val="false"/>
          <w:caps w:val="false"/>
          <w:smallCaps w:val="false"/>
          <w:sz w:val="20"/>
        </w:rPr>
        <w:t>. Terminate Tenant’s right to possess the Premises without terminating this Lease by giving written notice thereof to Tenant, in which event Tenant shall pay to Landlord (1) all Rent and other amounts accrued hereunder to the date of termination of possession, (2) all amounts due from time to time under Section 20(a), and (3) all Rent and other net sums required hereunder to be paid by Tenant during the remainder of the Term, diminished by any net sums thereafter received by Landlord through reletting the Premises during such period, after deducting all reasonable costs incurred by Landlord in reletting the Premises. If Landlord elects to proceed under this Section 19(b),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reasonable discretion may determine (including a term different from the Term, rental concessions, and alterations to, and improvement of, the Premises); however, Landlord shall not be obligated to relet the Premises before leasing other portions of the Building or Complex and Landlord shall not be obligated to accept any prospective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19(b). If Landlord elects to proceed under this Section 19(b), it may at any time elect to terminate this Lease under Section 19(a);</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 Acts on Behalf of Tenant</w:t>
      </w:r>
      <w:r>
        <w:rPr>
          <w:rFonts w:ascii="Times New Roman;Times;Serif" w:hAnsi="Times New Roman;Times;Serif"/>
          <w:b w:val="false"/>
          <w:i w:val="false"/>
          <w:caps w:val="false"/>
          <w:smallCaps w:val="false"/>
          <w:sz w:val="20"/>
        </w:rPr>
        <w:t>. Perform any act Tenant is obligated to perform under the terms of this Lease (and enter upon the Premises in connection therewith if necessary) in Tenant’s name and on Tenant’s behalf, without being liable for any claim for damages therefor, except to the extent due to Landlord’s gross negligence or willful misconduct in performing such obligation, and Tenant shall reimburse Landlord on demand for any reasonable expenses which Landlord may incur in thus effecting compliance with Tenant’s obligations under this Lease (including, but not limited to, collection costs and legal expenses), plus interest thereon at the Default Rate;</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 of Services</w:t>
      </w:r>
      <w:r>
        <w:rPr>
          <w:rFonts w:ascii="Times New Roman;Times;Serif" w:hAnsi="Times New Roman;Times;Serif"/>
          <w:b w:val="false"/>
          <w:i w:val="false"/>
          <w:caps w:val="false"/>
          <w:smallCaps w:val="false"/>
          <w:sz w:val="20"/>
        </w:rPr>
        <w:t>. Suspend any services required to be provided by Landlord hereunder without being liable for any claim for damages therefor; or</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Alteration of Locks</w:t>
      </w:r>
      <w:r>
        <w:rPr>
          <w:rFonts w:ascii="Times New Roman;Times;Serif" w:hAnsi="Times New Roman;Times;Serif"/>
          <w:b w:val="false"/>
          <w:i w:val="false"/>
          <w:caps w:val="false"/>
          <w:smallCaps w:val="false"/>
          <w:sz w:val="20"/>
        </w:rPr>
        <w:t>. Additionally, with or without notice, and to the extent permitted by Law, Landlord may alter locks or other security devices at the Premises to deprive Tenant of access thereto, and Landlord shall not be required to provide a new key or right of access to Tenant.</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by Tenant; Non-Waiver; Cumulative Remedies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by Tenant</w:t>
      </w:r>
      <w:r>
        <w:rPr>
          <w:rFonts w:ascii="Times New Roman;Times;Serif" w:hAnsi="Times New Roman;Times;Serif"/>
          <w:b w:val="false"/>
          <w:i w:val="false"/>
          <w:caps w:val="false"/>
          <w:smallCaps w:val="false"/>
          <w:sz w:val="20"/>
        </w:rPr>
        <w:t>. Upon any Event of Default, Tenant shall pay to Landlord all costs incurred by Landlord (including court costs and reasonable attorneys’ fees and expenses) in (1) obtaining possession of the Premises, (2) removing and storing Tenant’s or any other occupant’s property, (3) repairing, restoring, or otherwise putting the Premises into the condition required at expiration of the Term, (4) if Tenant is dispossessed of the Premises and this Lease is not terminated, reletting all or any part of the Premises (including reasonable brokerage commissions), (5) performing Tenant’s obligations which Tenant failed to perform, and (6) 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Any and all remedies set forth in this Lease: (1) shall be in addition to any and all other 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Lien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Tenant’s property, racking, shelves, wall display systems, bins, machinery, fixtures, security devices (including security gates and security cameras), generators, furnishings, equipment, accounts receivable, inventory, and other personal property (collectively, “</w:t>
      </w:r>
      <w:r>
        <w:rPr>
          <w:rFonts w:ascii="Times New Roman;Times;Serif" w:hAnsi="Times New Roman;Times;Serif"/>
          <w:b/>
          <w:i w:val="false"/>
          <w:caps w:val="false"/>
          <w:smallCaps w:val="false"/>
          <w:sz w:val="20"/>
          <w:u w:val="single"/>
        </w:rPr>
        <w:t>Tenant’s Property</w:t>
      </w:r>
      <w:r>
        <w:rPr>
          <w:rFonts w:ascii="Times New Roman;Times;Serif" w:hAnsi="Times New Roman;Times;Serif"/>
          <w:b w:val="false"/>
          <w:i w:val="false"/>
          <w:caps w:val="false"/>
          <w:smallCaps w:val="false"/>
          <w:sz w:val="20"/>
        </w:rPr>
        <w:t>”), however installed or located on or about the Premises, will be and remain the property of Tenant or its lender, service providers, contractors, or vendors (and their respective lenders or contractors) (collectively, “</w:t>
      </w:r>
      <w:r>
        <w:rPr>
          <w:rFonts w:ascii="Times New Roman;Times;Serif" w:hAnsi="Times New Roman;Times;Serif"/>
          <w:b/>
          <w:i w:val="false"/>
          <w:caps w:val="false"/>
          <w:smallCaps w:val="false"/>
          <w:sz w:val="20"/>
          <w:u w:val="single"/>
        </w:rPr>
        <w:t>Vendors</w:t>
      </w:r>
      <w:r>
        <w:rPr>
          <w:rFonts w:ascii="Times New Roman;Times;Serif" w:hAnsi="Times New Roman;Times;Serif"/>
          <w:b w:val="false"/>
          <w:i w:val="false"/>
          <w:caps w:val="false"/>
          <w:smallCaps w:val="false"/>
          <w:sz w:val="20"/>
        </w:rPr>
        <w:t>”) and may be installed, modified, and removed at any time and from time to time during the Term without Landlord’s consent. In no event (including an Event of Default) will Landlord have any lien or other security interest in any of Tenant’s Property located in the Premises or elsewhere, and Landlord hereby expressly waives and releases any lien or other security interest however created or arising to secure the obligations of Tenant under this Lease until such time as Landlord may obtain an enforceable judgment against Tenant from a court with jurisdiction of Tenant or Tenant’s Property, at which time Landlord shall have such lien rights at law and in equity to enforce and collect such judgment and Tenant’s obligations under this Lease. At Tenant’s request and cost, Landlord will execute a lien waiver and access agreement requested by Vendors, in a form reasonably acceptable to Landlord and such Vendors or other institutional lenders, so long as the applicable Vendor agrees (a) to provide Landlord with at least five (5) business days’ notice before exercising any remedy to remove Tenant’s Property; (b) to allow a representative of Landlord to be present during the exercise of any such remedy; (c) to repair and restore any damage caused by the removal of Tenant’s Property; (d) to carry at least the same level of insurance as required of Tenant during any time that such third party is on the Premises; and (e) to indemnify, defend, and hold harmless Landlord from any claims arising out of or relating to such party’s exercise of its rights.</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Surrender of Premises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Surrender</w:t>
      </w:r>
      <w:r>
        <w:rPr>
          <w:rFonts w:ascii="Times New Roman;Times;Serif" w:hAnsi="Times New Roman;Times;Serif"/>
          <w:b w:val="false"/>
          <w:i w:val="false"/>
          <w:caps w:val="false"/>
          <w:smallCaps w:val="false"/>
          <w:sz w:val="20"/>
        </w:rPr>
        <w:t>.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Sections 15 and 16 shall control) excepted, and shall deliver to Landlord all keys to the Premises.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All alterations, additions or improvements made in or upon the Premises shall, at Landlord’s option, (to be exercised pursuant to following sentences), either be removed by Tenant prior to the end of the Term (and Tenant shall repair all damage caused thereby), or shall remain in the Premises at the end of the Term without compensation to Tenant. If (1) Tenant either (a) submits plans and specifications to Landlord for proposed alterations, additions or improvements to the Premises that require Landlord’s review under this Lease, or (b) provides Landlord a Non-Structural Alterations Notice pursuant to Section 8(a) above, and (2) Tenant delivers a Removal Notice (defined below) to Landlord contemporaneously with such submission by Tenant, then Landlord will notify Tenant whether Tenant will be required to remove such alterations, additions or improvements to the Premises at the expiration of the Term. A “</w:t>
      </w:r>
      <w:r>
        <w:rPr>
          <w:rFonts w:ascii="Times New Roman;Times;Serif" w:hAnsi="Times New Roman;Times;Serif"/>
          <w:b/>
          <w:i w:val="false"/>
          <w:caps w:val="false"/>
          <w:smallCaps w:val="false"/>
          <w:sz w:val="20"/>
          <w:u w:val="single"/>
        </w:rPr>
        <w:t>Removal Notice</w:t>
      </w:r>
      <w:r>
        <w:rPr>
          <w:rFonts w:ascii="Times New Roman;Times;Serif" w:hAnsi="Times New Roman;Times;Serif"/>
          <w:b w:val="false"/>
          <w:i w:val="false"/>
          <w:caps w:val="false"/>
          <w:smallCaps w:val="false"/>
          <w:sz w:val="20"/>
        </w:rPr>
        <w:t>” means a written notice from Tenant to Landlord that conspicuously states in bold, uppercase typeface that Tenant will not be required to remove the alterations, additions or improvements in question at the end of the Term unless Landlord notifies Tenant in writing that Landlord will require Tenant to remove such alterations prior to the expiration of the Term. If Tenant does not deliver a Removal Notice to Landlord with respect to any alterations, additions or improvements to the Premises (whether such approval is required hereunder or otherwise), Tenant shall, at Landlord’s written request, remove all such alterations, additions, improvements, trade fixtures, personal property, equipment, wiring, conduits, cabling, and furniture (including Tenant’s Off-Premises Equipment) as Landlord may request.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under Section 21. The provisions of this Section 22 shall survive the end of the Term.</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Non-Standard Improvements</w:t>
      </w:r>
      <w:r>
        <w:rPr>
          <w:rFonts w:ascii="Times New Roman;Times;Serif" w:hAnsi="Times New Roman;Times;Serif"/>
          <w:b w:val="false"/>
          <w:i w:val="false"/>
          <w:caps w:val="false"/>
          <w:smallCaps w:val="false"/>
          <w:sz w:val="20"/>
        </w:rPr>
        <w:t>. Notwithstanding Section 22(a) above, Tenant shall remove such Non-Standard Improvements (defined below) as Landlord requests; however, Tenant shall not be required to remove any Non-Standard Improvements to the Premises or the Project if Landlord has specifically agreed in writing that the improvement or addition in question need not be removed. As used herein, “</w:t>
      </w:r>
      <w:r>
        <w:rPr>
          <w:rFonts w:ascii="Times New Roman;Times;Serif" w:hAnsi="Times New Roman;Times;Serif"/>
          <w:b/>
          <w:i w:val="false"/>
          <w:caps w:val="false"/>
          <w:smallCaps w:val="false"/>
          <w:sz w:val="20"/>
          <w:u w:val="single"/>
        </w:rPr>
        <w:t>Non-Standard Improvements</w:t>
      </w:r>
      <w:r>
        <w:rPr>
          <w:rFonts w:ascii="Times New Roman;Times;Serif" w:hAnsi="Times New Roman;Times;Serif"/>
          <w:b w:val="false"/>
          <w:i w:val="false"/>
          <w:caps w:val="false"/>
          <w:smallCaps w:val="false"/>
          <w:sz w:val="20"/>
        </w:rPr>
        <w:t>” means, collectively, any cleanroom space installed by Tenant within the Premises, any roof penetrations, alterations, additions, improvements, trade fixtures, personal property, equipment, wiring, conduits, cabling, and furniture related to such cleanroom or that are not typical warehouse improvements (in Landlord’s commercially reasonable judgment). Tenant shall repair all damage caused by removal of Non-Standard Improvements by Tenant pursuant to this Section 22(b), and upon removal of the Non-Standard Improvements, Tenant shall restore the applicable portions of the Premises to substantially the same condition as of the date of this Lease, including the roof. All such restoration work which may affect the Building’s Structure or the Building’s Systems must be approved by the Building’s engineer of record, at Tenant’s expense and, at Landlord’s election, must be performed by Landlord’s usual contractor for such work. All restoration work affecting the Building roof must be performed by Landlord’s roofing contractor, and will not be permitted if it would void or reduce the warranty on the roof.</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Holding Over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fails to vacate the Premises at the end of the Term, then Tenant shall be a tenant at sufferance and, (a) Tenant shall pay, in addition to the other Rent, Basic Rent equal to 150% of the Rent payable during the last month of the Term, and (b) Tenant shall otherwise continue to be subject to all of Tenant’s obligations under this Lease. The provisions of this Section 23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preceding sentence, Tenant shall not be liable for lost profits or other consequential, punitive or special damages in connection with a holdover after the end of the Term unless Landlord has notified Tenant in writing (“</w:t>
      </w:r>
      <w:r>
        <w:rPr>
          <w:rFonts w:ascii="Times New Roman;Times;Serif" w:hAnsi="Times New Roman;Times;Serif"/>
          <w:b/>
          <w:i w:val="false"/>
          <w:caps w:val="false"/>
          <w:smallCaps w:val="false"/>
          <w:sz w:val="20"/>
          <w:u w:val="single"/>
        </w:rPr>
        <w:t>Notice to Vacate</w:t>
      </w:r>
      <w:r>
        <w:rPr>
          <w:rFonts w:ascii="Times New Roman;Times;Serif" w:hAnsi="Times New Roman;Times;Serif"/>
          <w:b w:val="false"/>
          <w:i w:val="false"/>
          <w:caps w:val="false"/>
          <w:smallCaps w:val="false"/>
          <w:sz w:val="20"/>
        </w:rPr>
        <w:t>”) that Landlord has executed a bona fide letter of intent with another tenant for any portion of the Premises and Tenant fails to vacate the Premises by the later of (i) the date that is thirty (30) days after delivery of the Notice to Vacate, or (ii) the end of the Term.</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Rights Reserved by Landlord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the exercise of such rights does not unreasonably interfere with Tenant’s occupancy of the Premises, Landlord shall have the following rights: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Building Operations</w:t>
      </w:r>
      <w:r>
        <w:rPr>
          <w:rFonts w:ascii="Times New Roman;Times;Serif" w:hAnsi="Times New Roman;Times;Serif"/>
          <w:b w:val="false"/>
          <w:i w:val="false"/>
          <w:caps w:val="false"/>
          <w:smallCaps w:val="false"/>
          <w:sz w:val="20"/>
        </w:rPr>
        <w:t>. To make inspections, repairs, and replacements,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and to change the name of the Building;</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To take such reasonable measures as Landlord deems advisable for the security of the Building and its occupants; evacuating the Building for cause, suspected cause, or for drill purposes; and temporarily denying access to the Building;</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Prospective Purchasers and Lenders</w:t>
      </w:r>
      <w:r>
        <w:rPr>
          <w:rFonts w:ascii="Times New Roman;Times;Serif" w:hAnsi="Times New Roman;Times;Serif"/>
          <w:b w:val="false"/>
          <w:i w:val="false"/>
          <w:caps w:val="false"/>
          <w:smallCaps w:val="false"/>
          <w:sz w:val="20"/>
        </w:rPr>
        <w:t>. To enter the Premises at all reasonable hours, upon reasonable prior notice, to show the Premises to prospective purchasers or lenders; and</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Prospective Tenants</w:t>
      </w:r>
      <w:r>
        <w:rPr>
          <w:rFonts w:ascii="Times New Roman;Times;Serif" w:hAnsi="Times New Roman;Times;Serif"/>
          <w:b w:val="false"/>
          <w:i w:val="false"/>
          <w:caps w:val="false"/>
          <w:smallCaps w:val="false"/>
          <w:sz w:val="20"/>
        </w:rPr>
        <w:t>. At any time during the last 12 months of the Term (or earlier if Tenant has notified Landlord in writing that it does not desire to renew the Term) or at any time following the occurrence of an Event of Default which remains uncured, to enter the Premises at all reasonable hours, upon reasonable prior notice, to show the Premises to prospective tenants.</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Landlord’s rights pursuant to this Section 24, (i) Landlord shall use reasonable efforts to not materially and adversely interfere with the operations of Tenant’s business, and (ii) Tenant shall have the right to accompany Tenant during such access to the Premises, and to prevent Landlord from entering into secure areas that are identified to Landlord prior to such entry (except in cases of real or apparent emergency). Prior to permitting a prospective purchaser, prospective tenant or any other party not acting on Landlord’s behalf from entering the Premises, Landlord shall use commercially reasonable efforts to obtain non-disclosure agreements from such prospective purchasers or prospective tenants on Tenant’s then form NDA, subject to reasonable comments from such prospective purchaser or prospective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 Transfer</w:t>
      </w:r>
      <w:r>
        <w:rPr>
          <w:rFonts w:ascii="Times New Roman;Times;Serif" w:hAnsi="Times New Roman;Times;Serif"/>
          <w:b w:val="false"/>
          <w:i w:val="false"/>
          <w:caps w:val="false"/>
          <w:smallCaps w:val="false"/>
          <w:sz w:val="20"/>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Liability</w:t>
      </w:r>
      <w:r>
        <w:rPr>
          <w:rFonts w:ascii="Times New Roman;Times;Serif" w:hAnsi="Times New Roman;Times;Serif"/>
          <w:b w:val="false"/>
          <w:i w:val="false"/>
          <w:caps w:val="false"/>
          <w:smallCaps w:val="false"/>
          <w:sz w:val="20"/>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and Landlord (and its partners, shareholders or members) shall not be personally liable for any deficiency. The provisions of this Section shall survive any expiration or termination of this Lease. Additionally, Tenant hereby waives its statutory lien under Section 91.004 of the Texas Property Code.</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 (collectively, “</w:t>
      </w:r>
      <w:r>
        <w:rPr>
          <w:rFonts w:ascii="Times New Roman;Times;Serif" w:hAnsi="Times New Roman;Times;Serif"/>
          <w:b/>
          <w:i w:val="false"/>
          <w:caps w:val="false"/>
          <w:smallCaps w:val="false"/>
          <w:sz w:val="20"/>
          <w:u w:val="single"/>
        </w:rPr>
        <w:t>Force Majeure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Neither Landlord nor Tenant has dealt with any broker or agent in connection with the negotiation or execution of this Lease, other than CBRE, Inc., whose commission shall be paid by Landlord pursuant to a separate written agreement. Tenant and Landlord shall each indemnify the other against all costs, expenses, attorneys’ fees, liens and other liability for commissions or other compensation claimed by any broker or agent claiming the same by, through, or under the indemnifying party.</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Estoppel Certificates</w:t>
      </w:r>
      <w:r>
        <w:rPr>
          <w:rFonts w:ascii="Times New Roman;Times;Serif" w:hAnsi="Times New Roman;Times;Serif"/>
          <w:b w:val="false"/>
          <w:i w:val="false"/>
          <w:caps w:val="false"/>
          <w:smallCaps w:val="false"/>
          <w:sz w:val="20"/>
        </w:rPr>
        <w:t xml:space="preserve">. From time to time, Tenant shall furnish to any party designated by Landlord, within ten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If Tenant does not deliver to Landlord the certificate signed by Tenant within such required time period, Landlord, Landlord’s Mortgagee and any prospective purchaser or mortgagee, may conclusively presume and rely upon the following facts: (1) this Lease is in full force and effect; (2) the terms and provisions of this Lease have not been changed except as otherwise represented by Landlord; (3) not more than one monthly installment of Basic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hereunder shall be in writing and shall be served on the parties at the addresses set forth in the Basic Lease Information. Any such notices shall, unless otherwise provided herein, be given or served (i) by depositing the same in the United States mail, postage paid, certified and addressed to the party to be notified, with return receipt requested, (ii) by overnight delivery using a nationally recognized overnight courier, (iii) by personal delivery, or (iv) by electronic mail addressed to the electronic mail address set forth in the Basic Lease Information for the party to be notified with a confirmation copy delivered by another method permitted under this Section 26(f) (i), (ii) or (iii). Notice given in accordance herewith for all permitted forms of notice other than by electronic mail, shall be effective upon the earlier to occur of actual delivery to the address of the addressee or refusal of receipt by the addressee (even if such addressee refuses delivery thereof). Notice given by electronic mail in accordance herewith shall be effective upon the entrance of such electronic mail into the information processing system designated by the recipient’s electronic mail address. Except for electronic mail notices as described above, no notice hereunder shall be effective if sent or delivered by electronic means. In no event shall this Lease be entered into, executed, terminated, altered, amended or modified by electronic mail or electronic record, except for the delivery or transmission of signatures as expressly provided in Section 26(z). A party’s address may be changed by written notice to the other party; provided, however, that no notice of a change of address shall be effective until actual receipt of such notice. Copies of notices are for informational purposes only, and a failure to give or receive copies of any notice shall not be deemed a failure to give notice. Notices given by counsel to the Tenant shall be deemed given by Tenant and notices given by counsel to the Landlord shall be deemed given by Landlord. If Landlord sends a default notice or an invoice to Tenant for payment of any rent due hereunder, an email of such default notice and/or invoice shall be sent to Fred Chang (             ), David Kuo (             ), and Ray Du (             ) regardless of any other method of notice sent to the other Tenant notice parties.</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 Binding Effect; No Electronic Records</w:t>
      </w:r>
      <w:r>
        <w:rPr>
          <w:rFonts w:ascii="Times New Roman;Times;Serif" w:hAnsi="Times New Roman;Times;Serif"/>
          <w:b w:val="false"/>
          <w:i w:val="false"/>
          <w:caps w:val="false"/>
          <w:smallCaps w:val="false"/>
          <w:sz w:val="20"/>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(i) by electronic mail as specifically set forth in Section 26(f) and (ii) for the delivery or transmission of signatures as expressly provided in Section 26(z); nor shall the use of the phrase “in writing” or the word “written” be construed to include electronic communications except by electronic mail as specifically set forth in Section 26(f).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Quiet Enjoyment</w:t>
      </w:r>
      <w:r>
        <w:rPr>
          <w:rFonts w:ascii="Times New Roman;Times;Serif" w:hAnsi="Times New Roman;Times;Serif"/>
          <w:b w:val="false"/>
          <w:i w:val="false"/>
          <w:caps w:val="false"/>
          <w:smallCaps w:val="false"/>
          <w:sz w:val="20"/>
        </w:rPr>
        <w:t>. Provided no Event of Default exists, Tenant shall peaceably and quietly hold and enjoy the Premises for the Term, without hindrance from Landlord or any party claiming by, through, or under Landlord, but not otherwise, subject to the terms and conditions of this Lease.</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Lease shall be governed by and construed in accordance with the laws of the state in which the Premises are located.</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Recording</w:t>
      </w:r>
      <w:r>
        <w:rPr>
          <w:rFonts w:ascii="Times New Roman;Times;Serif" w:hAnsi="Times New Roman;Times;Serif"/>
          <w:b w:val="false"/>
          <w:i w:val="false"/>
          <w:caps w:val="false"/>
          <w:smallCaps w:val="false"/>
          <w:sz w:val="20"/>
        </w:rPr>
        <w:t xml:space="preserve">. Landlord and Tenant shall, contemporaneously with their execution and delivery of this Lease, each execute and acknowledge a memorandum of lease respecting this Lease, substantially in the form of </w:t>
      </w:r>
      <w:r>
        <w:rPr>
          <w:rFonts w:ascii="Times New Roman;Times;Serif" w:hAnsi="Times New Roman;Times;Serif"/>
          <w:b/>
          <w:i w:val="false"/>
          <w:caps w:val="false"/>
          <w:smallCaps w:val="false"/>
          <w:sz w:val="20"/>
          <w:u w:val="single"/>
        </w:rPr>
        <w:t>Exhibit J</w:t>
      </w:r>
      <w:r>
        <w:rPr>
          <w:rFonts w:ascii="Times New Roman;Times;Serif" w:hAnsi="Times New Roman;Times;Serif"/>
          <w:b w:val="false"/>
          <w:i w:val="false"/>
          <w:caps w:val="false"/>
          <w:smallCaps w:val="false"/>
          <w:sz w:val="20"/>
        </w:rPr>
        <w:t xml:space="preserve"> attached hereto, which Tenant shall be permitted to record in the applicable public land records for Fort Bend County, Texas. Within ten (10) days after the end of the Term or if this Lease is earlier terminated, Landlord and Tenant shall enter into such documentation as is reasonably required by Landlord or Tenant to remove the memorandum of record.</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Water or Mold Notification</w:t>
      </w:r>
      <w:r>
        <w:rPr>
          <w:rFonts w:ascii="Times New Roman;Times;Serif" w:hAnsi="Times New Roman;Times;Serif"/>
          <w:b w:val="false"/>
          <w:i w:val="false"/>
          <w:caps w:val="false"/>
          <w:smallCaps w:val="false"/>
          <w:sz w:val="20"/>
        </w:rPr>
        <w:t>. To the extent Tenant or its agents or employees discover any water leakage, water damage or mold in or about the Premises or Project, Tenant shall promptly notify Landlord thereof in writing.</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Joint and Several Liability</w:t>
      </w:r>
      <w:r>
        <w:rPr>
          <w:rFonts w:ascii="Times New Roman;Times;Serif" w:hAnsi="Times New Roman;Times;Serif"/>
          <w:b w:val="false"/>
          <w:i w:val="false"/>
          <w:caps w:val="false"/>
          <w:smallCaps w:val="false"/>
          <w:sz w:val="20"/>
        </w:rPr>
        <w:t>. If Tenant is comprised of more than one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Section 26(p) more than once in any 12-month period unless requested by Landlord’s Mortgagee or a prospective buyer or lender of the Building or an Event of Default occurs. Notwithstanding anything to the contrary contained herein, so long as Tenant remains a publicly traded company (or a consolidated subsidiary of a publicly traded company) on a nationally recognized stock exchange and with financial statements that are publicly available, Tenant shall not be required to provide or deliver financial statements or any other information required under this subsection.</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Fees</w:t>
      </w:r>
      <w:r>
        <w:rPr>
          <w:rFonts w:ascii="Times New Roman;Times;Serif" w:hAnsi="Times New Roman;Times;Serif"/>
          <w:b w:val="false"/>
          <w:i w:val="false"/>
          <w:caps w:val="false"/>
          <w:smallCaps w:val="false"/>
          <w:sz w:val="20"/>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 Notwithstanding the foregoing, Tenant’s obligations under this subsection shall never exceed $2,500.00 for any single requested action unless Landlord advises Tenant in advance of the estimate of such costs and allows Tenant to first withdraw such request so as to avoid any such reimbursement obligation.</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Telecommunications</w:t>
      </w:r>
      <w:r>
        <w:rPr>
          <w:rFonts w:ascii="Times New Roman;Times;Serif" w:hAnsi="Times New Roman;Times;Serif"/>
          <w:b w:val="false"/>
          <w:i w:val="false"/>
          <w:caps w:val="false"/>
          <w:smallCaps w:val="false"/>
          <w:sz w:val="20"/>
        </w:rPr>
        <w:t>.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Times;Serif" w:hAnsi="Times New Roman;Times;Serif"/>
          <w:b/>
          <w:i w:val="false"/>
          <w:caps w:val="false"/>
          <w:smallCaps w:val="false"/>
          <w:sz w:val="20"/>
          <w:u w:val="single"/>
        </w:rPr>
        <w:t>Telecommunications Services</w:t>
      </w:r>
      <w:r>
        <w:rPr>
          <w:rFonts w:ascii="Times New Roman;Times;Serif" w:hAnsi="Times New Roman;Times;Serif"/>
          <w:b w:val="false"/>
          <w:i w:val="false"/>
          <w:caps w:val="false"/>
          <w:smallCaps w:val="false"/>
          <w:sz w:val="20"/>
        </w:rPr>
        <w:t>”), for part or all of Tenant’s telecommunications within the Building and from the Building to any other location without Landlord’s prior written consent, not to be unreasonably withheld.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if required by Law (including without limitation those of the United States Securities and Exchange Commission), or in response to a court order or decision or court order or request of a stock exchange, regulatory agency or other authority, to its attorneys, accountants, employees and existing or prospective financial partners provided same are advised by Tenant of the confidential nature of such terms and conditions. Tenant shall be liable for any disclosures made in violation of this Section by Tenant or by any entity or individual to whom the terms of and conditions of this Lease were disclosed or made available by Tenant. The consent by Landlord to any disclosures shall not be deemed to be a waiver on the part of Landlord of any prohibition against any future disclosure. Notwithstanding anything to the contrary in this Lease, Landlord acknowledges and agrees that Tenant may file this Lease with the U.S. Securities and Exchange Commission (SEC) as an exhibit to a Current Report on Form 8-K or other periodic report pursuant to the Securities Exchange Act of 1934, as amended, and such disclosure shall not constitute a breach of the confidentiality provisions herein; provided, however, that prior to any such filing, Tenant shall provide Landlord with advance written notice and a reasonable opportunity to review the proposed filing and request redactions. Tenant agrees to incorporate Landlord’s requested redactions to the extent permitted by applicable SEC rules and regulations (without a formal confidential treatment request under applicable SEC regulations).</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Tenant (if a corporation, partnership or other business entity) hereby represents and warrants to Landlord that Tenant is a duly formed and existing entity qualified to do business in the state in which the Premises are located, that Tenant has full right and authority to execute and deliver this Lease, and that each person signing on behalf of Tenant is authorized to do so.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Service</w:t>
      </w:r>
      <w:r>
        <w:rPr>
          <w:rFonts w:ascii="Times New Roman;Times;Serif" w:hAnsi="Times New Roman;Times;Serif"/>
          <w:b w:val="false"/>
          <w:i w:val="false"/>
          <w:caps w:val="false"/>
          <w:smallCaps w:val="false"/>
          <w:sz w:val="20"/>
        </w:rPr>
        <w:t>. Tenant acknowledges and agrees that, while Landlord may (but shall not be obligated to) patrol the Building or Project, Landlord is not providing any security services with respect to the Premises or Tenant’s Off-Premises Equipment and that Landlord shall not be liable to Tenant for, and Tenant waives any claim against Landlord with respect to, any loss by theft or any other damage suffered or incurred by Tenant in connection with any unauthorized entry into the Premises or any area where Tenant’s Off-Premises Equipment is located or any other breach of security with respect to the Premises or Tenant’s Off-Premises Equipment.</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 of Exhibits</w:t>
      </w:r>
      <w:r>
        <w:rPr>
          <w:rFonts w:ascii="Times New Roman;Times;Serif" w:hAnsi="Times New Roman;Times;Serif"/>
          <w:b w:val="false"/>
          <w:i w:val="false"/>
          <w:caps w:val="false"/>
          <w:smallCaps w:val="false"/>
          <w:sz w:val="20"/>
        </w:rPr>
        <w:t>. All exhibits and attachments attached hereto are incorporated herein by this reference.</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Outline of Premises</w:t>
        <w:br/>
        <w:t>Exhibit B – Description of the Land</w:t>
        <w:br/>
        <w:t>Exhibit C – Building Rules and Regulations</w:t>
        <w:br/>
        <w:t>Exhibit D – Work Letter</w:t>
        <w:br/>
        <w:t>Exhibit E – Form of Confirmation of Commencement Date Letter</w:t>
        <w:br/>
        <w:t>Exhibit F – Form of Tenant Estoppel Certificate</w:t>
        <w:br/>
        <w:t>Exhibit G – Form of SNDA</w:t>
        <w:br/>
        <w:t>Exhibit H – Purchase Option</w:t>
        <w:br/>
        <w:t>Exhibit I – Insurance for Construction Operations</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Prohibited Persons and Transactions</w:t>
      </w:r>
      <w:r>
        <w:rPr>
          <w:rFonts w:ascii="Times New Roman;Times;Serif" w:hAnsi="Times New Roman;Times;Serif"/>
          <w:b w:val="false"/>
          <w:i w:val="false"/>
          <w:caps w:val="false"/>
          <w:smallCaps w:val="false"/>
          <w:sz w:val="20"/>
        </w:rPr>
        <w:t>. Tenant represents and warrants to Landlord that Tenant is currently 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Determination of Charges</w:t>
      </w:r>
      <w:r>
        <w:rPr>
          <w:rFonts w:ascii="Times New Roman;Times;Serif" w:hAnsi="Times New Roman;Times;Serif"/>
          <w:b w:val="false"/>
          <w:i w:val="false"/>
          <w:caps w:val="false"/>
          <w:smallCaps w:val="false"/>
          <w:sz w:val="20"/>
        </w:rPr>
        <w:t>. Landlord and Tenant agree that each provision of this Lease for determining charges and amounts payable by Tenant (including provisions regarding Additional Rent and Tenant’s Proportionate Share of Taxes and Insurance Costs) is commercially reasonable and, as to each such charge or amount, constitutes a statement of the amount of the charge or a method by which the charge is to be computed for purposes of Section 93.012 of the Texas Property Code.</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Invasive Testing</w:t>
      </w:r>
      <w:r>
        <w:rPr>
          <w:rFonts w:ascii="Times New Roman;Times;Serif" w:hAnsi="Times New Roman;Times;Serif"/>
          <w:b w:val="false"/>
          <w:i w:val="false"/>
          <w:caps w:val="false"/>
          <w:smallCaps w:val="false"/>
          <w:sz w:val="20"/>
        </w:rPr>
        <w:t>. Tenant shall not undertake, nor shall Tenant permit any Tenant Party to undertake, any invasive investigation, drilling or sampling of the soil or groundwater at the Project without the prior written consent of Landlord, which consent shall be in Landlord’s sole discretion.</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Lease may be executed in any number of counterparts, each of which shall be deemed to be an original, and all of such counterparts shall constitute one Lease. To facilitate execution of this Lease, the parties may execute and exchange signature pages by facsimile or via electronic mail (*.pdf or similar file types). The parties further agree that counterparts of this Lease may be signed electronically via Adobe Sign, DocuSign protocol or other electronic platform. All such signatures may be used in the place of original “wet ink” signatures to this Lease and shall have the same legal effect as the physical delivery of an original signature.</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(z)</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Prohibition against Hazardous Materials</w:t>
      </w:r>
      <w:r>
        <w:rPr>
          <w:rFonts w:ascii="Times New Roman;Times;Serif" w:hAnsi="Times New Roman;Times;Serif"/>
          <w:b w:val="false"/>
          <w:i w:val="false"/>
          <w:caps w:val="false"/>
          <w:smallCaps w:val="false"/>
          <w:sz w:val="20"/>
        </w:rPr>
        <w:t>. Except for Hazardous Materials contained in products used by Tenant in de minimis quantities for ordinary cleaning and office purposes, Tenant shall not permit or cause any party to bring any Hazardous Materials upon the Premises or in the Project or transport, store, use, generate, manufacture, dispose, or release any Hazardous Materials on or from the Premises or the Project without Landlord’s prior written consent.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or in the Project, and Tenant shall promptly deliver to Landlord a copy of any notice of violation relating to the Premises or the Project of any Environmental Requirement.</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u w:val="single"/>
        </w:rPr>
        <w:t>Environmental Requirements</w:t>
      </w:r>
      <w:r>
        <w:rPr>
          <w:rFonts w:ascii="Times New Roman;Times;Serif" w:hAnsi="Times New Roman;Times;Serif"/>
          <w:b w:val="false"/>
          <w:i w:val="false"/>
          <w:caps w:val="false"/>
          <w:smallCaps w:val="false"/>
          <w:sz w:val="20"/>
        </w:rPr>
        <w:t xml:space="preserve">” means all Laws regulating or relating to health, safety, or environmental conditions on, under, or about the Premises or the Project or the environment including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nuisance or trespass, and any other requirements of Section 14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this Lease. The term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means and includes any substance, material, waste, pollutant, or contaminant that is or could be regulated under any Environmental Requirement or that may adversely affect human health or the environment, including any solid 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the “owner” and “operator” of Tenant’s “facility” and the “owner” of all Hazardous Materials brought on the Premises or the Project by a Tenant Party and the wastes, by-products, or residues generated, resulting, or produced therefrom.</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 of Hazardous Materials</w:t>
      </w:r>
      <w:r>
        <w:rPr>
          <w:rFonts w:ascii="Times New Roman;Times;Serif" w:hAnsi="Times New Roman;Times;Serif"/>
          <w:b w:val="false"/>
          <w:i w:val="false"/>
          <w:caps w:val="false"/>
          <w:smallCaps w:val="false"/>
          <w:sz w:val="20"/>
        </w:rPr>
        <w:t>. Tenant, at its sole cost and expense, shall remove all Hazardous Materials stored, disposed of or otherwise released by a Tenant Party onto or from the Premises or the Project, in a manner and to a level satisfactory to Landlord in its reasonable discretion, but in no event to a level and in a manner less than that which complies with all Environmental Requirements and does not limit any future uses of the Premises or the Project or require the recording of any deed restriction or notice regarding the Premises or the Project. Tenant shall perform such work at any time during the period of this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an action to compel Tenant to perform such work), perform such work at Tenant’s cost. Tenant shall pay all costs incurred by Landlord in performing such work within thirty (30) days after Landlord’s request therefor. Such work performed by Landlord is on behalf of Tenant and Tenant remains the owner, generator, operator, transporter, and/or arranger of the Hazardous Materials stored, disposed of or otherwise released by a Tenant Party onto or from the Premises or the Project for purposes of Environmental Requirements. Tenant agrees not to enter into any agreement with any person, including any governmental authority, regarding the removal of Hazardous Materials that have been disposed of or otherwise released onto or from the Premises or the Project without the written approval of the Landlord.</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Indemnity</w:t>
      </w:r>
      <w:r>
        <w:rPr>
          <w:rFonts w:ascii="Times New Roman;Times;Serif" w:hAnsi="Times New Roman;Times;Serif"/>
          <w:b w:val="false"/>
          <w:i w:val="false"/>
          <w:caps w:val="false"/>
          <w:smallCaps w:val="false"/>
          <w:sz w:val="20"/>
        </w:rPr>
        <w:t>. Tenant shall indemnify, defend, and hold Landlord harmless from and against any and all losses (including diminution in value of the Premises or the Project and loss of rental income from the Project), liabilities (INCLUDING ANY STRICT LIABILITY), claims, demands, actions, suits, damages (including punitive damages), expenses (including remediation, removal, repair, corrective action, or cleanup expenses), and costs (including actual attorneys’ fees, consultant fees or expert fees and including removal or management of any asbestos brought into the Premises or the Project or disturbed in breach of the requirements of this Section 27, regardless of whether such removal or management is required by Law) which are brought or recoverable against, or suffered or incurred by Landlord as a result of any release of Hazardous Materials or any breach of the requirements under this Section 27 by a Tenant Party regardless of whether Tenant had knowledge of such noncompliance. The obligations of Tenant under this Section 27 shall survive any expiration or termination of this Lease.</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Inspections and Tests</w:t>
      </w:r>
      <w:r>
        <w:rPr>
          <w:rFonts w:ascii="Times New Roman;Times;Serif" w:hAnsi="Times New Roman;Times;Serif"/>
          <w:b w:val="false"/>
          <w:i w:val="false"/>
          <w:caps w:val="false"/>
          <w:smallCaps w:val="false"/>
          <w:sz w:val="20"/>
        </w:rPr>
        <w:t>. Landlord shall have access to, and a right to perform inspections and tests of, the Premises to determine Tenant’s compliance with Environmental Requirements, its obligations under this Section 27,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or the Project. Tenant shall, within five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 Materials onto or from the Premises or the Project. Tenant shall not undertake, nor shall Tenant permit any Tenant Party to undertake, any invasive investigation, drilling or sampling of the soil or groundwater at the Premises or the Project without the prior written consent of Landlord, which consent shall in Landlord’s sole discretion.</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Parking</w:t>
      </w:r>
      <w:r>
        <w:rPr>
          <w:rFonts w:ascii="Times New Roman;Times;Serif" w:hAnsi="Times New Roman;Times;Serif"/>
          <w:b w:val="false"/>
          <w:i w:val="false"/>
          <w:caps w:val="false"/>
          <w:smallCaps w:val="false"/>
          <w:sz w:val="20"/>
        </w:rPr>
        <w:t>. Tenant shall have the exclusive right to use all of the parking spaces associated with the Building. Landlord reserves the right to initiate steps to control the parking utilization through gates, access cards, hang-tags or other means as appropriate. Parking spaces will be available to Tenant without charge during the initial Term. Landlord shall not be responsible for enforcing Tenant’s parking rights against third parties.</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Applications</w:t>
      </w:r>
      <w:r>
        <w:rPr>
          <w:rFonts w:ascii="Times New Roman;Times;Serif" w:hAnsi="Times New Roman;Times;Serif"/>
          <w:b w:val="false"/>
          <w:i w:val="false"/>
          <w:caps w:val="false"/>
          <w:smallCaps w:val="false"/>
          <w:sz w:val="20"/>
        </w:rPr>
        <w:t>. Landlord shall reasonably cooperate with Tenant and execute all applications and forms required under Law for Tenant’s building permit, reasonably assist Tenant with all application filings with the entities having jurisdiction over the facility especially related to application signatures, and reasonably cooperate with Tenant in obtaining any economic incentives, provided the foregoing is at no out-of-pocket cost to Landlord.</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 NOTHING IN THIS PARAGRAPH SHALL BE CONSTRUED TO DIMINISH THE OBLIGATIONS OF LANDLORD THAT ARE EXPRESSLY SET FORTH ELSEWHERE IN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145"/>
        <w:gridCol w:w="365"/>
        <w:gridCol w:w="365"/>
        <w:gridCol w:w="365"/>
        <w:gridCol w:w="3575"/>
      </w:tblGrid>
      <w:tr>
        <w:trPr/>
        <w:tc>
          <w:tcPr>
            <w:tcW w:w="11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w:t>
            </w:r>
          </w:p>
          <w:p>
            <w:pPr>
              <w:pStyle w:val="TableContents"/>
              <w:bidi w:val="0"/>
              <w:spacing w:before="0" w:after="0"/>
              <w:ind w:left="0" w:right="0" w:hanging="0"/>
              <w:jc w:val="both"/>
              <w:rPr>
                <w:caps w:val="false"/>
                <w:smallCaps w:val="false"/>
              </w:rPr>
            </w:pPr>
            <w:r>
              <w:rPr>
                <w:caps w:val="false"/>
                <w:smallCaps w:val="false"/>
              </w:rPr>
              <w:t> </w:t>
            </w:r>
          </w:p>
        </w:tc>
        <w:tc>
          <w:tcPr>
            <w:tcW w:w="467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Hightower Phase I Owner, LLC</w:t>
            </w:r>
            <w:r>
              <w:rPr>
                <w:rFonts w:ascii="Times New Roman;Times;Serif" w:hAnsi="Times New Roman;Times;Serif"/>
                <w:b w:val="false"/>
                <w:i w:val="false"/>
                <w:caps w:val="false"/>
                <w:smallCaps w:val="false"/>
                <w:sz w:val="20"/>
              </w:rPr>
              <w:t>,</w:t>
              <w:br/>
              <w:t>a Delaware limited liability company</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05" w:type="dxa"/>
            <w:gridSpan w:val="3"/>
            <w:tcBorders/>
            <w:vAlign w:val="center"/>
          </w:tcPr>
          <w:p>
            <w:pPr>
              <w:pStyle w:val="TableContents"/>
              <w:bidi w:val="0"/>
              <w:spacing w:before="0" w:after="283"/>
              <w:jc w:val="left"/>
              <w:rPr/>
            </w:pPr>
            <w:r>
              <w:rPr/>
              <w:t>Hightower Investor Holdings, LLC,</w:t>
              <w:br/>
              <w:t>a Delaware limited liability company,</w:t>
              <w:br/>
              <w:t>its sole member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05" w:type="dxa"/>
            <w:gridSpan w:val="3"/>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940" w:type="dxa"/>
            <w:gridSpan w:val="2"/>
            <w:tcBorders/>
            <w:vAlign w:val="center"/>
          </w:tcPr>
          <w:p>
            <w:pPr>
              <w:pStyle w:val="TableContents"/>
              <w:bidi w:val="0"/>
              <w:spacing w:before="0" w:after="283"/>
              <w:jc w:val="left"/>
              <w:rPr/>
            </w:pPr>
            <w:r>
              <w:rPr/>
              <w:t>CHI Gulf Coast 106 Hightower, L.P.,</w:t>
              <w:br/>
              <w:t>a Delaware limited partnership,</w:t>
              <w:br/>
              <w:t>its administrative member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75" w:type="dxa"/>
            <w:tcBorders/>
            <w:vAlign w:val="center"/>
          </w:tcPr>
          <w:p>
            <w:pPr>
              <w:pStyle w:val="TableContents"/>
              <w:bidi w:val="0"/>
              <w:spacing w:before="0" w:after="283"/>
              <w:jc w:val="left"/>
              <w:rPr/>
            </w:pPr>
            <w:r>
              <w:rPr/>
              <w:t>CHI LTH GP, L.L.C.,</w:t>
              <w:br/>
              <w:t>a Delaware limited liability company,</w:t>
              <w:br/>
              <w:t>its general partner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By: </w:t>
            </w:r>
            <w:r>
              <w:rPr>
                <w:u w:val="single"/>
              </w:rPr>
              <w:t>/s/ Cory Driskill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Name: </w:t>
            </w:r>
            <w:r>
              <w:rPr>
                <w:u w:val="single"/>
              </w:rPr>
              <w:t>Cory Driskill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Title:</w:t>
            </w:r>
            <w:r>
              <w:rPr>
                <w:u w:val="single"/>
              </w:rPr>
              <w:t>   Vice President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Execution Date: </w:t>
            </w:r>
            <w:r>
              <w:rPr>
                <w:u w:val="single"/>
              </w:rPr>
              <w:t>5/6/26            </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TENANT:</w:t>
            </w:r>
          </w:p>
        </w:tc>
        <w:tc>
          <w:tcPr>
            <w:tcW w:w="467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Applied Optoelectronics, Inc.</w:t>
            </w:r>
            <w:r>
              <w:rPr>
                <w:rFonts w:ascii="Times New Roman;Times;Serif" w:hAnsi="Times New Roman;Times;Serif"/>
                <w:b w:val="false"/>
                <w:i w:val="false"/>
                <w:caps w:val="false"/>
                <w:smallCaps w:val="false"/>
                <w:sz w:val="20"/>
              </w:rPr>
              <w:t>,</w:t>
              <w:br/>
              <w:t>a Delaware corporation</w:t>
            </w:r>
          </w:p>
        </w:tc>
      </w:tr>
      <w:tr>
        <w:trPr/>
        <w:tc>
          <w:tcPr>
            <w:tcW w:w="1145" w:type="dxa"/>
            <w:tcBorders/>
            <w:vAlign w:val="center"/>
          </w:tcPr>
          <w:p>
            <w:pPr>
              <w:pStyle w:val="TableContents"/>
              <w:bidi w:val="0"/>
              <w:spacing w:before="0" w:after="283"/>
              <w:jc w:val="both"/>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By: </w:t>
            </w:r>
            <w:r>
              <w:rPr>
                <w:u w:val="single"/>
              </w:rPr>
              <w:t>/s/ Thompson Lin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Name: </w:t>
            </w:r>
            <w:r>
              <w:rPr>
                <w:u w:val="single"/>
              </w:rPr>
              <w:t>Thompson Lin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Title:</w:t>
            </w:r>
            <w:r>
              <w:rPr>
                <w:u w:val="single"/>
              </w:rPr>
              <w:t>   CEO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Execution Date: </w:t>
            </w:r>
            <w:r>
              <w:rPr>
                <w:u w:val="single"/>
              </w:rPr>
              <w:t>5/8/26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right"/>
        <w:rPr>
          <w:b/>
        </w:rPr>
      </w:pPr>
      <w:bookmarkStart w:id="24" w:name="aaoi_ex1002.htm"/>
      <w:bookmarkStart w:id="25" w:name="ksaaoi_ex1002"/>
      <w:bookmarkEnd w:id="24"/>
      <w:bookmarkEnd w:id="25"/>
      <w:r>
        <w:rPr>
          <w:b/>
        </w:rPr>
        <w:t>Exhibit 10.2</w:t>
      </w:r>
      <w:r>
        <w:br w:type="page"/>
      </w:r>
    </w:p>
    <w:p>
      <w:pPr>
        <w:pStyle w:val="TextBody"/>
        <w:bidi w:val="0"/>
        <w:jc w:val="righ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LEASE AGREEMENT BETWEEN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hightower phase I owner, LLC,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LANDLORD, AND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applied optoelectronics,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TENANT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DATED may </w:t>
      </w:r>
      <w:r>
        <w:rPr>
          <w:rFonts w:ascii="Times New Roman;Times;Serif" w:hAnsi="Times New Roman;Times;Serif"/>
          <w:b/>
          <w:i w:val="false"/>
          <w:caps/>
          <w:sz w:val="20"/>
          <w:u w:val="single"/>
        </w:rPr>
        <w:t>8</w:t>
      </w:r>
      <w:r>
        <w:rPr>
          <w:rFonts w:ascii="Times New Roman;Times;Serif" w:hAnsi="Times New Roman;Times;Serif"/>
          <w:b/>
          <w:i w:val="false"/>
          <w:caps/>
          <w:sz w:val="20"/>
        </w:rPr>
        <w:t>,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houston, TEXAS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BASIC LEASE INFORMATION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415"/>
        <w:gridCol w:w="2000"/>
        <w:gridCol w:w="3526"/>
        <w:gridCol w:w="3264"/>
      </w:tblGrid>
      <w:tr>
        <w:trPr/>
        <w:tc>
          <w:tcPr>
            <w:tcW w:w="1415" w:type="dxa"/>
            <w:tcBorders/>
            <w:vAlign w:val="center"/>
          </w:tcPr>
          <w:p>
            <w:pPr>
              <w:pStyle w:val="TableContents"/>
              <w:bidi w:val="0"/>
              <w:spacing w:before="0" w:after="283"/>
              <w:jc w:val="left"/>
              <w:rPr>
                <w:sz w:val="20"/>
              </w:rPr>
            </w:pPr>
            <w:r>
              <w:rPr>
                <w:sz w:val="20"/>
              </w:rPr>
              <w:t>Lease Date:</w:t>
            </w:r>
          </w:p>
        </w:tc>
        <w:tc>
          <w:tcPr>
            <w:tcW w:w="8790" w:type="dxa"/>
            <w:gridSpan w:val="3"/>
            <w:tcBorders/>
            <w:vAlign w:val="center"/>
          </w:tcPr>
          <w:p>
            <w:pPr>
              <w:pStyle w:val="TableContents"/>
              <w:bidi w:val="0"/>
              <w:spacing w:before="0" w:after="283"/>
              <w:jc w:val="left"/>
              <w:rPr>
                <w:sz w:val="20"/>
              </w:rPr>
            </w:pPr>
            <w:r>
              <w:rPr>
                <w:sz w:val="20"/>
              </w:rPr>
              <w:t xml:space="preserve">May </w:t>
            </w:r>
            <w:r>
              <w:rPr>
                <w:sz w:val="20"/>
                <w:u w:val="single"/>
              </w:rPr>
              <w:t>8</w:t>
            </w:r>
            <w:r>
              <w:rPr>
                <w:sz w:val="20"/>
              </w:rPr>
              <w:t>, 2026</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20"/>
              </w:rPr>
            </w:pPr>
            <w:r>
              <w:rPr>
                <w:sz w:val="20"/>
              </w:rPr>
              <w:t>Landlord:</w:t>
            </w:r>
          </w:p>
        </w:tc>
        <w:tc>
          <w:tcPr>
            <w:tcW w:w="8790" w:type="dxa"/>
            <w:gridSpan w:val="3"/>
            <w:tcBorders/>
            <w:vAlign w:val="center"/>
          </w:tcPr>
          <w:p>
            <w:pPr>
              <w:pStyle w:val="TableContents"/>
              <w:bidi w:val="0"/>
              <w:spacing w:before="0" w:after="283"/>
              <w:jc w:val="left"/>
              <w:rPr>
                <w:sz w:val="20"/>
              </w:rPr>
            </w:pPr>
            <w:r>
              <w:rPr>
                <w:sz w:val="20"/>
              </w:rPr>
              <w:t>HIGHTOWER PHASE I OWNER, LLC, a Delaware limited liability company</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20"/>
              </w:rPr>
            </w:pPr>
            <w:r>
              <w:rPr>
                <w:sz w:val="20"/>
              </w:rPr>
              <w:t>Tenant:</w:t>
            </w:r>
          </w:p>
        </w:tc>
        <w:tc>
          <w:tcPr>
            <w:tcW w:w="8790" w:type="dxa"/>
            <w:gridSpan w:val="3"/>
            <w:tcBorders/>
            <w:vAlign w:val="center"/>
          </w:tcPr>
          <w:p>
            <w:pPr>
              <w:pStyle w:val="TableContents"/>
              <w:bidi w:val="0"/>
              <w:spacing w:before="0" w:after="283"/>
              <w:jc w:val="left"/>
              <w:rPr>
                <w:sz w:val="20"/>
              </w:rPr>
            </w:pPr>
            <w:r>
              <w:rPr>
                <w:sz w:val="20"/>
              </w:rPr>
              <w:t>APPLIED OPTOELECTRONICS, INC., a Delaware corporation</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20"/>
              </w:rPr>
            </w:pPr>
            <w:r>
              <w:rPr>
                <w:sz w:val="20"/>
              </w:rPr>
              <w:t>Premises:</w:t>
            </w:r>
          </w:p>
        </w:tc>
        <w:tc>
          <w:tcPr>
            <w:tcW w:w="8790" w:type="dxa"/>
            <w:gridSpan w:val="3"/>
            <w:tcBorders/>
            <w:vAlign w:val="center"/>
          </w:tcPr>
          <w:p>
            <w:pPr>
              <w:pStyle w:val="TableContents"/>
              <w:bidi w:val="0"/>
              <w:spacing w:before="0" w:after="283"/>
              <w:jc w:val="both"/>
              <w:rPr>
                <w:sz w:val="20"/>
              </w:rPr>
            </w:pPr>
            <w:r>
              <w:rPr>
                <w:sz w:val="20"/>
              </w:rPr>
              <w:t>That certain building containing 343,332 rentable square feet, commonly known as Hightower Business Park - Phase I – Building 2 (the “</w:t>
            </w:r>
            <w:r>
              <w:rPr>
                <w:b/>
                <w:sz w:val="20"/>
                <w:u w:val="single"/>
              </w:rPr>
              <w:t>Building</w:t>
            </w:r>
            <w:r>
              <w:rPr>
                <w:sz w:val="20"/>
              </w:rPr>
              <w:t xml:space="preserve">”), and whose street address is 6100 McHard Road, Houston, Texas 77053. The Premises are outlined on the plan attached to the Lease as </w:t>
            </w:r>
            <w:r>
              <w:rPr>
                <w:rFonts w:ascii="Times New Roman;Times;Serif" w:hAnsi="Times New Roman;Times;Serif"/>
                <w:sz w:val="20"/>
                <w:u w:val="single"/>
              </w:rPr>
              <w:t>Exhibit A</w:t>
            </w:r>
            <w:r>
              <w:rPr>
                <w:sz w:val="20"/>
              </w:rPr>
              <w:t>. The land on which the Building is located (the “</w:t>
            </w:r>
            <w:r>
              <w:rPr>
                <w:b/>
                <w:sz w:val="20"/>
                <w:u w:val="single"/>
              </w:rPr>
              <w:t>Land</w:t>
            </w:r>
            <w:r>
              <w:rPr>
                <w:sz w:val="20"/>
              </w:rPr>
              <w:t>”</w:t>
            </w:r>
            <w:r>
              <w:rPr>
                <w:b/>
                <w:sz w:val="20"/>
              </w:rPr>
              <w:t>)</w:t>
            </w:r>
            <w:r>
              <w:rPr>
                <w:sz w:val="20"/>
              </w:rPr>
              <w:t xml:space="preserve"> is described on </w:t>
            </w:r>
            <w:r>
              <w:rPr>
                <w:rFonts w:ascii="Times New Roman;Times;Serif" w:hAnsi="Times New Roman;Times;Serif"/>
                <w:sz w:val="20"/>
                <w:u w:val="single"/>
              </w:rPr>
              <w:t>Exhibit B</w:t>
            </w:r>
            <w:r>
              <w:rPr>
                <w:sz w:val="20"/>
              </w:rPr>
              <w:t>. The term “</w:t>
            </w:r>
            <w:r>
              <w:rPr>
                <w:b/>
                <w:sz w:val="20"/>
                <w:u w:val="single"/>
              </w:rPr>
              <w:t>Project</w:t>
            </w:r>
            <w:r>
              <w:rPr>
                <w:sz w:val="20"/>
              </w:rPr>
              <w:t>” shall collectively refer to the Building, the Land and the driveways, parking facilities, loading dock areas, roadways, any rail tracks associated with the Building and similar improvements and easements associated with the foregoing or the operation thereof.</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both"/>
              <w:rPr/>
            </w:pPr>
            <w:r>
              <w:rPr/>
              <w:t> </w:t>
            </w:r>
          </w:p>
        </w:tc>
      </w:tr>
      <w:tr>
        <w:trPr/>
        <w:tc>
          <w:tcPr>
            <w:tcW w:w="1415" w:type="dxa"/>
            <w:tcBorders/>
            <w:vAlign w:val="center"/>
          </w:tcPr>
          <w:p>
            <w:pPr>
              <w:pStyle w:val="TableContents"/>
              <w:bidi w:val="0"/>
              <w:spacing w:before="0" w:after="283"/>
              <w:jc w:val="left"/>
              <w:rPr>
                <w:sz w:val="20"/>
              </w:rPr>
            </w:pPr>
            <w:r>
              <w:rPr>
                <w:sz w:val="20"/>
              </w:rPr>
              <w:t>Term:</w:t>
            </w:r>
          </w:p>
        </w:tc>
        <w:tc>
          <w:tcPr>
            <w:tcW w:w="8790" w:type="dxa"/>
            <w:gridSpan w:val="3"/>
            <w:tcBorders/>
            <w:vAlign w:val="center"/>
          </w:tcPr>
          <w:p>
            <w:pPr>
              <w:pStyle w:val="TableContents"/>
              <w:bidi w:val="0"/>
              <w:spacing w:before="0" w:after="283"/>
              <w:jc w:val="both"/>
              <w:rPr>
                <w:sz w:val="20"/>
              </w:rPr>
            </w:pPr>
            <w:r>
              <w:rPr>
                <w:sz w:val="20"/>
              </w:rPr>
              <w:t>123 full calendar months, plus any partial month from the Commencement Date to the end of the month in which the Commencement Date falls, starting on the Commencement Date and ending at 5:00 p.m. local time on the last day of the 123</w:t>
            </w:r>
            <w:r>
              <w:rPr>
                <w:position w:val="7"/>
                <w:sz w:val="16"/>
                <w:sz w:val="20"/>
              </w:rPr>
              <w:t>rd</w:t>
            </w:r>
            <w:r>
              <w:rPr>
                <w:sz w:val="20"/>
              </w:rPr>
              <w:t xml:space="preserve"> full calendar month following the Commencement Date, subject to adjustment and earlier termination as provided in the Lease.</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both"/>
              <w:rPr/>
            </w:pPr>
            <w:r>
              <w:rPr/>
              <w:t> </w:t>
            </w:r>
          </w:p>
        </w:tc>
      </w:tr>
      <w:tr>
        <w:trPr/>
        <w:tc>
          <w:tcPr>
            <w:tcW w:w="14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Date:</w:t>
            </w:r>
          </w:p>
          <w:p>
            <w:pPr>
              <w:pStyle w:val="TableContents"/>
              <w:bidi w:val="0"/>
              <w:spacing w:before="0" w:after="0"/>
              <w:ind w:left="0" w:right="0" w:hanging="0"/>
              <w:jc w:val="left"/>
              <w:rPr>
                <w:caps w:val="false"/>
                <w:smallCaps w:val="false"/>
              </w:rPr>
            </w:pPr>
            <w:r>
              <w:rPr>
                <w:caps w:val="false"/>
                <w:smallCaps w:val="false"/>
              </w:rPr>
              <w:t> </w:t>
            </w:r>
          </w:p>
        </w:tc>
        <w:tc>
          <w:tcPr>
            <w:tcW w:w="8790" w:type="dxa"/>
            <w:gridSpan w:val="3"/>
            <w:tcBorders/>
            <w:vAlign w:val="center"/>
          </w:tcPr>
          <w:p>
            <w:pPr>
              <w:pStyle w:val="TableContents"/>
              <w:bidi w:val="0"/>
              <w:spacing w:before="0" w:after="283"/>
              <w:jc w:val="both"/>
              <w:rPr>
                <w:sz w:val="20"/>
              </w:rPr>
            </w:pPr>
            <w:r>
              <w:rPr>
                <w:sz w:val="20"/>
              </w:rPr>
              <w:t xml:space="preserve">The earliest of (a) the date on which Tenant occupies any portion of the Premises and begins conducting business therein, (b) the date on which the Work (as defined in </w:t>
            </w:r>
            <w:r>
              <w:rPr>
                <w:rFonts w:ascii="Times New Roman;Times;Serif" w:hAnsi="Times New Roman;Times;Serif"/>
                <w:sz w:val="20"/>
                <w:u w:val="single"/>
              </w:rPr>
              <w:t>Exhibit D</w:t>
            </w:r>
            <w:r>
              <w:rPr>
                <w:sz w:val="20"/>
              </w:rPr>
              <w:t xml:space="preserve"> hereto) is Substantially Completed (as defined in </w:t>
            </w:r>
            <w:r>
              <w:rPr>
                <w:rFonts w:ascii="Times New Roman;Times;Serif" w:hAnsi="Times New Roman;Times;Serif"/>
                <w:sz w:val="20"/>
                <w:u w:val="single"/>
              </w:rPr>
              <w:t>Exhibit D</w:t>
            </w:r>
            <w:r>
              <w:rPr>
                <w:sz w:val="20"/>
              </w:rPr>
              <w:t xml:space="preserve"> hereto), or (c) the date on which the Work would have been Substantially Completed but for the occurrence of any Tenant Delay Days (as defined in </w:t>
            </w:r>
            <w:r>
              <w:rPr>
                <w:rFonts w:ascii="Times New Roman;Times;Serif" w:hAnsi="Times New Roman;Times;Serif"/>
                <w:sz w:val="20"/>
                <w:u w:val="single"/>
              </w:rPr>
              <w:t>Exhibit D</w:t>
            </w:r>
            <w:r>
              <w:rPr>
                <w:sz w:val="20"/>
              </w:rPr>
              <w:t xml:space="preserve"> hereto).</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both"/>
              <w:rPr/>
            </w:pPr>
            <w:r>
              <w:rPr/>
              <w:t> </w:t>
            </w:r>
          </w:p>
        </w:tc>
      </w:tr>
      <w:tr>
        <w:trPr/>
        <w:tc>
          <w:tcPr>
            <w:tcW w:w="1415" w:type="dxa"/>
            <w:tcBorders/>
            <w:vAlign w:val="center"/>
          </w:tcPr>
          <w:p>
            <w:pPr>
              <w:pStyle w:val="TableContents"/>
              <w:bidi w:val="0"/>
              <w:spacing w:before="0" w:after="283"/>
              <w:jc w:val="left"/>
              <w:rPr>
                <w:sz w:val="20"/>
              </w:rPr>
            </w:pPr>
            <w:r>
              <w:rPr>
                <w:sz w:val="20"/>
              </w:rPr>
              <w:t>Basic Rent:</w:t>
            </w:r>
          </w:p>
        </w:tc>
        <w:tc>
          <w:tcPr>
            <w:tcW w:w="8790" w:type="dxa"/>
            <w:gridSpan w:val="3"/>
            <w:tcBorders>
              <w:bottom w:val="single" w:sz="8" w:space="0" w:color="000000"/>
            </w:tcBorders>
            <w:tcMar>
              <w:bottom w:w="28" w:type="dxa"/>
            </w:tcMar>
            <w:vAlign w:val="center"/>
          </w:tcPr>
          <w:p>
            <w:pPr>
              <w:pStyle w:val="TableContents"/>
              <w:bidi w:val="0"/>
              <w:jc w:val="both"/>
              <w:rPr>
                <w:sz w:val="20"/>
              </w:rPr>
            </w:pPr>
            <w:r>
              <w:rPr>
                <w:sz w:val="20"/>
              </w:rPr>
              <w:t>Basic Rent applicable to the Building shall be the following amounts for the following periods of time:</w:t>
            </w:r>
          </w:p>
          <w:p>
            <w:pPr>
              <w:pStyle w:val="TableContents"/>
              <w:bidi w:val="0"/>
              <w:spacing w:before="0" w:after="283"/>
              <w:jc w:val="both"/>
              <w:rPr/>
            </w:pPr>
            <w:r>
              <w:rPr/>
              <w:t> </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283"/>
              <w:jc w:val="center"/>
              <w:rPr>
                <w:sz w:val="20"/>
              </w:rPr>
            </w:pPr>
            <w:r>
              <w:rPr>
                <w:sz w:val="20"/>
              </w:rPr>
              <w:t>Lease Month</w:t>
            </w:r>
          </w:p>
        </w:tc>
        <w:tc>
          <w:tcPr>
            <w:tcW w:w="3526"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283"/>
              <w:jc w:val="center"/>
              <w:rPr>
                <w:sz w:val="20"/>
              </w:rPr>
            </w:pPr>
            <w:r>
              <w:rPr>
                <w:sz w:val="20"/>
              </w:rPr>
              <w:t>Monthly Basic Rent</w:t>
              <w:br/>
              <w:t>Per Rentable Square Foot</w:t>
            </w:r>
          </w:p>
        </w:tc>
        <w:tc>
          <w:tcPr>
            <w:tcW w:w="3264"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283"/>
              <w:jc w:val="center"/>
              <w:rPr>
                <w:sz w:val="20"/>
              </w:rPr>
            </w:pPr>
            <w:r>
              <w:rPr>
                <w:sz w:val="20"/>
              </w:rPr>
              <w:t>Monthly Basic Rent</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1 - 3</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$0.00</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$0.00</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4 - 15</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$0.60</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$205,999.20</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16 - 27</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$0.62</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$213,724.17</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28 - 39</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$0.65</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$221,738.83</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40 - 51</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$0.67</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$230,054.03</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52 - 63</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$0.70</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$238,681.06</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64 - 75</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$0.72</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$247,631.60</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76 - 87</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$0.75</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$256,917.78</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88 - 99</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$0.78</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$266,552.20</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100 - 111</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$0.81</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$276,547.91</w:t>
            </w:r>
          </w:p>
        </w:tc>
      </w:tr>
      <w:tr>
        <w:trPr/>
        <w:tc>
          <w:tcPr>
            <w:tcW w:w="1415" w:type="dxa"/>
            <w:tcBorders>
              <w:right w:val="single" w:sz="8" w:space="0" w:color="000000"/>
            </w:tcBorders>
            <w:tcMar>
              <w:right w:w="28" w:type="dxa"/>
            </w:tcMar>
            <w:vAlign w:val="center"/>
          </w:tcPr>
          <w:p>
            <w:pPr>
              <w:pStyle w:val="TableContents"/>
              <w:bidi w:val="0"/>
              <w:spacing w:before="0" w:after="283"/>
              <w:jc w:val="left"/>
              <w:rPr/>
            </w:pPr>
            <w:r>
              <w:rPr/>
              <w:t> </w:t>
            </w:r>
          </w:p>
        </w:tc>
        <w:tc>
          <w:tcPr>
            <w:tcW w:w="200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112 - 123</w:t>
            </w:r>
          </w:p>
        </w:tc>
        <w:tc>
          <w:tcPr>
            <w:tcW w:w="352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$0.84</w:t>
            </w:r>
          </w:p>
        </w:tc>
        <w:tc>
          <w:tcPr>
            <w:tcW w:w="326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$286,918.45</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both"/>
              <w:rPr/>
            </w:pPr>
            <w:r>
              <w:rPr/>
              <w:t> </w:t>
            </w:r>
          </w:p>
        </w:tc>
      </w:tr>
      <w:tr>
        <w:trPr/>
        <w:tc>
          <w:tcPr>
            <w:tcW w:w="1415" w:type="dxa"/>
            <w:tcBorders/>
            <w:vAlign w:val="center"/>
          </w:tcPr>
          <w:p>
            <w:pPr>
              <w:pStyle w:val="TableContents"/>
              <w:bidi w:val="0"/>
              <w:spacing w:before="0" w:after="283"/>
              <w:jc w:val="left"/>
              <w:rPr/>
            </w:pPr>
            <w:r>
              <w:rPr/>
              <w:t> </w:t>
            </w:r>
          </w:p>
        </w:tc>
        <w:tc>
          <w:tcPr>
            <w:tcW w:w="8790" w:type="dxa"/>
            <w:gridSpan w:val="3"/>
            <w:tcBorders/>
            <w:vAlign w:val="center"/>
          </w:tcPr>
          <w:p>
            <w:pPr>
              <w:pStyle w:val="TableContents"/>
              <w:bidi w:val="0"/>
              <w:spacing w:before="0" w:after="283"/>
              <w:jc w:val="both"/>
              <w:rPr>
                <w:sz w:val="20"/>
              </w:rPr>
            </w:pPr>
            <w:r>
              <w:rPr>
                <w:sz w:val="20"/>
              </w:rPr>
              <w:t>As used herein, the term “</w:t>
            </w:r>
            <w:r>
              <w:rPr>
                <w:b/>
                <w:sz w:val="20"/>
                <w:u w:val="single"/>
              </w:rPr>
              <w:t>Lease Month</w:t>
            </w:r>
            <w:r>
              <w:rPr>
                <w:sz w:val="20"/>
              </w:rPr>
              <w:t>” means each calendar month during the Term (and if the Commencement Date does not occur on the first day of a calendar month, the period from the Commencement Date to the first day of the next calendar month shall be included in the first Lease Month for which Basic Rent is payable for purposes of determining the duration of the Term and the monthly Basic Rent rate applicable for such partial month).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3"/>
        <w:gridCol w:w="8065"/>
        <w:gridCol w:w="197"/>
      </w:tblGrid>
      <w:tr>
        <w:trPr/>
        <w:tc>
          <w:tcPr>
            <w:tcW w:w="1943" w:type="dxa"/>
            <w:tcBorders/>
            <w:vAlign w:val="center"/>
          </w:tcPr>
          <w:p>
            <w:pPr>
              <w:pStyle w:val="TableContents"/>
              <w:bidi w:val="0"/>
              <w:spacing w:before="0" w:after="283"/>
              <w:jc w:val="left"/>
              <w:rPr/>
            </w:pPr>
            <w:r>
              <w:rPr/>
              <w:t>Additional Rent:</w:t>
            </w:r>
          </w:p>
        </w:tc>
        <w:tc>
          <w:tcPr>
            <w:tcW w:w="8262" w:type="dxa"/>
            <w:gridSpan w:val="2"/>
            <w:tcBorders/>
            <w:vAlign w:val="center"/>
          </w:tcPr>
          <w:p>
            <w:pPr>
              <w:pStyle w:val="TableContents"/>
              <w:bidi w:val="0"/>
              <w:spacing w:before="0" w:after="283"/>
              <w:jc w:val="both"/>
              <w:rPr/>
            </w:pPr>
            <w:r>
              <w:rPr/>
              <w:t>Tenant’s Proportionate Share of Operating Costs, Taxes and Insurance Costs.</w:t>
            </w:r>
          </w:p>
        </w:tc>
      </w:tr>
      <w:tr>
        <w:trPr/>
        <w:tc>
          <w:tcPr>
            <w:tcW w:w="1943" w:type="dxa"/>
            <w:tcBorders/>
            <w:vAlign w:val="center"/>
          </w:tcPr>
          <w:p>
            <w:pPr>
              <w:pStyle w:val="TableContents"/>
              <w:bidi w:val="0"/>
              <w:spacing w:before="0" w:after="283"/>
              <w:jc w:val="left"/>
              <w:rPr/>
            </w:pPr>
            <w:r>
              <w:rPr/>
              <w:t> </w:t>
            </w:r>
          </w:p>
        </w:tc>
        <w:tc>
          <w:tcPr>
            <w:tcW w:w="8262" w:type="dxa"/>
            <w:gridSpan w:val="2"/>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Security Deposit:</w:t>
            </w:r>
          </w:p>
        </w:tc>
        <w:tc>
          <w:tcPr>
            <w:tcW w:w="8262" w:type="dxa"/>
            <w:gridSpan w:val="2"/>
            <w:tcBorders/>
            <w:vAlign w:val="center"/>
          </w:tcPr>
          <w:p>
            <w:pPr>
              <w:pStyle w:val="TableContents"/>
              <w:bidi w:val="0"/>
              <w:spacing w:before="0" w:after="283"/>
              <w:jc w:val="left"/>
              <w:rPr/>
            </w:pPr>
            <w:r>
              <w:rPr/>
              <w:t>$820,187.49.</w:t>
            </w:r>
          </w:p>
        </w:tc>
      </w:tr>
      <w:tr>
        <w:trPr/>
        <w:tc>
          <w:tcPr>
            <w:tcW w:w="1943" w:type="dxa"/>
            <w:tcBorders/>
            <w:vAlign w:val="center"/>
          </w:tcPr>
          <w:p>
            <w:pPr>
              <w:pStyle w:val="TableContents"/>
              <w:bidi w:val="0"/>
              <w:spacing w:before="0" w:after="283"/>
              <w:jc w:val="left"/>
              <w:rPr/>
            </w:pPr>
            <w:r>
              <w:rPr/>
              <w:t> </w:t>
            </w:r>
          </w:p>
        </w:tc>
        <w:tc>
          <w:tcPr>
            <w:tcW w:w="8262" w:type="dxa"/>
            <w:gridSpan w:val="2"/>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Rent:</w:t>
            </w:r>
          </w:p>
        </w:tc>
        <w:tc>
          <w:tcPr>
            <w:tcW w:w="8262" w:type="dxa"/>
            <w:gridSpan w:val="2"/>
            <w:tcBorders/>
            <w:vAlign w:val="center"/>
          </w:tcPr>
          <w:p>
            <w:pPr>
              <w:pStyle w:val="TableContents"/>
              <w:bidi w:val="0"/>
              <w:spacing w:before="0" w:after="283"/>
              <w:jc w:val="both"/>
              <w:rPr/>
            </w:pPr>
            <w:r>
              <w:rPr/>
              <w:t>Basic Rent, Additional Rent, and all other sums that Tenant may owe to Landlord or otherwise be required to pay under the Lease.</w:t>
            </w:r>
          </w:p>
        </w:tc>
      </w:tr>
      <w:tr>
        <w:trPr/>
        <w:tc>
          <w:tcPr>
            <w:tcW w:w="1943" w:type="dxa"/>
            <w:tcBorders/>
            <w:vAlign w:val="center"/>
          </w:tcPr>
          <w:p>
            <w:pPr>
              <w:pStyle w:val="TableContents"/>
              <w:bidi w:val="0"/>
              <w:spacing w:before="0" w:after="283"/>
              <w:jc w:val="left"/>
              <w:rPr/>
            </w:pPr>
            <w:r>
              <w:rPr/>
              <w:t>Permitted Use:</w:t>
            </w:r>
          </w:p>
        </w:tc>
        <w:tc>
          <w:tcPr>
            <w:tcW w:w="8262" w:type="dxa"/>
            <w:gridSpan w:val="2"/>
            <w:tcBorders/>
            <w:vAlign w:val="center"/>
          </w:tcPr>
          <w:p>
            <w:pPr>
              <w:pStyle w:val="TableContents"/>
              <w:bidi w:val="0"/>
              <w:spacing w:before="0" w:after="283"/>
              <w:jc w:val="both"/>
              <w:rPr/>
            </w:pPr>
            <w:r>
              <w:rPr/>
              <w:t>General industrial/warehouse use for the purpose of light manufacturing, receiving, storing, shipping and selling (but limited to wholesale sales) products, materials and merchandise made and/or distributed by Tenant, and related ancillary uses.</w:t>
            </w:r>
          </w:p>
        </w:tc>
      </w:tr>
      <w:tr>
        <w:trPr/>
        <w:tc>
          <w:tcPr>
            <w:tcW w:w="1943" w:type="dxa"/>
            <w:tcBorders/>
            <w:vAlign w:val="center"/>
          </w:tcPr>
          <w:p>
            <w:pPr>
              <w:pStyle w:val="TableContents"/>
              <w:bidi w:val="0"/>
              <w:spacing w:before="0" w:after="283"/>
              <w:jc w:val="left"/>
              <w:rPr/>
            </w:pPr>
            <w:r>
              <w:rPr/>
              <w:t> </w:t>
            </w:r>
          </w:p>
        </w:tc>
        <w:tc>
          <w:tcPr>
            <w:tcW w:w="8262" w:type="dxa"/>
            <w:gridSpan w:val="2"/>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Tenant’s Proportionate Share:</w:t>
            </w:r>
          </w:p>
        </w:tc>
        <w:tc>
          <w:tcPr>
            <w:tcW w:w="8262" w:type="dxa"/>
            <w:gridSpan w:val="2"/>
            <w:tcBorders/>
            <w:vAlign w:val="center"/>
          </w:tcPr>
          <w:p>
            <w:pPr>
              <w:pStyle w:val="TableContents"/>
              <w:bidi w:val="0"/>
              <w:spacing w:before="0" w:after="283"/>
              <w:jc w:val="both"/>
              <w:rPr/>
            </w:pPr>
            <w:r>
              <w:rPr/>
              <w:t>100%.</w:t>
            </w:r>
          </w:p>
        </w:tc>
      </w:tr>
      <w:tr>
        <w:trPr/>
        <w:tc>
          <w:tcPr>
            <w:tcW w:w="1943" w:type="dxa"/>
            <w:tcBorders/>
            <w:vAlign w:val="center"/>
          </w:tcPr>
          <w:p>
            <w:pPr>
              <w:pStyle w:val="TableContents"/>
              <w:bidi w:val="0"/>
              <w:spacing w:before="0" w:after="283"/>
              <w:jc w:val="left"/>
              <w:rPr/>
            </w:pPr>
            <w:r>
              <w:rPr/>
              <w:t> </w:t>
            </w:r>
          </w:p>
        </w:tc>
        <w:tc>
          <w:tcPr>
            <w:tcW w:w="8262" w:type="dxa"/>
            <w:gridSpan w:val="2"/>
            <w:tcBorders/>
            <w:vAlign w:val="center"/>
          </w:tcPr>
          <w:p>
            <w:pPr>
              <w:pStyle w:val="TableContents"/>
              <w:bidi w:val="0"/>
              <w:spacing w:before="0" w:after="283"/>
              <w:jc w:val="both"/>
              <w:rPr/>
            </w:pPr>
            <w:r>
              <w:rPr/>
              <w:t> </w:t>
            </w:r>
          </w:p>
        </w:tc>
      </w:tr>
      <w:tr>
        <w:trPr/>
        <w:tc>
          <w:tcPr>
            <w:tcW w:w="1943" w:type="dxa"/>
            <w:tcBorders/>
            <w:vAlign w:val="center"/>
          </w:tcPr>
          <w:p>
            <w:pPr>
              <w:pStyle w:val="TableContents"/>
              <w:bidi w:val="0"/>
              <w:spacing w:before="0" w:after="283"/>
              <w:jc w:val="left"/>
              <w:rPr/>
            </w:pPr>
            <w:r>
              <w:rPr/>
              <w:t>Initial Liability Insurance Amount:</w:t>
            </w:r>
          </w:p>
        </w:tc>
        <w:tc>
          <w:tcPr>
            <w:tcW w:w="8262" w:type="dxa"/>
            <w:gridSpan w:val="2"/>
            <w:tcBorders/>
            <w:vAlign w:val="center"/>
          </w:tcPr>
          <w:p>
            <w:pPr>
              <w:pStyle w:val="TableContents"/>
              <w:bidi w:val="0"/>
              <w:spacing w:before="0" w:after="283"/>
              <w:jc w:val="left"/>
              <w:rPr/>
            </w:pPr>
            <w:r>
              <w:rPr/>
              <w:t>$3,000,000.</w:t>
            </w:r>
          </w:p>
        </w:tc>
      </w:tr>
      <w:tr>
        <w:trPr/>
        <w:tc>
          <w:tcPr>
            <w:tcW w:w="1943" w:type="dxa"/>
            <w:tcBorders/>
            <w:vAlign w:val="center"/>
          </w:tcPr>
          <w:p>
            <w:pPr>
              <w:pStyle w:val="TableContents"/>
              <w:bidi w:val="0"/>
              <w:spacing w:before="0" w:after="283"/>
              <w:jc w:val="left"/>
              <w:rPr/>
            </w:pPr>
            <w:r>
              <w:rPr/>
              <w:t> </w:t>
            </w:r>
          </w:p>
        </w:tc>
        <w:tc>
          <w:tcPr>
            <w:tcW w:w="8262" w:type="dxa"/>
            <w:gridSpan w:val="2"/>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Tenant’s Address:</w:t>
            </w:r>
          </w:p>
        </w:tc>
        <w:tc>
          <w:tcPr>
            <w:tcW w:w="80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 Du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97"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Landlord’s Address:</w:t>
            </w:r>
          </w:p>
        </w:tc>
        <w:tc>
          <w:tcPr>
            <w:tcW w:w="8065" w:type="dxa"/>
            <w:tcBorders/>
            <w:vAlign w:val="center"/>
          </w:tcPr>
          <w:p>
            <w:pPr>
              <w:pStyle w:val="TableContents"/>
              <w:bidi w:val="0"/>
              <w:spacing w:before="0" w:after="283"/>
              <w:jc w:val="left"/>
              <w:rPr/>
            </w:pPr>
            <w:r>
              <w:rPr/>
              <w:t>Hightower Phase I Owner, LLC</w:t>
              <w:br/>
              <w:t>750 Town &amp; Country Blvd, Ste 520</w:t>
              <w:br/>
              <w:t>Houston, TX 77024</w:t>
              <w:br/>
              <w:t>Attention: Asset Manager - Hightower</w:t>
              <w:br/>
              <w:t xml:space="preserve">Telephone: </w:t>
              <w:br/>
              <w:t>Email:</w:t>
            </w:r>
          </w:p>
        </w:tc>
        <w:tc>
          <w:tcPr>
            <w:tcW w:w="19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Basic Lease Information is incorporated into and made a part of the Lease identified above. If any conflict exists between any Basic Lease Information and the Lease, then the Lease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320"/>
        <w:gridCol w:w="435"/>
        <w:gridCol w:w="6559"/>
        <w:gridCol w:w="905"/>
      </w:tblGrid>
      <w:tr>
        <w:trPr/>
        <w:tc>
          <w:tcPr>
            <w:tcW w:w="8219" w:type="dxa"/>
            <w:gridSpan w:val="4"/>
            <w:tcBorders/>
            <w:vAlign w:val="center"/>
          </w:tcPr>
          <w:p>
            <w:pPr>
              <w:pStyle w:val="TableContents"/>
              <w:bidi w:val="0"/>
              <w:spacing w:before="0" w:after="283"/>
              <w:jc w:val="center"/>
              <w:rPr>
                <w:b/>
                <w:u w:val="single"/>
              </w:rPr>
            </w:pPr>
            <w:r>
              <w:rPr>
                <w:b/>
                <w:u w:val="single"/>
              </w:rPr>
              <w:t>TABLE OF CONTENTS</w:t>
            </w:r>
          </w:p>
        </w:tc>
      </w:tr>
      <w:tr>
        <w:trPr/>
        <w:tc>
          <w:tcPr>
            <w:tcW w:w="8219" w:type="dxa"/>
            <w:gridSpan w:val="4"/>
            <w:tcBorders/>
            <w:vAlign w:val="center"/>
          </w:tcPr>
          <w:p>
            <w:pPr>
              <w:pStyle w:val="TableContents"/>
              <w:bidi w:val="0"/>
              <w:spacing w:before="0" w:after="283"/>
              <w:jc w:val="center"/>
              <w:rPr/>
            </w:pPr>
            <w:r>
              <w:rPr/>
              <w:t> </w:t>
            </w:r>
          </w:p>
        </w:tc>
      </w:tr>
      <w:tr>
        <w:trPr/>
        <w:tc>
          <w:tcPr>
            <w:tcW w:w="320"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pPr>
            <w:r>
              <w:rPr/>
              <w:t>Page No.</w:t>
            </w:r>
          </w:p>
        </w:tc>
      </w:tr>
      <w:tr>
        <w:trPr/>
        <w:tc>
          <w:tcPr>
            <w:tcW w:w="320" w:type="dxa"/>
            <w:tcBorders/>
            <w:vAlign w:val="center"/>
          </w:tcPr>
          <w:p>
            <w:pPr>
              <w:pStyle w:val="TableContents"/>
              <w:bidi w:val="0"/>
              <w:spacing w:before="0" w:after="283"/>
              <w:jc w:val="left"/>
              <w:rPr>
                <w:b/>
              </w:rPr>
            </w:pPr>
            <w:r>
              <w:rPr>
                <w:b/>
              </w:rPr>
              <w:t>1.</w:t>
            </w:r>
          </w:p>
        </w:tc>
        <w:tc>
          <w:tcPr>
            <w:tcW w:w="6994" w:type="dxa"/>
            <w:gridSpan w:val="2"/>
            <w:tcBorders/>
            <w:vAlign w:val="center"/>
          </w:tcPr>
          <w:p>
            <w:pPr>
              <w:pStyle w:val="TableContents"/>
              <w:bidi w:val="0"/>
              <w:spacing w:before="0" w:after="283"/>
              <w:jc w:val="left"/>
              <w:rPr/>
            </w:pPr>
            <w:r>
              <w:rPr/>
              <w:t>Definitions and Basic Provisions</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2.</w:t>
            </w:r>
          </w:p>
        </w:tc>
        <w:tc>
          <w:tcPr>
            <w:tcW w:w="6994" w:type="dxa"/>
            <w:gridSpan w:val="2"/>
            <w:tcBorders/>
            <w:vAlign w:val="center"/>
          </w:tcPr>
          <w:p>
            <w:pPr>
              <w:pStyle w:val="TableContents"/>
              <w:bidi w:val="0"/>
              <w:spacing w:before="0" w:after="283"/>
              <w:jc w:val="left"/>
              <w:rPr/>
            </w:pPr>
            <w:r>
              <w:rPr/>
              <w:t>Lease Grant</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3.</w:t>
            </w:r>
          </w:p>
        </w:tc>
        <w:tc>
          <w:tcPr>
            <w:tcW w:w="6994" w:type="dxa"/>
            <w:gridSpan w:val="2"/>
            <w:tcBorders/>
            <w:vAlign w:val="center"/>
          </w:tcPr>
          <w:p>
            <w:pPr>
              <w:pStyle w:val="TableContents"/>
              <w:bidi w:val="0"/>
              <w:spacing w:before="0" w:after="283"/>
              <w:jc w:val="left"/>
              <w:rPr/>
            </w:pPr>
            <w:r>
              <w:rPr/>
              <w:t>Tender of Possession</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4.</w:t>
            </w:r>
          </w:p>
        </w:tc>
        <w:tc>
          <w:tcPr>
            <w:tcW w:w="6994" w:type="dxa"/>
            <w:gridSpan w:val="2"/>
            <w:tcBorders/>
            <w:vAlign w:val="center"/>
          </w:tcPr>
          <w:p>
            <w:pPr>
              <w:pStyle w:val="TableContents"/>
              <w:bidi w:val="0"/>
              <w:spacing w:before="0" w:after="283"/>
              <w:jc w:val="left"/>
              <w:rPr/>
            </w:pPr>
            <w:r>
              <w:rPr/>
              <w:t>Rent</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Payment</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Operating Costs</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b/>
              </w:rPr>
            </w:pPr>
            <w:r>
              <w:rPr>
                <w:b/>
              </w:rPr>
              <w:t>5.</w:t>
            </w:r>
          </w:p>
        </w:tc>
        <w:tc>
          <w:tcPr>
            <w:tcW w:w="6994" w:type="dxa"/>
            <w:gridSpan w:val="2"/>
            <w:tcBorders/>
            <w:vAlign w:val="center"/>
          </w:tcPr>
          <w:p>
            <w:pPr>
              <w:pStyle w:val="TableContents"/>
              <w:bidi w:val="0"/>
              <w:spacing w:before="0" w:after="283"/>
              <w:jc w:val="left"/>
              <w:rPr/>
            </w:pPr>
            <w:r>
              <w:rPr/>
              <w:t>Delinquent Payment; Handling Charges</w:t>
            </w:r>
          </w:p>
        </w:tc>
        <w:tc>
          <w:tcPr>
            <w:tcW w:w="905" w:type="dxa"/>
            <w:tcBorders/>
            <w:vAlign w:val="center"/>
          </w:tcPr>
          <w:p>
            <w:pPr>
              <w:pStyle w:val="TableContents"/>
              <w:bidi w:val="0"/>
              <w:spacing w:before="0" w:after="283"/>
              <w:jc w:val="center"/>
              <w:rPr/>
            </w:pPr>
            <w:r>
              <w:rPr/>
              <w:t>4</w:t>
            </w:r>
          </w:p>
        </w:tc>
      </w:tr>
      <w:tr>
        <w:trPr/>
        <w:tc>
          <w:tcPr>
            <w:tcW w:w="320" w:type="dxa"/>
            <w:tcBorders/>
            <w:vAlign w:val="center"/>
          </w:tcPr>
          <w:p>
            <w:pPr>
              <w:pStyle w:val="TableContents"/>
              <w:bidi w:val="0"/>
              <w:spacing w:before="0" w:after="283"/>
              <w:jc w:val="left"/>
              <w:rPr>
                <w:b/>
              </w:rPr>
            </w:pPr>
            <w:r>
              <w:rPr>
                <w:b/>
              </w:rPr>
              <w:t>6.</w:t>
            </w:r>
          </w:p>
        </w:tc>
        <w:tc>
          <w:tcPr>
            <w:tcW w:w="6994" w:type="dxa"/>
            <w:gridSpan w:val="2"/>
            <w:tcBorders/>
            <w:vAlign w:val="center"/>
          </w:tcPr>
          <w:p>
            <w:pPr>
              <w:pStyle w:val="TableContents"/>
              <w:bidi w:val="0"/>
              <w:spacing w:before="0" w:after="283"/>
              <w:jc w:val="left"/>
              <w:rPr/>
            </w:pPr>
            <w:r>
              <w:rPr/>
              <w:t>Security Deposit</w:t>
            </w:r>
          </w:p>
        </w:tc>
        <w:tc>
          <w:tcPr>
            <w:tcW w:w="905" w:type="dxa"/>
            <w:tcBorders/>
            <w:vAlign w:val="center"/>
          </w:tcPr>
          <w:p>
            <w:pPr>
              <w:pStyle w:val="TableContents"/>
              <w:bidi w:val="0"/>
              <w:spacing w:before="0" w:after="283"/>
              <w:jc w:val="center"/>
              <w:rPr/>
            </w:pPr>
            <w:r>
              <w:rPr/>
              <w:t>5</w:t>
            </w:r>
          </w:p>
        </w:tc>
      </w:tr>
      <w:tr>
        <w:trPr/>
        <w:tc>
          <w:tcPr>
            <w:tcW w:w="320" w:type="dxa"/>
            <w:tcBorders/>
            <w:vAlign w:val="center"/>
          </w:tcPr>
          <w:p>
            <w:pPr>
              <w:pStyle w:val="TableContents"/>
              <w:bidi w:val="0"/>
              <w:spacing w:before="0" w:after="283"/>
              <w:jc w:val="left"/>
              <w:rPr>
                <w:b/>
              </w:rPr>
            </w:pPr>
            <w:r>
              <w:rPr>
                <w:b/>
              </w:rPr>
              <w:t>7.</w:t>
            </w:r>
          </w:p>
        </w:tc>
        <w:tc>
          <w:tcPr>
            <w:tcW w:w="6994" w:type="dxa"/>
            <w:gridSpan w:val="2"/>
            <w:tcBorders/>
            <w:vAlign w:val="center"/>
          </w:tcPr>
          <w:p>
            <w:pPr>
              <w:pStyle w:val="TableContents"/>
              <w:bidi w:val="0"/>
              <w:spacing w:before="0" w:after="283"/>
              <w:jc w:val="left"/>
              <w:rPr/>
            </w:pPr>
            <w:r>
              <w:rPr/>
              <w:t>Landlord’s Maintenance Obligations</w:t>
            </w:r>
          </w:p>
        </w:tc>
        <w:tc>
          <w:tcPr>
            <w:tcW w:w="905" w:type="dxa"/>
            <w:tcBorders/>
            <w:vAlign w:val="center"/>
          </w:tcPr>
          <w:p>
            <w:pPr>
              <w:pStyle w:val="TableContents"/>
              <w:bidi w:val="0"/>
              <w:spacing w:before="0" w:after="283"/>
              <w:jc w:val="center"/>
              <w:rPr/>
            </w:pPr>
            <w:r>
              <w:rPr/>
              <w:t>5</w:t>
            </w:r>
          </w:p>
        </w:tc>
      </w:tr>
      <w:tr>
        <w:trPr/>
        <w:tc>
          <w:tcPr>
            <w:tcW w:w="320" w:type="dxa"/>
            <w:tcBorders/>
            <w:vAlign w:val="center"/>
          </w:tcPr>
          <w:p>
            <w:pPr>
              <w:pStyle w:val="TableContents"/>
              <w:bidi w:val="0"/>
              <w:spacing w:before="0" w:after="283"/>
              <w:jc w:val="left"/>
              <w:rPr>
                <w:b/>
              </w:rPr>
            </w:pPr>
            <w:r>
              <w:rPr>
                <w:b/>
              </w:rPr>
              <w:t>8.</w:t>
            </w:r>
          </w:p>
        </w:tc>
        <w:tc>
          <w:tcPr>
            <w:tcW w:w="6994" w:type="dxa"/>
            <w:gridSpan w:val="2"/>
            <w:tcBorders/>
            <w:vAlign w:val="center"/>
          </w:tcPr>
          <w:p>
            <w:pPr>
              <w:pStyle w:val="TableContents"/>
              <w:bidi w:val="0"/>
              <w:spacing w:before="0" w:after="283"/>
              <w:jc w:val="left"/>
              <w:rPr/>
            </w:pPr>
            <w:r>
              <w:rPr/>
              <w:t>Improvements; Alterations; Tenant’s Maintenance and Repair Obligations</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Improvements; Alterations</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Repairs; Maintenance</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Performance of Work</w:t>
            </w:r>
          </w:p>
        </w:tc>
        <w:tc>
          <w:tcPr>
            <w:tcW w:w="905" w:type="dxa"/>
            <w:tcBorders/>
            <w:vAlign w:val="center"/>
          </w:tcPr>
          <w:p>
            <w:pPr>
              <w:pStyle w:val="TableContents"/>
              <w:bidi w:val="0"/>
              <w:spacing w:before="0" w:after="283"/>
              <w:jc w:val="center"/>
              <w:rPr/>
            </w:pPr>
            <w:r>
              <w:rPr/>
              <w:t>7</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Mechanic’s Liens</w:t>
            </w:r>
          </w:p>
        </w:tc>
        <w:tc>
          <w:tcPr>
            <w:tcW w:w="905" w:type="dxa"/>
            <w:tcBorders/>
            <w:vAlign w:val="center"/>
          </w:tcPr>
          <w:p>
            <w:pPr>
              <w:pStyle w:val="TableContents"/>
              <w:bidi w:val="0"/>
              <w:spacing w:before="0" w:after="283"/>
              <w:jc w:val="center"/>
              <w:rPr/>
            </w:pPr>
            <w:r>
              <w:rPr/>
              <w:t>7</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Janitorial Services</w:t>
            </w:r>
          </w:p>
        </w:tc>
        <w:tc>
          <w:tcPr>
            <w:tcW w:w="905" w:type="dxa"/>
            <w:tcBorders/>
            <w:vAlign w:val="center"/>
          </w:tcPr>
          <w:p>
            <w:pPr>
              <w:pStyle w:val="TableContents"/>
              <w:bidi w:val="0"/>
              <w:spacing w:before="0" w:after="283"/>
              <w:jc w:val="center"/>
              <w:rPr/>
            </w:pPr>
            <w:r>
              <w:rPr/>
              <w:t>8</w:t>
            </w:r>
          </w:p>
        </w:tc>
      </w:tr>
      <w:tr>
        <w:trPr/>
        <w:tc>
          <w:tcPr>
            <w:tcW w:w="320" w:type="dxa"/>
            <w:tcBorders/>
            <w:vAlign w:val="center"/>
          </w:tcPr>
          <w:p>
            <w:pPr>
              <w:pStyle w:val="TableContents"/>
              <w:bidi w:val="0"/>
              <w:spacing w:before="0" w:after="283"/>
              <w:jc w:val="left"/>
              <w:rPr>
                <w:b/>
              </w:rPr>
            </w:pPr>
            <w:r>
              <w:rPr>
                <w:b/>
              </w:rPr>
              <w:t>9.</w:t>
            </w:r>
          </w:p>
        </w:tc>
        <w:tc>
          <w:tcPr>
            <w:tcW w:w="6994" w:type="dxa"/>
            <w:gridSpan w:val="2"/>
            <w:tcBorders/>
            <w:vAlign w:val="center"/>
          </w:tcPr>
          <w:p>
            <w:pPr>
              <w:pStyle w:val="TableContents"/>
              <w:bidi w:val="0"/>
              <w:spacing w:before="0" w:after="283"/>
              <w:jc w:val="left"/>
              <w:rPr/>
            </w:pPr>
            <w:r>
              <w:rPr/>
              <w:t>Utilities</w:t>
            </w:r>
          </w:p>
        </w:tc>
        <w:tc>
          <w:tcPr>
            <w:tcW w:w="905" w:type="dxa"/>
            <w:tcBorders/>
            <w:vAlign w:val="center"/>
          </w:tcPr>
          <w:p>
            <w:pPr>
              <w:pStyle w:val="TableContents"/>
              <w:bidi w:val="0"/>
              <w:spacing w:before="0" w:after="283"/>
              <w:jc w:val="center"/>
              <w:rPr/>
            </w:pPr>
            <w:r>
              <w:rPr/>
              <w:t>8</w:t>
            </w:r>
          </w:p>
        </w:tc>
      </w:tr>
      <w:tr>
        <w:trPr/>
        <w:tc>
          <w:tcPr>
            <w:tcW w:w="320" w:type="dxa"/>
            <w:tcBorders/>
            <w:vAlign w:val="center"/>
          </w:tcPr>
          <w:p>
            <w:pPr>
              <w:pStyle w:val="TableContents"/>
              <w:bidi w:val="0"/>
              <w:spacing w:before="0" w:after="283"/>
              <w:jc w:val="left"/>
              <w:rPr>
                <w:b/>
              </w:rPr>
            </w:pPr>
            <w:r>
              <w:rPr>
                <w:b/>
              </w:rPr>
              <w:t>10.</w:t>
            </w:r>
          </w:p>
        </w:tc>
        <w:tc>
          <w:tcPr>
            <w:tcW w:w="6994" w:type="dxa"/>
            <w:gridSpan w:val="2"/>
            <w:tcBorders/>
            <w:vAlign w:val="center"/>
          </w:tcPr>
          <w:p>
            <w:pPr>
              <w:pStyle w:val="TableContents"/>
              <w:bidi w:val="0"/>
              <w:spacing w:before="0" w:after="283"/>
              <w:jc w:val="left"/>
              <w:rPr/>
            </w:pPr>
            <w:r>
              <w:rPr/>
              <w:t>Use and Compliance with Law</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Use</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Compliance with Law</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b/>
              </w:rPr>
            </w:pPr>
            <w:r>
              <w:rPr>
                <w:b/>
              </w:rPr>
              <w:t>11.</w:t>
            </w:r>
          </w:p>
        </w:tc>
        <w:tc>
          <w:tcPr>
            <w:tcW w:w="6994" w:type="dxa"/>
            <w:gridSpan w:val="2"/>
            <w:tcBorders/>
            <w:vAlign w:val="center"/>
          </w:tcPr>
          <w:p>
            <w:pPr>
              <w:pStyle w:val="TableContents"/>
              <w:bidi w:val="0"/>
              <w:spacing w:before="0" w:after="283"/>
              <w:jc w:val="left"/>
              <w:rPr/>
            </w:pPr>
            <w:r>
              <w:rPr/>
              <w:t>Assignment and Subletting</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Transfers</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Consent Standards</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Request for Consent</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Conditions to Consent</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Attornment by Subtenants</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(f)</w:t>
            </w:r>
          </w:p>
        </w:tc>
        <w:tc>
          <w:tcPr>
            <w:tcW w:w="6559" w:type="dxa"/>
            <w:tcBorders/>
            <w:vAlign w:val="center"/>
          </w:tcPr>
          <w:p>
            <w:pPr>
              <w:pStyle w:val="TableContents"/>
              <w:bidi w:val="0"/>
              <w:spacing w:before="0" w:after="283"/>
              <w:jc w:val="left"/>
              <w:rPr/>
            </w:pPr>
            <w:r>
              <w:rPr/>
              <w:t>Cancellation</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(g)</w:t>
            </w:r>
          </w:p>
        </w:tc>
        <w:tc>
          <w:tcPr>
            <w:tcW w:w="6559" w:type="dxa"/>
            <w:tcBorders/>
            <w:vAlign w:val="center"/>
          </w:tcPr>
          <w:p>
            <w:pPr>
              <w:pStyle w:val="TableContents"/>
              <w:bidi w:val="0"/>
              <w:spacing w:before="0" w:after="283"/>
              <w:jc w:val="left"/>
              <w:rPr/>
            </w:pPr>
            <w:r>
              <w:rPr/>
              <w:t>Additional Compensation</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(h)</w:t>
            </w:r>
          </w:p>
        </w:tc>
        <w:tc>
          <w:tcPr>
            <w:tcW w:w="6559" w:type="dxa"/>
            <w:tcBorders/>
            <w:vAlign w:val="center"/>
          </w:tcPr>
          <w:p>
            <w:pPr>
              <w:pStyle w:val="TableContents"/>
              <w:bidi w:val="0"/>
              <w:spacing w:before="0" w:after="283"/>
              <w:jc w:val="left"/>
              <w:rPr/>
            </w:pPr>
            <w:r>
              <w:rPr/>
              <w:t>Permitted Transfers</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b/>
              </w:rPr>
            </w:pPr>
            <w:r>
              <w:rPr>
                <w:b/>
              </w:rPr>
              <w:t>12.</w:t>
            </w:r>
          </w:p>
        </w:tc>
        <w:tc>
          <w:tcPr>
            <w:tcW w:w="6994" w:type="dxa"/>
            <w:gridSpan w:val="2"/>
            <w:tcBorders/>
            <w:vAlign w:val="center"/>
          </w:tcPr>
          <w:p>
            <w:pPr>
              <w:pStyle w:val="TableContents"/>
              <w:bidi w:val="0"/>
              <w:spacing w:before="0" w:after="283"/>
              <w:jc w:val="left"/>
              <w:rPr/>
            </w:pPr>
            <w:r>
              <w:rPr/>
              <w:t>Insurance; Waivers; Subrogation; Indemnity</w:t>
            </w:r>
          </w:p>
        </w:tc>
        <w:tc>
          <w:tcPr>
            <w:tcW w:w="905" w:type="dxa"/>
            <w:tcBorders/>
            <w:vAlign w:val="center"/>
          </w:tcPr>
          <w:p>
            <w:pPr>
              <w:pStyle w:val="TableContents"/>
              <w:bidi w:val="0"/>
              <w:spacing w:before="0" w:after="283"/>
              <w:jc w:val="center"/>
              <w:rPr/>
            </w:pPr>
            <w:r>
              <w:rPr/>
              <w:t>13</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Tenant’s Insurance</w:t>
            </w:r>
          </w:p>
        </w:tc>
        <w:tc>
          <w:tcPr>
            <w:tcW w:w="905" w:type="dxa"/>
            <w:tcBorders/>
            <w:vAlign w:val="center"/>
          </w:tcPr>
          <w:p>
            <w:pPr>
              <w:pStyle w:val="TableContents"/>
              <w:bidi w:val="0"/>
              <w:spacing w:before="0" w:after="283"/>
              <w:jc w:val="center"/>
              <w:rPr/>
            </w:pPr>
            <w:r>
              <w:rPr/>
              <w:t>13</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Landlord’s Insurance</w:t>
            </w:r>
          </w:p>
        </w:tc>
        <w:tc>
          <w:tcPr>
            <w:tcW w:w="905" w:type="dxa"/>
            <w:tcBorders/>
            <w:vAlign w:val="center"/>
          </w:tcPr>
          <w:p>
            <w:pPr>
              <w:pStyle w:val="TableContents"/>
              <w:bidi w:val="0"/>
              <w:spacing w:before="0" w:after="283"/>
              <w:jc w:val="center"/>
              <w:rPr/>
            </w:pPr>
            <w:r>
              <w:rPr/>
              <w:t>14</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No Subrogation; Waiver of Property Claims</w:t>
            </w:r>
          </w:p>
        </w:tc>
        <w:tc>
          <w:tcPr>
            <w:tcW w:w="905" w:type="dxa"/>
            <w:tcBorders/>
            <w:vAlign w:val="center"/>
          </w:tcPr>
          <w:p>
            <w:pPr>
              <w:pStyle w:val="TableContents"/>
              <w:bidi w:val="0"/>
              <w:spacing w:before="0" w:after="283"/>
              <w:jc w:val="center"/>
              <w:rPr/>
            </w:pPr>
            <w:r>
              <w:rPr/>
              <w:t>14</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Indemnity</w:t>
            </w:r>
          </w:p>
        </w:tc>
        <w:tc>
          <w:tcPr>
            <w:tcW w:w="905" w:type="dxa"/>
            <w:tcBorders/>
            <w:vAlign w:val="center"/>
          </w:tcPr>
          <w:p>
            <w:pPr>
              <w:pStyle w:val="TableContents"/>
              <w:bidi w:val="0"/>
              <w:spacing w:before="0" w:after="283"/>
              <w:jc w:val="center"/>
              <w:rPr/>
            </w:pPr>
            <w:r>
              <w:rPr/>
              <w:t>15</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Cost of Landlord’s Insurance</w:t>
            </w:r>
          </w:p>
        </w:tc>
        <w:tc>
          <w:tcPr>
            <w:tcW w:w="905" w:type="dxa"/>
            <w:tcBorders/>
            <w:vAlign w:val="center"/>
          </w:tcPr>
          <w:p>
            <w:pPr>
              <w:pStyle w:val="TableContents"/>
              <w:bidi w:val="0"/>
              <w:spacing w:before="0" w:after="283"/>
              <w:jc w:val="center"/>
              <w:rPr/>
            </w:pPr>
            <w:r>
              <w:rPr/>
              <w:t>15</w:t>
            </w:r>
          </w:p>
        </w:tc>
      </w:tr>
      <w:tr>
        <w:trPr/>
        <w:tc>
          <w:tcPr>
            <w:tcW w:w="320" w:type="dxa"/>
            <w:tcBorders/>
            <w:vAlign w:val="center"/>
          </w:tcPr>
          <w:p>
            <w:pPr>
              <w:pStyle w:val="TableContents"/>
              <w:bidi w:val="0"/>
              <w:spacing w:before="0" w:after="283"/>
              <w:jc w:val="left"/>
              <w:rPr>
                <w:b/>
              </w:rPr>
            </w:pPr>
            <w:r>
              <w:rPr>
                <w:b/>
              </w:rPr>
              <w:t>13.</w:t>
            </w:r>
          </w:p>
        </w:tc>
        <w:tc>
          <w:tcPr>
            <w:tcW w:w="6994" w:type="dxa"/>
            <w:gridSpan w:val="2"/>
            <w:tcBorders/>
            <w:vAlign w:val="center"/>
          </w:tcPr>
          <w:p>
            <w:pPr>
              <w:pStyle w:val="TableContents"/>
              <w:bidi w:val="0"/>
              <w:spacing w:before="0" w:after="283"/>
              <w:jc w:val="left"/>
              <w:rPr/>
            </w:pPr>
            <w:r>
              <w:rPr/>
              <w:t>Subordination; Attornment; Notice to Landlord’s Mortgagee</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Subordination</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Attornment</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Notice to Landlord’s Mortgagee</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Landlord’s Mortgagee’s Protection Provisions</w:t>
            </w:r>
          </w:p>
        </w:tc>
        <w:tc>
          <w:tcPr>
            <w:tcW w:w="905"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14" w:type="dxa"/>
        <w:jc w:val="left"/>
        <w:tblInd w:w="0" w:type="dxa"/>
        <w:tblLayout w:type="fixed"/>
        <w:tblCellMar>
          <w:top w:w="0" w:type="dxa"/>
          <w:left w:w="0" w:type="dxa"/>
          <w:bottom w:w="0" w:type="dxa"/>
          <w:right w:w="0" w:type="dxa"/>
        </w:tblCellMar>
      </w:tblPr>
      <w:tblGrid>
        <w:gridCol w:w="320"/>
        <w:gridCol w:w="439"/>
        <w:gridCol w:w="4935"/>
        <w:gridCol w:w="320"/>
      </w:tblGrid>
      <w:tr>
        <w:trPr/>
        <w:tc>
          <w:tcPr>
            <w:tcW w:w="320" w:type="dxa"/>
            <w:tcBorders/>
            <w:vAlign w:val="center"/>
          </w:tcPr>
          <w:p>
            <w:pPr>
              <w:pStyle w:val="TableContents"/>
              <w:bidi w:val="0"/>
              <w:spacing w:before="0" w:after="283"/>
              <w:jc w:val="left"/>
              <w:rPr>
                <w:b/>
              </w:rPr>
            </w:pPr>
            <w:r>
              <w:rPr>
                <w:b/>
              </w:rPr>
              <w:t>14.</w:t>
            </w:r>
          </w:p>
        </w:tc>
        <w:tc>
          <w:tcPr>
            <w:tcW w:w="5374" w:type="dxa"/>
            <w:gridSpan w:val="2"/>
            <w:tcBorders/>
            <w:vAlign w:val="center"/>
          </w:tcPr>
          <w:p>
            <w:pPr>
              <w:pStyle w:val="TableContents"/>
              <w:bidi w:val="0"/>
              <w:spacing w:before="0" w:after="283"/>
              <w:jc w:val="left"/>
              <w:rPr/>
            </w:pPr>
            <w:r>
              <w:rPr/>
              <w:t>Rules and Regulations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b/>
              </w:rPr>
            </w:pPr>
            <w:r>
              <w:rPr>
                <w:b/>
              </w:rPr>
              <w:t>15.</w:t>
            </w:r>
          </w:p>
        </w:tc>
        <w:tc>
          <w:tcPr>
            <w:tcW w:w="5374" w:type="dxa"/>
            <w:gridSpan w:val="2"/>
            <w:tcBorders/>
            <w:vAlign w:val="center"/>
          </w:tcPr>
          <w:p>
            <w:pPr>
              <w:pStyle w:val="TableContents"/>
              <w:bidi w:val="0"/>
              <w:spacing w:before="0" w:after="283"/>
              <w:jc w:val="left"/>
              <w:rPr/>
            </w:pPr>
            <w:r>
              <w:rPr/>
              <w:t>Condemnation</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Total Taking</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Partial Taking - Tenant’s Rights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Partial Taking - Landlord’s Rights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Temporary Taking</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Award</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b/>
              </w:rPr>
            </w:pPr>
            <w:r>
              <w:rPr>
                <w:b/>
              </w:rPr>
              <w:t>16.</w:t>
            </w:r>
          </w:p>
        </w:tc>
        <w:tc>
          <w:tcPr>
            <w:tcW w:w="5374" w:type="dxa"/>
            <w:gridSpan w:val="2"/>
            <w:tcBorders/>
            <w:vAlign w:val="center"/>
          </w:tcPr>
          <w:p>
            <w:pPr>
              <w:pStyle w:val="TableContents"/>
              <w:bidi w:val="0"/>
              <w:spacing w:before="0" w:after="283"/>
              <w:jc w:val="left"/>
              <w:rPr/>
            </w:pPr>
            <w:r>
              <w:rPr/>
              <w:t>Fire or Other Casualty</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Repair Estimate</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Tenant’s Rights</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Landlord’s Rights</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Repair Obligation</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Abatement of Rent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b/>
              </w:rPr>
            </w:pPr>
            <w:r>
              <w:rPr>
                <w:b/>
              </w:rPr>
              <w:t>17.</w:t>
            </w:r>
          </w:p>
        </w:tc>
        <w:tc>
          <w:tcPr>
            <w:tcW w:w="5374" w:type="dxa"/>
            <w:gridSpan w:val="2"/>
            <w:tcBorders/>
            <w:vAlign w:val="center"/>
          </w:tcPr>
          <w:p>
            <w:pPr>
              <w:pStyle w:val="TableContents"/>
              <w:bidi w:val="0"/>
              <w:spacing w:before="0" w:after="283"/>
              <w:jc w:val="left"/>
              <w:rPr/>
            </w:pPr>
            <w:r>
              <w:rPr/>
              <w:t>Personal Property Taxes</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b/>
              </w:rPr>
            </w:pPr>
            <w:r>
              <w:rPr>
                <w:b/>
              </w:rPr>
              <w:t>18.</w:t>
            </w:r>
          </w:p>
        </w:tc>
        <w:tc>
          <w:tcPr>
            <w:tcW w:w="5374" w:type="dxa"/>
            <w:gridSpan w:val="2"/>
            <w:tcBorders/>
            <w:vAlign w:val="center"/>
          </w:tcPr>
          <w:p>
            <w:pPr>
              <w:pStyle w:val="TableContents"/>
              <w:bidi w:val="0"/>
              <w:spacing w:before="0" w:after="283"/>
              <w:jc w:val="left"/>
              <w:rPr/>
            </w:pPr>
            <w:r>
              <w:rPr/>
              <w:t>Events of Default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Payment Default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Abandonment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Estoppel</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Insurance</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Mechanic’s Liens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(f)</w:t>
            </w:r>
          </w:p>
        </w:tc>
        <w:tc>
          <w:tcPr>
            <w:tcW w:w="4935" w:type="dxa"/>
            <w:tcBorders/>
            <w:vAlign w:val="center"/>
          </w:tcPr>
          <w:p>
            <w:pPr>
              <w:pStyle w:val="TableContents"/>
              <w:bidi w:val="0"/>
              <w:spacing w:before="0" w:after="283"/>
              <w:jc w:val="left"/>
              <w:rPr/>
            </w:pPr>
            <w:r>
              <w:rPr/>
              <w:t>Other Defaults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(g)</w:t>
            </w:r>
          </w:p>
        </w:tc>
        <w:tc>
          <w:tcPr>
            <w:tcW w:w="4935" w:type="dxa"/>
            <w:tcBorders/>
            <w:vAlign w:val="center"/>
          </w:tcPr>
          <w:p>
            <w:pPr>
              <w:pStyle w:val="TableContents"/>
              <w:bidi w:val="0"/>
              <w:spacing w:before="0" w:after="283"/>
              <w:jc w:val="left"/>
              <w:rPr/>
            </w:pPr>
            <w:r>
              <w:rPr/>
              <w:t>Insolvency</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b/>
              </w:rPr>
            </w:pPr>
            <w:r>
              <w:rPr>
                <w:b/>
              </w:rPr>
              <w:t>19.</w:t>
            </w:r>
          </w:p>
        </w:tc>
        <w:tc>
          <w:tcPr>
            <w:tcW w:w="5374" w:type="dxa"/>
            <w:gridSpan w:val="2"/>
            <w:tcBorders/>
            <w:vAlign w:val="center"/>
          </w:tcPr>
          <w:p>
            <w:pPr>
              <w:pStyle w:val="TableContents"/>
              <w:bidi w:val="0"/>
              <w:spacing w:before="0" w:after="283"/>
              <w:jc w:val="left"/>
              <w:rPr/>
            </w:pPr>
            <w:r>
              <w:rPr/>
              <w:t>Remedies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Termination of Lease</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Termination of Possession</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Perform Acts on Behalf of Tenant</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Suspension of Services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Alteration of Locks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b/>
              </w:rPr>
            </w:pPr>
            <w:r>
              <w:rPr>
                <w:b/>
              </w:rPr>
              <w:t>20.</w:t>
            </w:r>
          </w:p>
        </w:tc>
        <w:tc>
          <w:tcPr>
            <w:tcW w:w="5374" w:type="dxa"/>
            <w:gridSpan w:val="2"/>
            <w:tcBorders/>
            <w:vAlign w:val="center"/>
          </w:tcPr>
          <w:p>
            <w:pPr>
              <w:pStyle w:val="TableContents"/>
              <w:bidi w:val="0"/>
              <w:spacing w:before="0" w:after="283"/>
              <w:jc w:val="left"/>
              <w:rPr/>
            </w:pPr>
            <w:r>
              <w:rPr/>
              <w:t>Payment by Tenant; Non-Waiver; Cumulative Remedies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Payment by Tenant</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No Waiver</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Cumulative Remedies</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b/>
              </w:rPr>
            </w:pPr>
            <w:r>
              <w:rPr>
                <w:b/>
              </w:rPr>
              <w:t>21.</w:t>
            </w:r>
          </w:p>
        </w:tc>
        <w:tc>
          <w:tcPr>
            <w:tcW w:w="5374" w:type="dxa"/>
            <w:gridSpan w:val="2"/>
            <w:tcBorders/>
            <w:vAlign w:val="center"/>
          </w:tcPr>
          <w:p>
            <w:pPr>
              <w:pStyle w:val="TableContents"/>
              <w:bidi w:val="0"/>
              <w:spacing w:before="0" w:after="283"/>
              <w:jc w:val="left"/>
              <w:rPr/>
            </w:pPr>
            <w:r>
              <w:rPr/>
              <w:t>Landlord’s Lien</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b/>
              </w:rPr>
            </w:pPr>
            <w:r>
              <w:rPr>
                <w:b/>
              </w:rPr>
              <w:t>22.</w:t>
            </w:r>
          </w:p>
        </w:tc>
        <w:tc>
          <w:tcPr>
            <w:tcW w:w="5374" w:type="dxa"/>
            <w:gridSpan w:val="2"/>
            <w:tcBorders/>
            <w:vAlign w:val="center"/>
          </w:tcPr>
          <w:p>
            <w:pPr>
              <w:pStyle w:val="TableContents"/>
              <w:bidi w:val="0"/>
              <w:spacing w:before="0" w:after="283"/>
              <w:jc w:val="left"/>
              <w:rPr/>
            </w:pPr>
            <w:r>
              <w:rPr/>
              <w:t>Surrender of Premises</w:t>
            </w:r>
          </w:p>
        </w:tc>
        <w:tc>
          <w:tcPr>
            <w:tcW w:w="32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320"/>
        <w:gridCol w:w="350"/>
        <w:gridCol w:w="5075"/>
        <w:gridCol w:w="260"/>
      </w:tblGrid>
      <w:tr>
        <w:trPr/>
        <w:tc>
          <w:tcPr>
            <w:tcW w:w="320" w:type="dxa"/>
            <w:tcBorders/>
            <w:vAlign w:val="center"/>
          </w:tcPr>
          <w:p>
            <w:pPr>
              <w:pStyle w:val="TableContents"/>
              <w:bidi w:val="0"/>
              <w:spacing w:before="0" w:after="283"/>
              <w:jc w:val="left"/>
              <w:rPr>
                <w:b/>
              </w:rPr>
            </w:pPr>
            <w:r>
              <w:rPr>
                <w:b/>
              </w:rPr>
              <w:t>23.</w:t>
            </w:r>
          </w:p>
        </w:tc>
        <w:tc>
          <w:tcPr>
            <w:tcW w:w="5425" w:type="dxa"/>
            <w:gridSpan w:val="2"/>
            <w:tcBorders/>
            <w:vAlign w:val="center"/>
          </w:tcPr>
          <w:p>
            <w:pPr>
              <w:pStyle w:val="TableContents"/>
              <w:bidi w:val="0"/>
              <w:spacing w:before="0" w:after="283"/>
              <w:jc w:val="left"/>
              <w:rPr/>
            </w:pPr>
            <w:r>
              <w:rPr/>
              <w:t>Holding Over</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b/>
              </w:rPr>
            </w:pPr>
            <w:r>
              <w:rPr>
                <w:b/>
              </w:rPr>
              <w:t>24.</w:t>
            </w:r>
          </w:p>
        </w:tc>
        <w:tc>
          <w:tcPr>
            <w:tcW w:w="5425" w:type="dxa"/>
            <w:gridSpan w:val="2"/>
            <w:tcBorders/>
            <w:vAlign w:val="center"/>
          </w:tcPr>
          <w:p>
            <w:pPr>
              <w:pStyle w:val="TableContents"/>
              <w:bidi w:val="0"/>
              <w:spacing w:before="0" w:after="283"/>
              <w:jc w:val="left"/>
              <w:rPr/>
            </w:pPr>
            <w:r>
              <w:rPr/>
              <w:t>Certain Rights Reserved by Landlord</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Building Operations</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Security</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Prospective Purchasers and Lenders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Prospective Tenants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b/>
              </w:rPr>
            </w:pPr>
            <w:r>
              <w:rPr>
                <w:b/>
              </w:rPr>
              <w:t>25.</w:t>
            </w:r>
          </w:p>
        </w:tc>
        <w:tc>
          <w:tcPr>
            <w:tcW w:w="5425" w:type="dxa"/>
            <w:gridSpan w:val="2"/>
            <w:tcBorders/>
            <w:vAlign w:val="center"/>
          </w:tcPr>
          <w:p>
            <w:pPr>
              <w:pStyle w:val="TableContents"/>
              <w:bidi w:val="0"/>
              <w:spacing w:before="0" w:after="283"/>
              <w:jc w:val="left"/>
              <w:rPr/>
            </w:pPr>
            <w:r>
              <w:rPr/>
              <w:t>Intentionally Omitted</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b/>
              </w:rPr>
            </w:pPr>
            <w:r>
              <w:rPr>
                <w:b/>
              </w:rPr>
              <w:t>26.</w:t>
            </w:r>
          </w:p>
        </w:tc>
        <w:tc>
          <w:tcPr>
            <w:tcW w:w="5425" w:type="dxa"/>
            <w:gridSpan w:val="2"/>
            <w:tcBorders/>
            <w:vAlign w:val="center"/>
          </w:tcPr>
          <w:p>
            <w:pPr>
              <w:pStyle w:val="TableContents"/>
              <w:bidi w:val="0"/>
              <w:spacing w:before="0" w:after="283"/>
              <w:jc w:val="left"/>
              <w:rPr/>
            </w:pPr>
            <w:r>
              <w:rPr/>
              <w:t>Miscellaneous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Landlord Transfer</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Landlord’s Liability</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Force Majeure</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Brokerage</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(e)</w:t>
            </w:r>
          </w:p>
        </w:tc>
        <w:tc>
          <w:tcPr>
            <w:tcW w:w="5075" w:type="dxa"/>
            <w:tcBorders/>
            <w:vAlign w:val="center"/>
          </w:tcPr>
          <w:p>
            <w:pPr>
              <w:pStyle w:val="TableContents"/>
              <w:bidi w:val="0"/>
              <w:spacing w:before="0" w:after="283"/>
              <w:jc w:val="left"/>
              <w:rPr/>
            </w:pPr>
            <w:r>
              <w:rPr/>
              <w:t>Estoppel Certificates</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(f)</w:t>
            </w:r>
          </w:p>
        </w:tc>
        <w:tc>
          <w:tcPr>
            <w:tcW w:w="5075" w:type="dxa"/>
            <w:tcBorders/>
            <w:vAlign w:val="center"/>
          </w:tcPr>
          <w:p>
            <w:pPr>
              <w:pStyle w:val="TableContents"/>
              <w:bidi w:val="0"/>
              <w:spacing w:before="0" w:after="283"/>
              <w:jc w:val="left"/>
              <w:rPr/>
            </w:pPr>
            <w:r>
              <w:rPr/>
              <w:t>Notices</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(g)</w:t>
            </w:r>
          </w:p>
        </w:tc>
        <w:tc>
          <w:tcPr>
            <w:tcW w:w="5075" w:type="dxa"/>
            <w:tcBorders/>
            <w:vAlign w:val="center"/>
          </w:tcPr>
          <w:p>
            <w:pPr>
              <w:pStyle w:val="TableContents"/>
              <w:bidi w:val="0"/>
              <w:spacing w:before="0" w:after="283"/>
              <w:jc w:val="left"/>
              <w:rPr/>
            </w:pPr>
            <w:r>
              <w:rPr/>
              <w:t>Separability</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(h)</w:t>
            </w:r>
          </w:p>
        </w:tc>
        <w:tc>
          <w:tcPr>
            <w:tcW w:w="5075" w:type="dxa"/>
            <w:tcBorders/>
            <w:vAlign w:val="center"/>
          </w:tcPr>
          <w:p>
            <w:pPr>
              <w:pStyle w:val="TableContents"/>
              <w:bidi w:val="0"/>
              <w:spacing w:before="0" w:after="283"/>
              <w:jc w:val="left"/>
              <w:rPr/>
            </w:pPr>
            <w:r>
              <w:rPr/>
              <w:t>Amendments; Binding Effect; No Electronic Records</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w:t>
            </w:r>
          </w:p>
        </w:tc>
        <w:tc>
          <w:tcPr>
            <w:tcW w:w="5075" w:type="dxa"/>
            <w:tcBorders/>
            <w:vAlign w:val="center"/>
          </w:tcPr>
          <w:p>
            <w:pPr>
              <w:pStyle w:val="TableContents"/>
              <w:bidi w:val="0"/>
              <w:spacing w:before="0" w:after="283"/>
              <w:jc w:val="left"/>
              <w:rPr/>
            </w:pPr>
            <w:r>
              <w:rPr/>
              <w:t>Quiet Enjoyment</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(j)</w:t>
            </w:r>
          </w:p>
        </w:tc>
        <w:tc>
          <w:tcPr>
            <w:tcW w:w="5075" w:type="dxa"/>
            <w:tcBorders/>
            <w:vAlign w:val="center"/>
          </w:tcPr>
          <w:p>
            <w:pPr>
              <w:pStyle w:val="TableContents"/>
              <w:bidi w:val="0"/>
              <w:spacing w:before="0" w:after="283"/>
              <w:jc w:val="left"/>
              <w:rPr/>
            </w:pPr>
            <w:r>
              <w:rPr/>
              <w:t>Entire Agreement</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(k)</w:t>
            </w:r>
          </w:p>
        </w:tc>
        <w:tc>
          <w:tcPr>
            <w:tcW w:w="5075" w:type="dxa"/>
            <w:tcBorders/>
            <w:vAlign w:val="center"/>
          </w:tcPr>
          <w:p>
            <w:pPr>
              <w:pStyle w:val="TableContents"/>
              <w:bidi w:val="0"/>
              <w:spacing w:before="0" w:after="283"/>
              <w:jc w:val="left"/>
              <w:rPr/>
            </w:pPr>
            <w:r>
              <w:rPr/>
              <w:t>Waiver of Jury Trial</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(l)</w:t>
            </w:r>
          </w:p>
        </w:tc>
        <w:tc>
          <w:tcPr>
            <w:tcW w:w="5075" w:type="dxa"/>
            <w:tcBorders/>
            <w:vAlign w:val="center"/>
          </w:tcPr>
          <w:p>
            <w:pPr>
              <w:pStyle w:val="TableContents"/>
              <w:bidi w:val="0"/>
              <w:spacing w:before="0" w:after="283"/>
              <w:jc w:val="left"/>
              <w:rPr/>
            </w:pPr>
            <w:r>
              <w:rPr/>
              <w:t>Governing Law</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(m)</w:t>
            </w:r>
          </w:p>
        </w:tc>
        <w:tc>
          <w:tcPr>
            <w:tcW w:w="5075" w:type="dxa"/>
            <w:tcBorders/>
            <w:vAlign w:val="center"/>
          </w:tcPr>
          <w:p>
            <w:pPr>
              <w:pStyle w:val="TableContents"/>
              <w:bidi w:val="0"/>
              <w:spacing w:before="0" w:after="283"/>
              <w:jc w:val="left"/>
              <w:rPr/>
            </w:pPr>
            <w:r>
              <w:rPr/>
              <w:t>Recording</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(n)</w:t>
            </w:r>
          </w:p>
        </w:tc>
        <w:tc>
          <w:tcPr>
            <w:tcW w:w="5075" w:type="dxa"/>
            <w:tcBorders/>
            <w:vAlign w:val="center"/>
          </w:tcPr>
          <w:p>
            <w:pPr>
              <w:pStyle w:val="TableContents"/>
              <w:bidi w:val="0"/>
              <w:spacing w:before="0" w:after="283"/>
              <w:jc w:val="left"/>
              <w:rPr/>
            </w:pPr>
            <w:r>
              <w:rPr/>
              <w:t>Water or Mold Notification</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(o)</w:t>
            </w:r>
          </w:p>
        </w:tc>
        <w:tc>
          <w:tcPr>
            <w:tcW w:w="5075" w:type="dxa"/>
            <w:tcBorders/>
            <w:vAlign w:val="center"/>
          </w:tcPr>
          <w:p>
            <w:pPr>
              <w:pStyle w:val="TableContents"/>
              <w:bidi w:val="0"/>
              <w:spacing w:before="0" w:after="283"/>
              <w:jc w:val="left"/>
              <w:rPr/>
            </w:pPr>
            <w:r>
              <w:rPr/>
              <w:t>Joint and Several Liability</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(p)</w:t>
            </w:r>
          </w:p>
        </w:tc>
        <w:tc>
          <w:tcPr>
            <w:tcW w:w="5075" w:type="dxa"/>
            <w:tcBorders/>
            <w:vAlign w:val="center"/>
          </w:tcPr>
          <w:p>
            <w:pPr>
              <w:pStyle w:val="TableContents"/>
              <w:bidi w:val="0"/>
              <w:spacing w:before="0" w:after="283"/>
              <w:jc w:val="left"/>
              <w:rPr/>
            </w:pPr>
            <w:r>
              <w:rPr/>
              <w:t>Financial Reports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(q)</w:t>
            </w:r>
          </w:p>
        </w:tc>
        <w:tc>
          <w:tcPr>
            <w:tcW w:w="5075" w:type="dxa"/>
            <w:tcBorders/>
            <w:vAlign w:val="center"/>
          </w:tcPr>
          <w:p>
            <w:pPr>
              <w:pStyle w:val="TableContents"/>
              <w:bidi w:val="0"/>
              <w:spacing w:before="0" w:after="283"/>
              <w:jc w:val="left"/>
              <w:rPr/>
            </w:pPr>
            <w:r>
              <w:rPr/>
              <w:t>Landlord’s Fees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(r)</w:t>
            </w:r>
          </w:p>
        </w:tc>
        <w:tc>
          <w:tcPr>
            <w:tcW w:w="5075" w:type="dxa"/>
            <w:tcBorders/>
            <w:vAlign w:val="center"/>
          </w:tcPr>
          <w:p>
            <w:pPr>
              <w:pStyle w:val="TableContents"/>
              <w:bidi w:val="0"/>
              <w:spacing w:before="0" w:after="283"/>
              <w:jc w:val="left"/>
              <w:rPr/>
            </w:pPr>
            <w:r>
              <w:rPr/>
              <w:t>Telecommunications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(s)</w:t>
            </w:r>
          </w:p>
        </w:tc>
        <w:tc>
          <w:tcPr>
            <w:tcW w:w="5075" w:type="dxa"/>
            <w:tcBorders/>
            <w:vAlign w:val="center"/>
          </w:tcPr>
          <w:p>
            <w:pPr>
              <w:pStyle w:val="TableContents"/>
              <w:bidi w:val="0"/>
              <w:spacing w:before="0" w:after="283"/>
              <w:jc w:val="left"/>
              <w:rPr/>
            </w:pPr>
            <w:r>
              <w:rPr/>
              <w:t>Confidentiality</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(t)</w:t>
            </w:r>
          </w:p>
        </w:tc>
        <w:tc>
          <w:tcPr>
            <w:tcW w:w="5075" w:type="dxa"/>
            <w:tcBorders/>
            <w:vAlign w:val="center"/>
          </w:tcPr>
          <w:p>
            <w:pPr>
              <w:pStyle w:val="TableContents"/>
              <w:bidi w:val="0"/>
              <w:spacing w:before="0" w:after="283"/>
              <w:jc w:val="left"/>
              <w:rPr/>
            </w:pPr>
            <w:r>
              <w:rPr/>
              <w:t>Authority</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(u)</w:t>
            </w:r>
          </w:p>
        </w:tc>
        <w:tc>
          <w:tcPr>
            <w:tcW w:w="5075" w:type="dxa"/>
            <w:tcBorders/>
            <w:vAlign w:val="center"/>
          </w:tcPr>
          <w:p>
            <w:pPr>
              <w:pStyle w:val="TableContents"/>
              <w:bidi w:val="0"/>
              <w:spacing w:before="0" w:after="283"/>
              <w:jc w:val="left"/>
              <w:rPr/>
            </w:pPr>
            <w:r>
              <w:rPr/>
              <w:t>Security Service</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w:t>
            </w:r>
          </w:p>
        </w:tc>
        <w:tc>
          <w:tcPr>
            <w:tcW w:w="5075" w:type="dxa"/>
            <w:tcBorders/>
            <w:vAlign w:val="center"/>
          </w:tcPr>
          <w:p>
            <w:pPr>
              <w:pStyle w:val="TableContents"/>
              <w:bidi w:val="0"/>
              <w:spacing w:before="0" w:after="283"/>
              <w:jc w:val="left"/>
              <w:rPr/>
            </w:pPr>
            <w:r>
              <w:rPr/>
              <w:t>List of Exhibits</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(w)</w:t>
            </w:r>
          </w:p>
        </w:tc>
        <w:tc>
          <w:tcPr>
            <w:tcW w:w="5075" w:type="dxa"/>
            <w:tcBorders/>
            <w:vAlign w:val="center"/>
          </w:tcPr>
          <w:p>
            <w:pPr>
              <w:pStyle w:val="TableContents"/>
              <w:bidi w:val="0"/>
              <w:spacing w:before="0" w:after="283"/>
              <w:jc w:val="left"/>
              <w:rPr/>
            </w:pPr>
            <w:r>
              <w:rPr/>
              <w:t>Prohibited Persons and Transactions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(x)</w:t>
            </w:r>
          </w:p>
        </w:tc>
        <w:tc>
          <w:tcPr>
            <w:tcW w:w="5075" w:type="dxa"/>
            <w:tcBorders/>
            <w:vAlign w:val="center"/>
          </w:tcPr>
          <w:p>
            <w:pPr>
              <w:pStyle w:val="TableContents"/>
              <w:bidi w:val="0"/>
              <w:spacing w:before="0" w:after="283"/>
              <w:jc w:val="left"/>
              <w:rPr/>
            </w:pPr>
            <w:r>
              <w:rPr/>
              <w:t>Determination of Charges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(y)</w:t>
            </w:r>
          </w:p>
        </w:tc>
        <w:tc>
          <w:tcPr>
            <w:tcW w:w="5075" w:type="dxa"/>
            <w:tcBorders/>
            <w:vAlign w:val="center"/>
          </w:tcPr>
          <w:p>
            <w:pPr>
              <w:pStyle w:val="TableContents"/>
              <w:bidi w:val="0"/>
              <w:spacing w:before="0" w:after="283"/>
              <w:jc w:val="left"/>
              <w:rPr/>
            </w:pPr>
            <w:r>
              <w:rPr/>
              <w:t>No Invasive Testing</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(z)</w:t>
            </w:r>
          </w:p>
        </w:tc>
        <w:tc>
          <w:tcPr>
            <w:tcW w:w="5075" w:type="dxa"/>
            <w:tcBorders/>
            <w:vAlign w:val="center"/>
          </w:tcPr>
          <w:p>
            <w:pPr>
              <w:pStyle w:val="TableContents"/>
              <w:bidi w:val="0"/>
              <w:spacing w:before="0" w:after="283"/>
              <w:jc w:val="left"/>
              <w:rPr/>
            </w:pPr>
            <w:r>
              <w:rPr/>
              <w:t>Counterparts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b/>
              </w:rPr>
            </w:pPr>
            <w:r>
              <w:rPr>
                <w:b/>
              </w:rPr>
              <w:t>27.</w:t>
            </w:r>
          </w:p>
        </w:tc>
        <w:tc>
          <w:tcPr>
            <w:tcW w:w="5425" w:type="dxa"/>
            <w:gridSpan w:val="2"/>
            <w:tcBorders/>
            <w:vAlign w:val="center"/>
          </w:tcPr>
          <w:p>
            <w:pPr>
              <w:pStyle w:val="TableContents"/>
              <w:bidi w:val="0"/>
              <w:spacing w:before="0" w:after="283"/>
              <w:jc w:val="left"/>
              <w:rPr/>
            </w:pPr>
            <w:r>
              <w:rPr/>
              <w:t>Environmental Requirements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Prohibition against Hazardous Materials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Environmental Requirements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Removal of Hazardous Materials</w:t>
            </w:r>
          </w:p>
        </w:tc>
        <w:tc>
          <w:tcPr>
            <w:tcW w:w="260" w:type="dxa"/>
            <w:tcBorders/>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Tenant’s Indemnity</w:t>
            </w:r>
          </w:p>
        </w:tc>
        <w:tc>
          <w:tcPr>
            <w:tcW w:w="260" w:type="dxa"/>
            <w:tcBorders/>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(e)</w:t>
            </w:r>
          </w:p>
        </w:tc>
        <w:tc>
          <w:tcPr>
            <w:tcW w:w="5075" w:type="dxa"/>
            <w:tcBorders/>
            <w:vAlign w:val="center"/>
          </w:tcPr>
          <w:p>
            <w:pPr>
              <w:pStyle w:val="TableContents"/>
              <w:bidi w:val="0"/>
              <w:spacing w:before="0" w:after="283"/>
              <w:jc w:val="left"/>
              <w:rPr/>
            </w:pPr>
            <w:r>
              <w:rPr/>
              <w:t>Inspections and Tests</w:t>
            </w:r>
          </w:p>
        </w:tc>
        <w:tc>
          <w:tcPr>
            <w:tcW w:w="260" w:type="dxa"/>
            <w:tcBorders/>
            <w:vAlign w:val="center"/>
          </w:tcPr>
          <w:p>
            <w:pPr>
              <w:pStyle w:val="TableContents"/>
              <w:bidi w:val="0"/>
              <w:spacing w:before="0" w:after="283"/>
              <w:jc w:val="center"/>
              <w:rPr/>
            </w:pPr>
            <w:r>
              <w:rPr/>
              <w:t>31</w:t>
            </w:r>
          </w:p>
        </w:tc>
      </w:tr>
      <w:tr>
        <w:trPr/>
        <w:tc>
          <w:tcPr>
            <w:tcW w:w="320" w:type="dxa"/>
            <w:tcBorders/>
            <w:vAlign w:val="center"/>
          </w:tcPr>
          <w:p>
            <w:pPr>
              <w:pStyle w:val="TableContents"/>
              <w:bidi w:val="0"/>
              <w:spacing w:before="0" w:after="283"/>
              <w:jc w:val="left"/>
              <w:rPr>
                <w:b/>
              </w:rPr>
            </w:pPr>
            <w:r>
              <w:rPr>
                <w:b/>
              </w:rPr>
              <w:t>28.</w:t>
            </w:r>
          </w:p>
        </w:tc>
        <w:tc>
          <w:tcPr>
            <w:tcW w:w="5425" w:type="dxa"/>
            <w:gridSpan w:val="2"/>
            <w:tcBorders/>
            <w:vAlign w:val="center"/>
          </w:tcPr>
          <w:p>
            <w:pPr>
              <w:pStyle w:val="TableContents"/>
              <w:bidi w:val="0"/>
              <w:spacing w:before="0" w:after="283"/>
              <w:jc w:val="left"/>
              <w:rPr/>
            </w:pPr>
            <w:r>
              <w:rPr/>
              <w:t>Parking</w:t>
            </w:r>
          </w:p>
        </w:tc>
        <w:tc>
          <w:tcPr>
            <w:tcW w:w="26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DEFINED TERMS</w:t>
      </w:r>
    </w:p>
    <w:p>
      <w:pPr>
        <w:pStyle w:val="TextBody"/>
        <w:bidi w:val="0"/>
        <w:spacing w:before="0" w:after="283"/>
        <w:jc w:val="left"/>
        <w:rPr/>
      </w:pPr>
      <w:r>
        <w:rPr/>
        <w:t> </w:t>
      </w:r>
    </w:p>
    <w:tbl>
      <w:tblPr>
        <w:tblW w:w="4345" w:type="dxa"/>
        <w:jc w:val="left"/>
        <w:tblInd w:w="0" w:type="dxa"/>
        <w:tblLayout w:type="fixed"/>
        <w:tblCellMar>
          <w:top w:w="0" w:type="dxa"/>
          <w:left w:w="0" w:type="dxa"/>
          <w:bottom w:w="0" w:type="dxa"/>
          <w:right w:w="0" w:type="dxa"/>
        </w:tblCellMar>
      </w:tblPr>
      <w:tblGrid>
        <w:gridCol w:w="3380"/>
        <w:gridCol w:w="965"/>
      </w:tblGrid>
      <w:tr>
        <w:trPr/>
        <w:tc>
          <w:tcPr>
            <w:tcW w:w="3380" w:type="dxa"/>
            <w:tcBorders/>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before="0" w:after="283"/>
              <w:jc w:val="center"/>
              <w:rPr/>
            </w:pPr>
            <w:r>
              <w:rPr/>
              <w:t xml:space="preserve">Page No. </w:t>
            </w:r>
          </w:p>
        </w:tc>
      </w:tr>
      <w:tr>
        <w:trPr/>
        <w:tc>
          <w:tcPr>
            <w:tcW w:w="3380" w:type="dxa"/>
            <w:tcBorders/>
            <w:vAlign w:val="center"/>
          </w:tcPr>
          <w:p>
            <w:pPr>
              <w:pStyle w:val="TableContents"/>
              <w:bidi w:val="0"/>
              <w:spacing w:before="0" w:after="283"/>
              <w:jc w:val="left"/>
              <w:rPr/>
            </w:pPr>
            <w:r>
              <w:rPr/>
              <w:t>Additional Rent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Affiliate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Basic Lease Information</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Basic Rent</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Building</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Building’s Structure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Building’s Systems</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Casualty</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Code Modification</w:t>
            </w:r>
          </w:p>
        </w:tc>
        <w:tc>
          <w:tcPr>
            <w:tcW w:w="965" w:type="dxa"/>
            <w:tcBorders/>
            <w:vAlign w:val="center"/>
          </w:tcPr>
          <w:p>
            <w:pPr>
              <w:pStyle w:val="TableContents"/>
              <w:bidi w:val="0"/>
              <w:spacing w:before="0" w:after="283"/>
              <w:jc w:val="center"/>
              <w:rPr/>
            </w:pPr>
            <w:r>
              <w:rPr/>
              <w:t>9</w:t>
            </w:r>
          </w:p>
        </w:tc>
      </w:tr>
      <w:tr>
        <w:trPr/>
        <w:tc>
          <w:tcPr>
            <w:tcW w:w="3380" w:type="dxa"/>
            <w:tcBorders/>
            <w:vAlign w:val="center"/>
          </w:tcPr>
          <w:p>
            <w:pPr>
              <w:pStyle w:val="TableContents"/>
              <w:bidi w:val="0"/>
              <w:spacing w:before="0" w:after="283"/>
              <w:jc w:val="left"/>
              <w:rPr/>
            </w:pPr>
            <w:r>
              <w:rPr/>
              <w:t>Collateral</w:t>
            </w:r>
          </w:p>
        </w:tc>
        <w:tc>
          <w:tcPr>
            <w:tcW w:w="965" w:type="dxa"/>
            <w:tcBorders/>
            <w:vAlign w:val="center"/>
          </w:tcPr>
          <w:p>
            <w:pPr>
              <w:pStyle w:val="TableContents"/>
              <w:bidi w:val="0"/>
              <w:spacing w:before="0" w:after="283"/>
              <w:jc w:val="center"/>
              <w:rPr/>
            </w:pPr>
            <w:r>
              <w:rPr/>
              <w:t>22</w:t>
            </w:r>
          </w:p>
        </w:tc>
      </w:tr>
      <w:tr>
        <w:trPr/>
        <w:tc>
          <w:tcPr>
            <w:tcW w:w="3380" w:type="dxa"/>
            <w:tcBorders/>
            <w:vAlign w:val="center"/>
          </w:tcPr>
          <w:p>
            <w:pPr>
              <w:pStyle w:val="TableContents"/>
              <w:bidi w:val="0"/>
              <w:spacing w:before="0" w:after="283"/>
              <w:jc w:val="left"/>
              <w:rPr/>
            </w:pPr>
            <w:r>
              <w:rPr/>
              <w:t>Commencement Date</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Complex</w:t>
            </w:r>
          </w:p>
        </w:tc>
        <w:tc>
          <w:tcPr>
            <w:tcW w:w="965" w:type="dxa"/>
            <w:tcBorders/>
            <w:vAlign w:val="center"/>
          </w:tcPr>
          <w:p>
            <w:pPr>
              <w:pStyle w:val="TableContents"/>
              <w:bidi w:val="0"/>
              <w:spacing w:before="0" w:after="283"/>
              <w:jc w:val="center"/>
              <w:rPr/>
            </w:pPr>
            <w:r>
              <w:rPr/>
              <w:t>3</w:t>
            </w:r>
          </w:p>
        </w:tc>
      </w:tr>
      <w:tr>
        <w:trPr/>
        <w:tc>
          <w:tcPr>
            <w:tcW w:w="3380" w:type="dxa"/>
            <w:tcBorders/>
            <w:vAlign w:val="center"/>
          </w:tcPr>
          <w:p>
            <w:pPr>
              <w:pStyle w:val="TableContents"/>
              <w:bidi w:val="0"/>
              <w:spacing w:before="0" w:after="283"/>
              <w:jc w:val="left"/>
              <w:rPr/>
            </w:pPr>
            <w:r>
              <w:rPr/>
              <w:t>Damage Notice</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Default Rate</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Environmental Requirements</w:t>
            </w:r>
          </w:p>
        </w:tc>
        <w:tc>
          <w:tcPr>
            <w:tcW w:w="965" w:type="dxa"/>
            <w:tcBorders/>
            <w:vAlign w:val="center"/>
          </w:tcPr>
          <w:p>
            <w:pPr>
              <w:pStyle w:val="TableContents"/>
              <w:bidi w:val="0"/>
              <w:spacing w:before="0" w:after="283"/>
              <w:jc w:val="center"/>
              <w:rPr/>
            </w:pPr>
            <w:r>
              <w:rPr/>
              <w:t>29</w:t>
            </w:r>
          </w:p>
        </w:tc>
      </w:tr>
      <w:tr>
        <w:trPr/>
        <w:tc>
          <w:tcPr>
            <w:tcW w:w="3380" w:type="dxa"/>
            <w:tcBorders/>
            <w:vAlign w:val="center"/>
          </w:tcPr>
          <w:p>
            <w:pPr>
              <w:pStyle w:val="TableContents"/>
              <w:bidi w:val="0"/>
              <w:spacing w:before="0" w:after="283"/>
              <w:jc w:val="left"/>
              <w:rPr/>
            </w:pPr>
            <w:r>
              <w:rPr/>
              <w:t>Estimated Delivery Date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Event of Default</w:t>
            </w:r>
          </w:p>
        </w:tc>
        <w:tc>
          <w:tcPr>
            <w:tcW w:w="965" w:type="dxa"/>
            <w:tcBorders/>
            <w:vAlign w:val="center"/>
          </w:tcPr>
          <w:p>
            <w:pPr>
              <w:pStyle w:val="TableContents"/>
              <w:bidi w:val="0"/>
              <w:spacing w:before="0" w:after="283"/>
              <w:jc w:val="center"/>
              <w:rPr/>
            </w:pPr>
            <w:r>
              <w:rPr/>
              <w:t>19</w:t>
            </w:r>
          </w:p>
        </w:tc>
      </w:tr>
      <w:tr>
        <w:trPr/>
        <w:tc>
          <w:tcPr>
            <w:tcW w:w="3380" w:type="dxa"/>
            <w:tcBorders/>
            <w:vAlign w:val="center"/>
          </w:tcPr>
          <w:p>
            <w:pPr>
              <w:pStyle w:val="TableContents"/>
              <w:bidi w:val="0"/>
              <w:spacing w:before="0" w:after="283"/>
              <w:jc w:val="left"/>
              <w:rPr/>
            </w:pPr>
            <w:r>
              <w:rPr/>
              <w:t>GAAP</w:t>
            </w:r>
          </w:p>
        </w:tc>
        <w:tc>
          <w:tcPr>
            <w:tcW w:w="965" w:type="dxa"/>
            <w:tcBorders/>
            <w:vAlign w:val="center"/>
          </w:tcPr>
          <w:p>
            <w:pPr>
              <w:pStyle w:val="TableContents"/>
              <w:bidi w:val="0"/>
              <w:spacing w:before="0" w:after="283"/>
              <w:jc w:val="center"/>
              <w:rPr/>
            </w:pPr>
            <w:r>
              <w:rPr/>
              <w:t>13</w:t>
            </w:r>
          </w:p>
        </w:tc>
      </w:tr>
      <w:tr>
        <w:trPr/>
        <w:tc>
          <w:tcPr>
            <w:tcW w:w="3380" w:type="dxa"/>
            <w:tcBorders/>
            <w:vAlign w:val="center"/>
          </w:tcPr>
          <w:p>
            <w:pPr>
              <w:pStyle w:val="TableContents"/>
              <w:bidi w:val="0"/>
              <w:spacing w:before="0" w:after="283"/>
              <w:jc w:val="left"/>
              <w:rPr/>
            </w:pPr>
            <w:r>
              <w:rPr/>
              <w:t>Governmental Requirements</w:t>
            </w:r>
          </w:p>
        </w:tc>
        <w:tc>
          <w:tcPr>
            <w:tcW w:w="965" w:type="dxa"/>
            <w:tcBorders/>
            <w:vAlign w:val="center"/>
          </w:tcPr>
          <w:p>
            <w:pPr>
              <w:pStyle w:val="TableContents"/>
              <w:bidi w:val="0"/>
              <w:spacing w:before="0" w:after="283"/>
              <w:jc w:val="center"/>
              <w:rPr/>
            </w:pPr>
            <w:r>
              <w:rPr/>
              <w:t>9</w:t>
            </w:r>
          </w:p>
        </w:tc>
      </w:tr>
      <w:tr>
        <w:trPr/>
        <w:tc>
          <w:tcPr>
            <w:tcW w:w="3380" w:type="dxa"/>
            <w:tcBorders/>
            <w:vAlign w:val="center"/>
          </w:tcPr>
          <w:p>
            <w:pPr>
              <w:pStyle w:val="TableContents"/>
              <w:bidi w:val="0"/>
              <w:spacing w:before="0" w:after="283"/>
              <w:jc w:val="left"/>
              <w:rPr/>
            </w:pPr>
            <w:r>
              <w:rPr/>
              <w:t>Hazardous Materials</w:t>
            </w:r>
          </w:p>
        </w:tc>
        <w:tc>
          <w:tcPr>
            <w:tcW w:w="965" w:type="dxa"/>
            <w:tcBorders/>
            <w:vAlign w:val="center"/>
          </w:tcPr>
          <w:p>
            <w:pPr>
              <w:pStyle w:val="TableContents"/>
              <w:bidi w:val="0"/>
              <w:spacing w:before="0" w:after="283"/>
              <w:jc w:val="center"/>
              <w:rPr/>
            </w:pPr>
            <w:r>
              <w:rPr/>
              <w:t>30</w:t>
            </w:r>
          </w:p>
        </w:tc>
      </w:tr>
      <w:tr>
        <w:trPr/>
        <w:tc>
          <w:tcPr>
            <w:tcW w:w="3380" w:type="dxa"/>
            <w:tcBorders/>
            <w:vAlign w:val="center"/>
          </w:tcPr>
          <w:p>
            <w:pPr>
              <w:pStyle w:val="TableContents"/>
              <w:bidi w:val="0"/>
              <w:spacing w:before="0" w:after="283"/>
              <w:jc w:val="left"/>
              <w:rPr/>
            </w:pPr>
            <w:r>
              <w:rPr/>
              <w:t>including</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Insurance Costs</w:t>
            </w:r>
          </w:p>
        </w:tc>
        <w:tc>
          <w:tcPr>
            <w:tcW w:w="965" w:type="dxa"/>
            <w:tcBorders/>
            <w:vAlign w:val="center"/>
          </w:tcPr>
          <w:p>
            <w:pPr>
              <w:pStyle w:val="TableContents"/>
              <w:bidi w:val="0"/>
              <w:spacing w:before="0" w:after="283"/>
              <w:jc w:val="center"/>
              <w:rPr/>
            </w:pPr>
            <w:r>
              <w:rPr/>
              <w:t>15</w:t>
            </w:r>
          </w:p>
        </w:tc>
      </w:tr>
      <w:tr>
        <w:trPr/>
        <w:tc>
          <w:tcPr>
            <w:tcW w:w="3380" w:type="dxa"/>
            <w:tcBorders/>
            <w:vAlign w:val="center"/>
          </w:tcPr>
          <w:p>
            <w:pPr>
              <w:pStyle w:val="TableContents"/>
              <w:bidi w:val="0"/>
              <w:spacing w:before="0" w:after="283"/>
              <w:jc w:val="left"/>
              <w:rPr/>
            </w:pPr>
            <w:r>
              <w:rPr/>
              <w:t>Land</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Landlord</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Landlord’s Mortgagee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Law</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Laws</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Lease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Lease Month</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Loss</w:t>
            </w:r>
          </w:p>
        </w:tc>
        <w:tc>
          <w:tcPr>
            <w:tcW w:w="965" w:type="dxa"/>
            <w:tcBorders/>
            <w:vAlign w:val="center"/>
          </w:tcPr>
          <w:p>
            <w:pPr>
              <w:pStyle w:val="TableContents"/>
              <w:bidi w:val="0"/>
              <w:spacing w:before="0" w:after="283"/>
              <w:jc w:val="center"/>
              <w:rPr/>
            </w:pPr>
            <w:r>
              <w:rPr/>
              <w:t>15</w:t>
            </w:r>
          </w:p>
        </w:tc>
      </w:tr>
      <w:tr>
        <w:trPr/>
        <w:tc>
          <w:tcPr>
            <w:tcW w:w="3380" w:type="dxa"/>
            <w:tcBorders/>
            <w:vAlign w:val="center"/>
          </w:tcPr>
          <w:p>
            <w:pPr>
              <w:pStyle w:val="TableContents"/>
              <w:bidi w:val="0"/>
              <w:spacing w:before="0" w:after="283"/>
              <w:jc w:val="left"/>
              <w:rPr/>
            </w:pPr>
            <w:r>
              <w:rPr/>
              <w:t>Mortgage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OFAC</w:t>
            </w:r>
          </w:p>
        </w:tc>
        <w:tc>
          <w:tcPr>
            <w:tcW w:w="965" w:type="dxa"/>
            <w:tcBorders/>
            <w:vAlign w:val="center"/>
          </w:tcPr>
          <w:p>
            <w:pPr>
              <w:pStyle w:val="TableContents"/>
              <w:bidi w:val="0"/>
              <w:spacing w:before="0" w:after="283"/>
              <w:jc w:val="center"/>
              <w:rPr/>
            </w:pPr>
            <w:r>
              <w:rPr/>
              <w:t>10</w:t>
            </w:r>
          </w:p>
        </w:tc>
      </w:tr>
      <w:tr>
        <w:trPr/>
        <w:tc>
          <w:tcPr>
            <w:tcW w:w="3380" w:type="dxa"/>
            <w:tcBorders/>
            <w:vAlign w:val="center"/>
          </w:tcPr>
          <w:p>
            <w:pPr>
              <w:pStyle w:val="TableContents"/>
              <w:bidi w:val="0"/>
              <w:spacing w:before="0" w:after="283"/>
              <w:jc w:val="left"/>
              <w:rPr/>
            </w:pPr>
            <w:r>
              <w:rPr/>
              <w:t>Operating Costs</w:t>
            </w:r>
          </w:p>
        </w:tc>
        <w:tc>
          <w:tcPr>
            <w:tcW w:w="965" w:type="dxa"/>
            <w:tcBorders/>
            <w:vAlign w:val="center"/>
          </w:tcPr>
          <w:p>
            <w:pPr>
              <w:pStyle w:val="TableContents"/>
              <w:bidi w:val="0"/>
              <w:spacing w:before="0" w:after="283"/>
              <w:jc w:val="center"/>
              <w:rPr/>
            </w:pPr>
            <w:r>
              <w:rPr/>
              <w:t>2</w:t>
            </w:r>
          </w:p>
        </w:tc>
      </w:tr>
      <w:tr>
        <w:trPr/>
        <w:tc>
          <w:tcPr>
            <w:tcW w:w="3380" w:type="dxa"/>
            <w:tcBorders/>
            <w:vAlign w:val="center"/>
          </w:tcPr>
          <w:p>
            <w:pPr>
              <w:pStyle w:val="TableContents"/>
              <w:bidi w:val="0"/>
              <w:spacing w:before="0" w:after="283"/>
              <w:jc w:val="left"/>
              <w:rPr/>
            </w:pPr>
            <w:r>
              <w:rPr/>
              <w:t>Operating Costs and Tax Statement</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Permitted Transfer</w:t>
            </w:r>
          </w:p>
        </w:tc>
        <w:tc>
          <w:tcPr>
            <w:tcW w:w="965" w:type="dxa"/>
            <w:tcBorders/>
            <w:vAlign w:val="center"/>
          </w:tcPr>
          <w:p>
            <w:pPr>
              <w:pStyle w:val="TableContents"/>
              <w:bidi w:val="0"/>
              <w:spacing w:before="0" w:after="283"/>
              <w:jc w:val="center"/>
              <w:rPr/>
            </w:pPr>
            <w:r>
              <w:rPr/>
              <w:t>12</w:t>
            </w:r>
          </w:p>
        </w:tc>
      </w:tr>
      <w:tr>
        <w:trPr/>
        <w:tc>
          <w:tcPr>
            <w:tcW w:w="3380" w:type="dxa"/>
            <w:tcBorders/>
            <w:vAlign w:val="center"/>
          </w:tcPr>
          <w:p>
            <w:pPr>
              <w:pStyle w:val="TableContents"/>
              <w:bidi w:val="0"/>
              <w:spacing w:before="0" w:after="283"/>
              <w:jc w:val="left"/>
              <w:rPr/>
            </w:pPr>
            <w:r>
              <w:rPr/>
              <w:t>Permitted Transferee</w:t>
            </w:r>
          </w:p>
        </w:tc>
        <w:tc>
          <w:tcPr>
            <w:tcW w:w="965" w:type="dxa"/>
            <w:tcBorders/>
            <w:vAlign w:val="center"/>
          </w:tcPr>
          <w:p>
            <w:pPr>
              <w:pStyle w:val="TableContents"/>
              <w:bidi w:val="0"/>
              <w:spacing w:before="0" w:after="283"/>
              <w:jc w:val="center"/>
              <w:rPr/>
            </w:pPr>
            <w:r>
              <w:rPr/>
              <w:t>12</w:t>
            </w:r>
          </w:p>
        </w:tc>
      </w:tr>
      <w:tr>
        <w:trPr/>
        <w:tc>
          <w:tcPr>
            <w:tcW w:w="3380" w:type="dxa"/>
            <w:tcBorders/>
            <w:vAlign w:val="center"/>
          </w:tcPr>
          <w:p>
            <w:pPr>
              <w:pStyle w:val="TableContents"/>
              <w:bidi w:val="0"/>
              <w:spacing w:before="0" w:after="283"/>
              <w:jc w:val="left"/>
              <w:rPr/>
            </w:pPr>
            <w:r>
              <w:rPr/>
              <w:t>Permitted Use</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Premises</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Primary Lease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Project</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PSA</w:t>
            </w:r>
          </w:p>
        </w:tc>
        <w:tc>
          <w:tcPr>
            <w:tcW w:w="965" w:type="dxa"/>
            <w:tcBorders/>
            <w:vAlign w:val="center"/>
          </w:tcPr>
          <w:p>
            <w:pPr>
              <w:pStyle w:val="TableContents"/>
              <w:bidi w:val="0"/>
              <w:spacing w:before="0" w:after="283"/>
              <w:jc w:val="center"/>
              <w:rPr/>
            </w:pPr>
            <w:r>
              <w:rPr/>
              <w:t>5</w:t>
            </w:r>
          </w:p>
        </w:tc>
      </w:tr>
      <w:tr>
        <w:trPr/>
        <w:tc>
          <w:tcPr>
            <w:tcW w:w="3380" w:type="dxa"/>
            <w:tcBorders/>
            <w:vAlign w:val="center"/>
          </w:tcPr>
          <w:p>
            <w:pPr>
              <w:pStyle w:val="TableContents"/>
              <w:bidi w:val="0"/>
              <w:spacing w:before="0" w:after="283"/>
              <w:jc w:val="left"/>
              <w:rPr/>
            </w:pPr>
            <w:r>
              <w:rPr/>
              <w:t>Punchlist Items</w:t>
            </w:r>
          </w:p>
        </w:tc>
        <w:tc>
          <w:tcPr>
            <w:tcW w:w="965" w:type="dxa"/>
            <w:tcBorders/>
            <w:vAlign w:val="center"/>
          </w:tcPr>
          <w:p>
            <w:pPr>
              <w:pStyle w:val="TableContents"/>
              <w:bidi w:val="0"/>
              <w:spacing w:before="0" w:after="283"/>
              <w:jc w:val="center"/>
              <w:rPr/>
            </w:pPr>
            <w:r>
              <w:rPr/>
              <w:t>E-3</w:t>
            </w:r>
          </w:p>
        </w:tc>
      </w:tr>
      <w:tr>
        <w:trPr/>
        <w:tc>
          <w:tcPr>
            <w:tcW w:w="3380" w:type="dxa"/>
            <w:tcBorders/>
            <w:vAlign w:val="center"/>
          </w:tcPr>
          <w:p>
            <w:pPr>
              <w:pStyle w:val="TableContents"/>
              <w:bidi w:val="0"/>
              <w:spacing w:before="0" w:after="283"/>
              <w:jc w:val="left"/>
              <w:rPr/>
            </w:pPr>
            <w:r>
              <w:rPr/>
              <w:t>Rent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Repair Period</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Security Deposit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Substantial Completion</w:t>
            </w:r>
          </w:p>
        </w:tc>
        <w:tc>
          <w:tcPr>
            <w:tcW w:w="965" w:type="dxa"/>
            <w:tcBorders/>
            <w:vAlign w:val="center"/>
          </w:tcPr>
          <w:p>
            <w:pPr>
              <w:pStyle w:val="TableContents"/>
              <w:bidi w:val="0"/>
              <w:spacing w:before="0" w:after="283"/>
              <w:jc w:val="center"/>
              <w:rPr/>
            </w:pPr>
            <w:r>
              <w:rPr/>
              <w:t>D-1</w:t>
            </w:r>
          </w:p>
        </w:tc>
      </w:tr>
      <w:tr>
        <w:trPr/>
        <w:tc>
          <w:tcPr>
            <w:tcW w:w="3380" w:type="dxa"/>
            <w:tcBorders/>
            <w:vAlign w:val="center"/>
          </w:tcPr>
          <w:p>
            <w:pPr>
              <w:pStyle w:val="TableContents"/>
              <w:bidi w:val="0"/>
              <w:spacing w:before="0" w:after="283"/>
              <w:jc w:val="left"/>
              <w:rPr/>
            </w:pPr>
            <w:r>
              <w:rPr/>
              <w:t>Substantially Completed</w:t>
            </w:r>
          </w:p>
        </w:tc>
        <w:tc>
          <w:tcPr>
            <w:tcW w:w="965" w:type="dxa"/>
            <w:tcBorders/>
            <w:vAlign w:val="center"/>
          </w:tcPr>
          <w:p>
            <w:pPr>
              <w:pStyle w:val="TableContents"/>
              <w:bidi w:val="0"/>
              <w:spacing w:before="0" w:after="283"/>
              <w:jc w:val="center"/>
              <w:rPr/>
            </w:pPr>
            <w:r>
              <w:rPr/>
              <w:t>D-1</w:t>
            </w:r>
          </w:p>
        </w:tc>
      </w:tr>
      <w:tr>
        <w:trPr/>
        <w:tc>
          <w:tcPr>
            <w:tcW w:w="3380" w:type="dxa"/>
            <w:tcBorders/>
            <w:vAlign w:val="center"/>
          </w:tcPr>
          <w:p>
            <w:pPr>
              <w:pStyle w:val="TableContents"/>
              <w:bidi w:val="0"/>
              <w:spacing w:before="0" w:after="283"/>
              <w:jc w:val="left"/>
              <w:rPr/>
            </w:pPr>
            <w:r>
              <w:rPr/>
              <w:t>Taking</w:t>
            </w:r>
          </w:p>
        </w:tc>
        <w:tc>
          <w:tcPr>
            <w:tcW w:w="965" w:type="dxa"/>
            <w:tcBorders/>
            <w:vAlign w:val="center"/>
          </w:tcPr>
          <w:p>
            <w:pPr>
              <w:pStyle w:val="TableContents"/>
              <w:bidi w:val="0"/>
              <w:spacing w:before="0" w:after="283"/>
              <w:jc w:val="center"/>
              <w:rPr/>
            </w:pPr>
            <w:r>
              <w:rPr/>
              <w:t>17</w:t>
            </w:r>
          </w:p>
        </w:tc>
      </w:tr>
      <w:tr>
        <w:trPr/>
        <w:tc>
          <w:tcPr>
            <w:tcW w:w="3380" w:type="dxa"/>
            <w:tcBorders/>
            <w:vAlign w:val="center"/>
          </w:tcPr>
          <w:p>
            <w:pPr>
              <w:pStyle w:val="TableContents"/>
              <w:bidi w:val="0"/>
              <w:spacing w:before="0" w:after="283"/>
              <w:jc w:val="left"/>
              <w:rPr/>
            </w:pPr>
            <w:r>
              <w:rPr/>
              <w:t>Tangible Net Worth</w:t>
            </w:r>
          </w:p>
        </w:tc>
        <w:tc>
          <w:tcPr>
            <w:tcW w:w="965" w:type="dxa"/>
            <w:tcBorders/>
            <w:vAlign w:val="center"/>
          </w:tcPr>
          <w:p>
            <w:pPr>
              <w:pStyle w:val="TableContents"/>
              <w:bidi w:val="0"/>
              <w:spacing w:before="0" w:after="283"/>
              <w:jc w:val="center"/>
              <w:rPr/>
            </w:pPr>
            <w:r>
              <w:rPr/>
              <w:t>13</w:t>
            </w:r>
          </w:p>
        </w:tc>
      </w:tr>
      <w:tr>
        <w:trPr/>
        <w:tc>
          <w:tcPr>
            <w:tcW w:w="3380" w:type="dxa"/>
            <w:tcBorders/>
            <w:vAlign w:val="center"/>
          </w:tcPr>
          <w:p>
            <w:pPr>
              <w:pStyle w:val="TableContents"/>
              <w:bidi w:val="0"/>
              <w:spacing w:before="0" w:after="283"/>
              <w:jc w:val="left"/>
              <w:rPr/>
            </w:pPr>
            <w:r>
              <w:rPr/>
              <w:t>Taxes</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Telecommunications Services</w:t>
            </w:r>
          </w:p>
        </w:tc>
        <w:tc>
          <w:tcPr>
            <w:tcW w:w="965" w:type="dxa"/>
            <w:tcBorders/>
            <w:vAlign w:val="center"/>
          </w:tcPr>
          <w:p>
            <w:pPr>
              <w:pStyle w:val="TableContents"/>
              <w:bidi w:val="0"/>
              <w:spacing w:before="0" w:after="283"/>
              <w:jc w:val="center"/>
              <w:rPr/>
            </w:pPr>
            <w:r>
              <w:rPr/>
              <w:t>27</w:t>
            </w:r>
          </w:p>
        </w:tc>
      </w:tr>
      <w:tr>
        <w:trPr/>
        <w:tc>
          <w:tcPr>
            <w:tcW w:w="3380" w:type="dxa"/>
            <w:tcBorders/>
            <w:vAlign w:val="center"/>
          </w:tcPr>
          <w:p>
            <w:pPr>
              <w:pStyle w:val="TableContents"/>
              <w:bidi w:val="0"/>
              <w:spacing w:before="0" w:after="283"/>
              <w:jc w:val="left"/>
              <w:rPr/>
            </w:pPr>
            <w:r>
              <w:rPr/>
              <w:t>Tenant</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 Party</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Tenant’s Off-Premises Equipment</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Tenant’s Proportionate Share</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Term</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Transfer</w:t>
            </w:r>
          </w:p>
        </w:tc>
        <w:tc>
          <w:tcPr>
            <w:tcW w:w="965" w:type="dxa"/>
            <w:tcBorders/>
            <w:vAlign w:val="center"/>
          </w:tcPr>
          <w:p>
            <w:pPr>
              <w:pStyle w:val="TableContents"/>
              <w:bidi w:val="0"/>
              <w:spacing w:before="0" w:after="283"/>
              <w:jc w:val="center"/>
              <w:rPr/>
            </w:pPr>
            <w:r>
              <w:rPr/>
              <w:t>10</w:t>
            </w:r>
          </w:p>
        </w:tc>
      </w:tr>
      <w:tr>
        <w:trPr/>
        <w:tc>
          <w:tcPr>
            <w:tcW w:w="3380" w:type="dxa"/>
            <w:tcBorders/>
            <w:vAlign w:val="center"/>
          </w:tcPr>
          <w:p>
            <w:pPr>
              <w:pStyle w:val="TableContents"/>
              <w:bidi w:val="0"/>
              <w:spacing w:before="0" w:after="283"/>
              <w:jc w:val="left"/>
              <w:rPr/>
            </w:pPr>
            <w:r>
              <w:rPr/>
              <w:t>UCC</w:t>
            </w:r>
          </w:p>
        </w:tc>
        <w:tc>
          <w:tcPr>
            <w:tcW w:w="965"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vi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Agreement (this “</w:t>
      </w:r>
      <w:r>
        <w:rPr>
          <w:rFonts w:ascii="Times New Roman;Times;Serif" w:hAnsi="Times New Roman;Times;Serif"/>
          <w:b/>
          <w:i w:val="false"/>
          <w:caps w:val="false"/>
          <w:smallCaps w:val="false"/>
          <w:sz w:val="20"/>
          <w:u w:val="single"/>
        </w:rPr>
        <w:t>Lease</w:t>
      </w:r>
      <w:r>
        <w:rPr>
          <w:rFonts w:ascii="Times New Roman;Times;Serif" w:hAnsi="Times New Roman;Times;Serif"/>
          <w:b w:val="false"/>
          <w:i w:val="false"/>
          <w:caps w:val="false"/>
          <w:smallCaps w:val="false"/>
          <w:sz w:val="20"/>
        </w:rPr>
        <w:t>”) is entered into as of May _</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_, 2026, between Hightower Phase I Owner, LLC, a Delaware limited liability company (“</w:t>
      </w:r>
      <w:r>
        <w:rPr>
          <w:rFonts w:ascii="Times New Roman;Times;Serif" w:hAnsi="Times New Roman;Times;Serif"/>
          <w:b/>
          <w:i w:val="false"/>
          <w:caps w:val="false"/>
          <w:smallCaps w:val="false"/>
          <w:sz w:val="20"/>
          <w:u w:val="single"/>
        </w:rPr>
        <w:t>Landlord</w:t>
      </w:r>
      <w:r>
        <w:rPr>
          <w:rFonts w:ascii="Times New Roman;Times;Serif" w:hAnsi="Times New Roman;Times;Serif"/>
          <w:b w:val="false"/>
          <w:i w:val="false"/>
          <w:caps w:val="false"/>
          <w:smallCaps w:val="false"/>
          <w:sz w:val="20"/>
        </w:rPr>
        <w:t>”), and Applied Optoelectronics, Inc., a Delaware corporation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 and Basic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definitions and basic provisions set forth in the Basic Lease Information (the “</w:t>
      </w:r>
      <w:r>
        <w:rPr>
          <w:rFonts w:ascii="Times New Roman;Times;Serif" w:hAnsi="Times New Roman;Times;Serif"/>
          <w:b/>
          <w:i w:val="false"/>
          <w:caps w:val="false"/>
          <w:smallCaps w:val="false"/>
          <w:sz w:val="20"/>
          <w:u w:val="single"/>
        </w:rPr>
        <w:t>Basic Lease Information</w:t>
      </w:r>
      <w:r>
        <w:rPr>
          <w:rFonts w:ascii="Times New Roman;Times;Serif" w:hAnsi="Times New Roman;Times;Serif"/>
          <w:b w:val="false"/>
          <w:i w:val="false"/>
          <w:caps w:val="false"/>
          <w:smallCaps w:val="false"/>
          <w:sz w:val="20"/>
        </w:rPr>
        <w:t>”) set forth above are incorporated herein by reference for all purposes. Additionally, the following terms shall have the following meanings when used in this Lease: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or entity which, directly or indirectly controls, is controlled by, or is under common control with the party in question; “</w:t>
      </w:r>
      <w:r>
        <w:rPr>
          <w:rFonts w:ascii="Times New Roman;Times;Serif" w:hAnsi="Times New Roman;Times;Serif"/>
          <w:b/>
          <w:i w:val="false"/>
          <w:caps w:val="false"/>
          <w:smallCaps w:val="false"/>
          <w:sz w:val="20"/>
          <w:u w:val="single"/>
        </w:rPr>
        <w:t>Building’s Structure</w:t>
      </w:r>
      <w:r>
        <w:rPr>
          <w:rFonts w:ascii="Times New Roman;Times;Serif" w:hAnsi="Times New Roman;Times;Serif"/>
          <w:b w:val="false"/>
          <w:i w:val="false"/>
          <w:caps w:val="false"/>
          <w:smallCaps w:val="false"/>
          <w:sz w:val="20"/>
        </w:rPr>
        <w:t>” means the Building’s exterior walls, roof, elevator shafts, footings, foundations, structural portions of load-bearing walls, structural floors and subfloors, and structural columns and beams; “</w:t>
      </w:r>
      <w:r>
        <w:rPr>
          <w:rFonts w:ascii="Times New Roman;Times;Serif" w:hAnsi="Times New Roman;Times;Serif"/>
          <w:b/>
          <w:i w:val="false"/>
          <w:caps w:val="false"/>
          <w:smallCaps w:val="false"/>
          <w:sz w:val="20"/>
          <w:u w:val="single"/>
        </w:rPr>
        <w:t>Building’s Systems</w:t>
      </w:r>
      <w:r>
        <w:rPr>
          <w:rFonts w:ascii="Times New Roman;Times;Serif" w:hAnsi="Times New Roman;Times;Serif"/>
          <w:b w:val="false"/>
          <w:i w:val="false"/>
          <w:caps w:val="false"/>
          <w:smallCaps w:val="false"/>
          <w:sz w:val="20"/>
        </w:rPr>
        <w:t>” means the Building’s HVAC, life-safety, plumbing, electrical, and mechanical systems;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w:t>
      </w:r>
      <w:r>
        <w:rPr>
          <w:rFonts w:ascii="Times New Roman;Times;Serif" w:hAnsi="Times New Roman;Times;Serif"/>
          <w:b/>
          <w:i w:val="false"/>
          <w:caps w:val="false"/>
          <w:smallCaps w:val="false"/>
          <w:sz w:val="20"/>
          <w:u w:val="single"/>
        </w:rPr>
        <w:t>Laws</w:t>
      </w:r>
      <w:r>
        <w:rPr>
          <w:rFonts w:ascii="Times New Roman;Times;Serif" w:hAnsi="Times New Roman;Times;Serif"/>
          <w:b w:val="false"/>
          <w:i w:val="false"/>
          <w:caps w:val="false"/>
          <w:smallCaps w:val="false"/>
          <w:sz w:val="20"/>
        </w:rPr>
        <w:t>” means all federal, state, and local laws, ordinances, rules and regulations, all court orders, governmental directives, and governmental orders, and all interpretations of the foregoing, and all restrictive covenants affecting this Lease or the Project, and “</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of the foregoing; “</w:t>
      </w:r>
      <w:r>
        <w:rPr>
          <w:rFonts w:ascii="Times New Roman;Times;Serif" w:hAnsi="Times New Roman;Times;Serif"/>
          <w:b/>
          <w:i w:val="false"/>
          <w:caps w:val="false"/>
          <w:smallCaps w:val="false"/>
          <w:sz w:val="20"/>
          <w:u w:val="single"/>
        </w:rPr>
        <w:t>Tenant’s Off-Premises Equipment</w:t>
      </w:r>
      <w:r>
        <w:rPr>
          <w:rFonts w:ascii="Times New Roman;Times;Serif" w:hAnsi="Times New Roman;Times;Serif"/>
          <w:b w:val="false"/>
          <w:i w:val="false"/>
          <w:caps w:val="false"/>
          <w:smallCaps w:val="false"/>
          <w:sz w:val="20"/>
        </w:rPr>
        <w:t>” means any of Tenant’s equipment or other property that may be located on or about the Project (other than inside the Premises); and “</w:t>
      </w:r>
      <w:r>
        <w:rPr>
          <w:rFonts w:ascii="Times New Roman;Times;Serif" w:hAnsi="Times New Roman;Times;Serif"/>
          <w:b/>
          <w:i w:val="false"/>
          <w:caps w:val="false"/>
          <w:smallCaps w:val="false"/>
          <w:sz w:val="20"/>
          <w:u w:val="single"/>
        </w:rPr>
        <w:t>Tenant Party</w:t>
      </w:r>
      <w:r>
        <w:rPr>
          <w:rFonts w:ascii="Times New Roman;Times;Serif" w:hAnsi="Times New Roman;Times;Serif"/>
          <w:b w:val="false"/>
          <w:i w:val="false"/>
          <w:caps w:val="false"/>
          <w:smallCaps w:val="false"/>
          <w:sz w:val="20"/>
        </w:rPr>
        <w:t>” means any of the following persons: Tenant; any assignees claiming by, through, or under Tenant; any subtenants claiming by, through, or under Tenant; and any of their respective agents, contractors, employees, licensees, guests and invitees.</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4605"/>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 Grant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Subject to the terms of this Lease, Landlord leases to Tenant, and Tenant leases from Landlord, the Premises. Additionally, subject to the terms of this Lease and Landlord’s rules and regulations therefor, Tenant and its employees and invitees shall have a non-exclusive license to use any applicable driveways, loading dock areas, roadways, rail tracks and other similar improvements designated by Landlord from time to time as common areas for the common use and enjoyment of all tenants and occupants of the Complex. In addition, notwithstanding anything in this Lease to the contrary, Tenant shall have the exclusive right to use, on a “24 hour a day”, “365 days a year” basis and without any additional charge, the following: (a) the loading facilities and areas exclusively serving the Premises, (b) the trash removal area labeled and shown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the “Tenant Trash Removal Area”, and (c) the parking areas (including trailer parking stalls) within the Project labeled and shown on Exhibit “A” attached hereto as the “Tenant Exclusive Parking Area” (so called herein).</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4605"/>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Tender of Possession</w:t>
      </w:r>
      <w:r>
        <w:rPr>
          <w:rFonts w:ascii="Times New Roman;Times;Serif" w:hAnsi="Times New Roman;Times;Serif"/>
          <w:b/>
          <w:i w:val="false"/>
          <w:caps w:val="false"/>
          <w:smallCaps w:val="false"/>
          <w:sz w:val="20"/>
        </w:rPr>
        <w:t xml:space="preserve">.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4605"/>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Landlord and Tenant anticipate the Work to be Substantially Complete on or about November 1, 2026 (the “</w:t>
      </w:r>
      <w:r>
        <w:rPr>
          <w:rFonts w:ascii="Times New Roman;Times;Serif" w:hAnsi="Times New Roman;Times;Serif"/>
          <w:b/>
          <w:i w:val="false"/>
          <w:caps w:val="false"/>
          <w:smallCaps w:val="false"/>
          <w:sz w:val="20"/>
          <w:u w:val="single"/>
        </w:rPr>
        <w:t>Estimated Delivery Date</w:t>
      </w:r>
      <w:r>
        <w:rPr>
          <w:rFonts w:ascii="Times New Roman;Times;Serif" w:hAnsi="Times New Roman;Times;Serif"/>
          <w:b w:val="false"/>
          <w:i w:val="false"/>
          <w:caps w:val="false"/>
          <w:smallCaps w:val="false"/>
          <w:sz w:val="20"/>
        </w:rPr>
        <w:t xml:space="preserve">”). If the Work is not Substantially Complete by the Estimated Delivery Date, then (1) the validity of this Lease shall not be affected or impaired thereby, (2) Landlord shall not be in default hereunder or be liable for damages therefor, and (3) Tenant shall accept possession of the Premises when the Work is Substantially Complete. </w:t>
      </w:r>
      <w:r>
        <w:rPr>
          <w:rFonts w:ascii="Times New Roman;Times;Serif" w:hAnsi="Times New Roman;Times;Serif"/>
          <w:b w:val="false"/>
          <w:i w:val="false"/>
          <w:caps w:val="false"/>
          <w:smallCaps w:val="false"/>
          <w:sz w:val="20"/>
          <w:u w:val="single"/>
        </w:rPr>
        <w:t xml:space="preserve">Notwithstanding the foregoing, </w:t>
      </w:r>
      <w:r>
        <w:rPr>
          <w:rFonts w:ascii="Times New Roman;Times;Serif" w:hAnsi="Times New Roman;Times;Serif"/>
          <w:b w:val="false"/>
          <w:i w:val="false"/>
          <w:caps w:val="false"/>
          <w:smallCaps w:val="false"/>
          <w:sz w:val="20"/>
        </w:rPr>
        <w:t>if the Work is not Substantially Complete by January 1, 2027, as extended one day for each Tenant Delay Day or day of Force Majeure (the “</w:t>
      </w:r>
      <w:r>
        <w:rPr>
          <w:rFonts w:ascii="Times New Roman;Times;Serif" w:hAnsi="Times New Roman;Times;Serif"/>
          <w:b/>
          <w:i w:val="false"/>
          <w:caps w:val="false"/>
          <w:smallCaps w:val="false"/>
          <w:sz w:val="20"/>
          <w:u w:val="single"/>
        </w:rPr>
        <w:t>Outside Delivery Date</w:t>
      </w:r>
      <w:r>
        <w:rPr>
          <w:rFonts w:ascii="Times New Roman;Times;Serif" w:hAnsi="Times New Roman;Times;Serif"/>
          <w:b w:val="false"/>
          <w:i w:val="false"/>
          <w:caps w:val="false"/>
          <w:smallCaps w:val="false"/>
          <w:sz w:val="20"/>
        </w:rPr>
        <w:t>”), Basic Rent will be abated, commencing with Lease Month 4, one (1) day for each day after the Outside Delivery Date that occurs before the date the Work is Substantially Complete (the “</w:t>
      </w:r>
      <w:r>
        <w:rPr>
          <w:rFonts w:ascii="Times New Roman;Times;Serif" w:hAnsi="Times New Roman;Times;Serif"/>
          <w:b/>
          <w:i w:val="false"/>
          <w:caps w:val="false"/>
          <w:smallCaps w:val="false"/>
          <w:sz w:val="20"/>
          <w:u w:val="single"/>
        </w:rPr>
        <w:t>Actual Delivery Date</w:t>
      </w:r>
      <w:r>
        <w:rPr>
          <w:rFonts w:ascii="Times New Roman;Times;Serif" w:hAnsi="Times New Roman;Times;Serif"/>
          <w:b w:val="false"/>
          <w:i w:val="false"/>
          <w:caps w:val="false"/>
          <w:smallCaps w:val="false"/>
          <w:sz w:val="20"/>
        </w:rPr>
        <w:t xml:space="preserve">”), and if the Actual Delivery Date has not occurred by July 1, 2027, then Tenant may terminate this Lease upon thirty (30) days’ advance written notice to Landlord but prior to the date on which Landlord Substantially Completes the Work; provided, however, that if the Actual Delivery Date occurs during such 30-day period, such termination shall be deemed rescinded and this Lease will continue in full force and effect. In the event of such termination, Landlord shall return to Tenant the Security Deposit and the Prepaid Rent within ten (10) days after the date of such termination, which obligation shall survive termination of this Lease. By occupying the Premises, Tenant shall be deemed to have accepted the Premises in their condition as of the date of such occupancy, subject to the performance of punch-list items that remain to be performed by Landlord, if any, and Landlord’s repair of latent defects of which Tenant provides Landlord written notice within one (1) year after the Actual Delivery Date. Prior to occupying the Premises, Tenant shall execute and deliver to Landlord a letter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and Landlord’s repair of latent defects of which Tenant provides Landlord written notice within one (1) year after the Actual Delivery Date);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and Additional 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Remeasurement</w:t>
      </w:r>
      <w:r>
        <w:rPr>
          <w:rFonts w:ascii="Times New Roman;Times;Serif" w:hAnsi="Times New Roman;Times;Serif"/>
          <w:b w:val="false"/>
          <w:i w:val="false"/>
          <w:caps w:val="false"/>
          <w:smallCaps w:val="false"/>
          <w:sz w:val="20"/>
        </w:rPr>
        <w:t>. Within thirty (30) days after Substantial Completion of the Work, Landlord shall cause (at Landlord’s sole cost) its architect to measure the area of the Building in accordance with BOMA International and the Society of Industrial and Office Realtors Industrial Buildings: Standard Methods of Measurement (ANSI Z65.2-2025), using Exterior Wall Methodology (Method A), and provide a written certification of such measurement to Landlord and Tenant. The area stipulated therein (absent manifest error of which a party notifies the other in writing within ten (10) days following receipt of the initial written certification) shall be fully applicable and binding on the parties until after such time, if ever, as any such measurement is effected, following which event the new measurements, if they differ from those herein set forth, shall be applicable to future obligations only. Upon such measurement(s), the square footage of the Premises and all other provisions in this Lease which are based on the square footage of the Premises and/or Building shall be adjusted accordingly. Landlord shall provide Tenant ten (10) days advance notice of the date of such measurement and Tenant shall be permitted to have one or more representatives present during such measurement.</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4605"/>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Rent</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Tenant shall timely pay to Landlord Rent, without notice, demand, deduction or set 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Rent to Landlord and the obligations of Landlord under this Lease are independent obligations. Rent shall be payable monthly in advance. The first monthly installment of Basic Rent shall be payable contemporaneously with the execution of this Lease (the “</w:t>
      </w:r>
      <w:r>
        <w:rPr>
          <w:rFonts w:ascii="Times New Roman;Times;Serif" w:hAnsi="Times New Roman;Times;Serif"/>
          <w:b/>
          <w:i w:val="false"/>
          <w:caps w:val="false"/>
          <w:smallCaps w:val="false"/>
          <w:sz w:val="20"/>
          <w:u w:val="single"/>
        </w:rPr>
        <w:t>Prepaid Rent</w:t>
      </w:r>
      <w:r>
        <w:rPr>
          <w:rFonts w:ascii="Times New Roman;Times;Serif" w:hAnsi="Times New Roman;Times;Serif"/>
          <w:b w:val="false"/>
          <w:i w:val="false"/>
          <w:caps w:val="false"/>
          <w:smallCaps w:val="false"/>
          <w:sz w:val="20"/>
        </w:rPr>
        <w:t>”); thereafter, Basic Rent shall be payable on the first day of each month beginning on the first day of the fourth Lease Month. The monthly Rent for any partial month at the beginning of the Term shall equal the product of 1/365 of the annual Basic Rent (and Additional Rent) in effect during the partial month and the number of days in the partial month, and shall be due on the Commencement Date. Payments of Rent for any fractional calendar month at the end of the Term shall be similarly prorated.</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Costs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pay to Landlord Tenant’s Proportionate Share of the annual Operating Costs (defined below). Prior to each calendar year of the Term, Landlord shall make a good faith estimate of Tenant’s Proportionate Share of Operating Costs for the following calendar year or part thereof during the Term. During each calendar year or partial calendar year of the Term, Tenant shall pay to Landlord, in advance concurrently with each monthly installment of Basic Rent, an amount equal to the estimated Tenant’s Proportionate Share of Operating Costs for such calendar year or part thereof divided by the number of months therein. From time to time, but not more than once a calendar year, Landlord may re-estimate the amount of Tenant’s Proportionate Share of Operating Costs to be due by Tenant and deliver a copy of the re-estimate to Tenant. Thereafter, the monthly installments of Tenant’s Proportionate Share of Operating Costs shall be adjusted in accordance with the estimations so that, by the end of the calendar year in question, Tenant shall have paid all of Tenant’s Proportionate Share of Operating Costs as estimated by Landlord. Any amounts paid based on such an estimate shall be subject to adjustment as herein provided when actual Operating Costs are available for each calendar year.</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u w:val="single"/>
        </w:rPr>
        <w:t>Operating Costs</w:t>
      </w:r>
      <w:r>
        <w:rPr>
          <w:rFonts w:ascii="Times New Roman;Times;Serif" w:hAnsi="Times New Roman;Times;Serif"/>
          <w:b w:val="false"/>
          <w:i w:val="false"/>
          <w:caps w:val="false"/>
          <w:smallCaps w:val="false"/>
          <w:sz w:val="20"/>
        </w:rPr>
        <w:t>” means all expenses and disbursements (subject to the limitations set forth below) that Landlord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relating thereto; (B) all supplies and materials used in the operation, maintenance, repair, replacement, and security of the Project; (C) cost of all utilities (including fuel, gas, electricity, water, sewer, and other services) for the common areas and other non-tenant areas of the Project (e.g., mechanical, electrical and telecommunications rooms) as reasonably determined by Landlord; (D) repairs, replacements, and general maintenance of the Project including paving and parking areas, roads, roof repairs (Landlord is responsible for replacement of the roof as provided in Section 7), alleys and driveways, trash collection, sweeping and removal of trash for the common areas, mowing and snow removal, landscaping and exterior painting, the cost of maintaining utility lines, fire sprinklers and fire protection systems, exterior lighting, and mechanical and plumbing systems serving the Project and, to the extent the following items serve more than one tenant in the Project, dock doors, drains and sump pumps; (E) fair market rental and other costs with respect to the management office for the Project; (F) service, maintenance and management contracts with independent contractors for the operation, maintenance, management, repair, replacement, and security of the Project (including alarm service, window cleaning, and elevator maintenance); (G) reasonable costs of professional services rendered for the general benefit of the Project; (H) environmental insurance or environmental management fees; (I) the cost of any insurance deductibles for insurance required to be maintained by Landlord; and (J)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new interpretations of any Law hereafter rendered with respect to any existing Law, as amortized using a commercially reasonable interest rate over the useful economic life of such improvements as determined by Landlord in its reasonable discretion. The parties acknowledge the Project is part of an industrial park complex (the “</w:t>
      </w:r>
      <w:r>
        <w:rPr>
          <w:rFonts w:ascii="Times New Roman;Times;Serif" w:hAnsi="Times New Roman;Times;Serif"/>
          <w:b/>
          <w:i w:val="false"/>
          <w:caps w:val="false"/>
          <w:smallCaps w:val="false"/>
          <w:sz w:val="20"/>
          <w:u w:val="single"/>
        </w:rPr>
        <w:t>Complex</w:t>
      </w:r>
      <w:r>
        <w:rPr>
          <w:rFonts w:ascii="Times New Roman;Times;Serif" w:hAnsi="Times New Roman;Times;Serif"/>
          <w:b w:val="false"/>
          <w:i w:val="false"/>
          <w:caps w:val="false"/>
          <w:smallCaps w:val="false"/>
          <w:sz w:val="20"/>
        </w:rPr>
        <w:t>”), Operating Costs, Taxes (defined below) and Insurance Costs (defined below) for the Complex may be prorated among the Project and the other buildings of the Complex, as reasonably determined by Landlord.</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shall not include costs for (i) capital improvements made to the Project or the Complex, other than capital improvements described in Section 4(b)(2)(J) and except for items which are generally considered maintenance and repair items, such as painting of common areas, replacement of carpet in elevator lobbies (if any), and the like; (ii) repair, replacements and general maintenance paid by proceeds of insurance or by Tenant or other third parties; (iii) interest, amortization or other payments on loans to Landlord; (iv) depreciation; (v) leasing commissions; (vi) legal expenses for services, other than those that benefit the Project tenants generally (e.g., tax disputes); (vii) Taxes; (viii) Insurance Costs; (ix) renovating or otherwise improving space for occupants of the Project or the Complex or vacant space in the Project or the Complex; (x) [intentionally omitted]; (xi) overhead and profit increment paid to Landlord or to subsidiaries or affiliates of Landlord for goods and/or services in or to the Complex to the extent the same exceeds the costs of such goods and/or services rendered by unaffiliated third parties on a competitive basis; (xii) costs of any impact or tap fees or any sewer or water connection fees for the benefit of any particular tenant in the Complex; (xiii) any costs incurred in the removal, containment encapsulation or disposal of or repair or cleaning or monitoring of areas affected by any Hazardous Materials unless same arise due to the acts or omissions of Tenant; (xiv) any costs incurred in connection with the original design, construction, and landscaping of the Complex; (xv) Landlord’s general corporate overhead and general administrative expenses; (xvi) wages, salaries, benefits, or other costs of employees above the grade of “building manager” or similar title; (xvii) any administrative or management fee(s) in excess of three percent (3%) of the gross revenue of the Complex; (xviii) reserves of any kind; or (xix) any costs necessitated by or resulting from the gross negligence or willful misconduct of Landlord, or its agents, contractors, or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also pay Tenant’s Proportionate Share of the Taxes for each year and partial year falling within the Term. Tenant shall pay Tenant’s Proportionate Share of Taxes in the same manner as provided above for Tenant’s Proportionate Share of Operating Costs.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(including the franchise tax set forth in V.T.C.A. Tax Code section 171.0001 et seq., as the same may be amended or recorded from time to time), excluding, however, penalties and interest thereon and federal and state taxes on income (if the present method of taxation changes so that in lieu of or in addition to the whole or any part of any Taxes, there is levied on Landlord a capital tax, sales tax, or use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costs of consultants retained in an effort to lower taxes and all costs incurred in disputing any taxes or in seeking to lower the tax valuation of the Project. Notwithstanding the foregoing, (i) Taxes will exclude income, margin, franchise inheritance, transfer, gift and “roll-back” or similar taxes, penalties or interest other than those attributable to Tenant’s failure to comply timely with its obligations under this Lease, (ii) in the event that any Taxes may be paid in installments, Tenant shall have the option to pay such Taxes in installments; and in such event, Tenant shall be liable only for those installments that are allocable to periods during the Term and become due and payable during the Term, and (iii) the Fort Bend County Municipal Utility District No. 168 (the “</w:t>
      </w:r>
      <w:r>
        <w:rPr>
          <w:rFonts w:ascii="Times New Roman;Times;Serif" w:hAnsi="Times New Roman;Times;Serif"/>
          <w:b/>
          <w:i w:val="false"/>
          <w:caps w:val="false"/>
          <w:smallCaps w:val="false"/>
          <w:sz w:val="20"/>
          <w:u w:val="single"/>
        </w:rPr>
        <w:t>MUD</w:t>
      </w:r>
      <w:r>
        <w:rPr>
          <w:rFonts w:ascii="Times New Roman;Times;Serif" w:hAnsi="Times New Roman;Times;Serif"/>
          <w:b w:val="false"/>
          <w:i w:val="false"/>
          <w:caps w:val="false"/>
          <w:smallCaps w:val="false"/>
          <w:sz w:val="20"/>
        </w:rPr>
        <w:t>”) tax rate for the Real Property shall not exceed $1.00 per $100.00 of taxable value.</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property tax purposes, Tenant waives all rights to protest or appeal the appraised value of the Premises, as well as the Project, and all rights to receive notices of reappraisement, as set forth in Sections 41.413 and 42.015 of the Texas Tax Code. Landlord agrees to consult with a real estate tax consultant or advisor engaged by it from time to time and in the exercise of reasonable and prudent ownership judgment contest any unreasonable tax assessment to the extent such tax counsel advises Landlord that a reasonable basis exists therefor. Upon at least 10 days’ written request from Tenant, Landlord will confirm to Tenant by April 30 of any calendar year during the Term, whether it will protest or appeal the appraised value of the Project. If Landlord fails to respond to such inquiry by April 30 of any calendar year or responds to Tenant that it will not protest or appeal the appraised value of the Project, then notwithstanding the terms of this Section 2(b)(4), Tenant may protest or appeal the appraised value of the Project.</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April 1 of each calendar year, or as soon thereafter as practicable, Landlord shall furnish to Tenant a statement of Operating Costs and Taxes for the previous year (the “</w:t>
      </w:r>
      <w:r>
        <w:rPr>
          <w:rFonts w:ascii="Times New Roman;Times;Serif" w:hAnsi="Times New Roman;Times;Serif"/>
          <w:b/>
          <w:i w:val="false"/>
          <w:caps w:val="false"/>
          <w:smallCaps w:val="false"/>
          <w:sz w:val="20"/>
          <w:u w:val="single"/>
        </w:rPr>
        <w:t>Operating Costs and Tax Statement</w:t>
      </w:r>
      <w:r>
        <w:rPr>
          <w:rFonts w:ascii="Times New Roman;Times;Serif" w:hAnsi="Times New Roman;Times;Serif"/>
          <w:b w:val="false"/>
          <w:i w:val="false"/>
          <w:caps w:val="false"/>
          <w:smallCaps w:val="false"/>
          <w:sz w:val="20"/>
        </w:rPr>
        <w:t>”). If Tenant’s estimated payments of Operating Costs or Taxes under this Section 4(b) for the year covered by the Operating Costs and Tax Statement exceed Tenant’s Proportionate Share of such items as indicated in the Operating Costs and Tax Statement, then Landlord shall promptly credit or reimburse Tenant for such excess; likewise, if Tenant’s estimated payments of Operating Costs or Taxes under this Section 4(b) for such year are less than Tenant’s Proportionate Share of such items as indicated in the Operating Costs and Tax Statement, then Tenant shall promptly pay Landlord such deficiency.</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commencing with the first full calendar year after the first anniversary of the Commencement Date, the amount of Controllable Expenses (defined below) for purposes of calculating Tenant’s Proportionate Share of Operating Costs under Section 4(b) shall not increase by more than seven percent (7%) over Tenant’s Proportionate Share of Controllable Expenses in the previous calendar year, cumulative and compounded. The term “Controllable Expenses” means all Operating Costs but excludes all expenses relating to the cost of utilities, security expenses, insurance, real estate taxes and assessments, and other expenses that are deemed by industry standards to be uncontrollable to the extent same constitute Operating Costs.</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Audit Rights.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Event of Default is then outstanding, Tenant shall have the right to inspect, at reasonable times and in a reasonable manner, during the sixty (60) day period following the delivery of the Operating Costs and Tax Statement (the “</w:t>
      </w:r>
      <w:r>
        <w:rPr>
          <w:rFonts w:ascii="Times New Roman;Times;Serif" w:hAnsi="Times New Roman;Times;Serif"/>
          <w:b/>
          <w:i w:val="false"/>
          <w:caps w:val="false"/>
          <w:smallCaps w:val="false"/>
          <w:sz w:val="20"/>
          <w:u w:val="single"/>
        </w:rPr>
        <w:t>Inspection Period</w:t>
      </w:r>
      <w:r>
        <w:rPr>
          <w:rFonts w:ascii="Times New Roman;Times;Serif" w:hAnsi="Times New Roman;Times;Serif"/>
          <w:b w:val="false"/>
          <w:i w:val="false"/>
          <w:caps w:val="false"/>
          <w:smallCaps w:val="false"/>
          <w:sz w:val="20"/>
        </w:rPr>
        <w:t>”), such of Landlord’s books of account and records as pertain to and contain information concerning the Operating Costs and Taxes for the prior calendar year in order to verify the amounts thereof. Such inspection shall take place at Landlord’s office upon at least fifteen (15) days prior written notice from Tenant to Landlord. Tenant shall also agree to follow Landlord’s reasonable procedures for auditing such books and records. Landlord and Tenant shall act reasonably in assessing the other party’s calculation of the Operating Costs and Taxes. Tenant shall provide Landlord with a copy of its findings within thirty (30) days after completion of the audit. Tenant’s failure to exercise its rights hereunder within the Inspection Period shall be deemed a waiver of its right to inspect or contest the method, accuracy or amount of such Operating Costs and Taxes.</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Landlord’s calculation of the Operating Costs and Taxes or Tenant’s Proportionate Share thereof for the inspected calendar year was incorrect, the parties shall enter into a written agreement confirming such undisputed error and then Landlord shall make a correcting payment in full to Tenant within thirty (30) days after the determination of the amount of such error or credit such amount against future Additional Rent if Tenant overpaid such amount, and Tenant shall pay Landlord within thirty (30) days after the determination of such error if Tenant underpaid such amount. In the event of any errors on the part of Landlord that cost Tenant in excess of $5,000, Landlord will also reimburse Tenant for the costs of an audit reasonably incurred by Tenant (not to exceed $5,000) within the above thirty (30) day period. If Tenant provides Landlord with written notice disputing the correctness of Landlord’s statement, and if such dispute shall have not been settled by agreement within thirty (30) days after Tenant provides Landlord with such written notice, Tenant may submit the dispute to a reputable firm of independent certified public accountants selected by Tenant and reasonably approved by Landlord, and the decision of such accountants shall be conclusive and binding upon the parties. If such accountant decides that there was an error, Landlord will make correcting payment if Tenant overpaid such amount, and Tenant shall pay Landlord if Tenant underpaid such amount. The fees and expenses involved in such decision shall be borne by the party required to pay for the audit.</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maintain the results of each such audit or inspection confidential and shall not be permitted to use any third party to perform such audit or inspection, other than an independent firm of certified public accountants (1) reasonably acceptable to Landlord, (2) which is not compensated on a contingency fee basis or in any other manner which is dependent upon the results of such audit or inspection (and Tenant shall deliver the fee agreement or other similar evidence of such fee arrangement to Landlord upon request), and (3) which agrees with Landlord in writing to maintain the results of such audit or inspection confidential. Nothing in this Section 4(c) shall be construed to limit, suspend or abate Tenant’s obligation to pay Rent when due, including Additional Rent.</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Delinquent Payment; Handling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payments required of Tenant hereunder not received within three (3) business days of the date due shall bear interest from the date due until paid at the lesser of eighteen percent per annum or the maximum lawful rate of interest (such lesser amount is referred to herein as the “</w:t>
      </w:r>
      <w:r>
        <w:rPr>
          <w:rFonts w:ascii="Times New Roman;Times;Serif" w:hAnsi="Times New Roman;Times;Serif"/>
          <w:b/>
          <w:i w:val="false"/>
          <w:caps w:val="false"/>
          <w:smallCaps w:val="false"/>
          <w:sz w:val="20"/>
          <w:u w:val="single"/>
        </w:rPr>
        <w:t>Default Rate</w:t>
      </w:r>
      <w:r>
        <w:rPr>
          <w:rFonts w:ascii="Times New Roman;Times;Serif" w:hAnsi="Times New Roman;Times;Serif"/>
          <w:b w:val="false"/>
          <w:i w:val="false"/>
          <w:caps w:val="false"/>
          <w:smallCaps w:val="false"/>
          <w:sz w:val="20"/>
        </w:rPr>
        <w:t>”); additionally, Landlord, in addition to all other rights and remedies available to it, may charge Tenant a fee equal to the greater of (a) $50.00 or (b) five percent of the delinquent payment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rate of interest. Notwithstanding the foregoing, the interest and late fee referenced above shall not be charged with respect to the first occurrence (but not any subsequent occurrence) during any 12-month period that Tenant fails to make payment within three (3) business days of the date due, until five days after Landlord delivers written notice of such delinquency to Tenant.</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Deposit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Contemporaneously with the execution of this Lease, Tenant shall pay to Landlord the Security Deposit, which shall be held 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Landlord and Tenant agree that such deductions shall include, without limitation, all damages and losses that Landlord has suffered or that Landlord reasonably estimates that it will suffer as a result of any breach of this Lease by Tenant. The Security Deposit may be commingled with other funds, and no interest shall be paid thereon. If Landlord transfers its interest in the Premises, Landlord will assign the Security Deposit to the transferee and, upon such transfer and the delivery to Tenant of an acknowledgement of the transferee’s responsibility for the Security Deposit as provided by Law, Landlord thereafter shall have no further liability for the return of the Security Deposit. Notwithstanding anything to the contrary set forth herein, (i) if no Event of Default occurs during the first fifteen (15) Lease Months (i.e., the first twelve Lease Months during which Tenant is obligated to pay Basic Rent), then upon written request of Tenant, Landlord will reduce the Security Deposit by $233,173.42 and (ii) if no Event of Default occurs during Lease Months sixteen through twenty-seven, then upon written request of Tenant, Landlord will further reduce the Security Deposit by an additional $233,173.42, leaving a Security Deposit balance of $353,840.66. Each reduction in the Security Deposit will be applied by Landlord to Tenant’s next accruing installments of Basic Rent hereunder.</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Maintenance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Lease is intended to be a net lease; accordingly, Landlord’s maintenance obligations are limited to the replacement of the Building’s Structure; Landlord shall not be responsible for any such work until Tenant notifies Landlord of the need therefor in writing. The Building’s Structure does not include skylights, windows, glass or plate glass, doors or overhead doors, special fronts, or office entries, dock bumpers, dock plates or levelers, loading areas and docks, and loading dock equipment, all of which shall be maintained by Tenant. Landlord’s liability for any defects, repairs, replacement or maintenance for which Landlord is specifically responsible for under this Lease shall be limited to the cost of performing the work. Additionally, Landlord shall maintain the parking areas, and other common areas of the Building, including driveways, alleys, landscape and grounds surrounding the Premises and utility lines in a good condition, consistent with the operation of a bulk warehouse/industrial or service center facility, including maintenance, repair, and replacement of any rail tracks serving the Premises, the exterior of the Building (including painting), landscaping sprinkler systems, and any items normally associated with the foregoing. All costs in performing the work described in the foregoing sentence shall be included in Operating Costs. Tenant shall promptly notify Landlord in writing of any work required to be performed under this Section 7, and Landlord shall not be responsible for performing such work until Tenant delivers to Landlord such notice. Notwithstanding anything to the contrary contained herein, Landlord shall, in its commercially reasonable discretion, determine the appropriate remedial action required of it to satisfy its maintenance obligations hereunder (e.g., Landlord shall, in its commercially reasonable discretion, determine whether, and to the extent, repairs or replacements are the appropriate remedial action).</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Improvements; Alterations; Tenant’s Maintenance and Repair Obligations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Improvements; Alterations</w:t>
      </w:r>
      <w:r>
        <w:rPr>
          <w:rFonts w:ascii="Times New Roman;Times;Serif" w:hAnsi="Times New Roman;Times;Serif"/>
          <w:b w:val="false"/>
          <w:i w:val="false"/>
          <w:caps w:val="false"/>
          <w:smallCaps w:val="false"/>
          <w:sz w:val="20"/>
        </w:rPr>
        <w:t xml:space="preserve">. Except for the Work to be performed pursuant to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all alterations and improvements to the Premises shall be installed at Tenant’s expense only in accordance with plans and specifications which have been previously approved in writing by Landlord, which approval shall be governed by the provisions set forth in this Section 8(a). No alterations or additions in or to the Premises may be made without Landlord’s prior written consent, which shall not be unreasonably withheld or delayed; however, Landlord may withhold its consent to any alteration or addition that would adversely affect (in the reasonable discretion of Landlord) (1) the Building’s Structure or the Building’s Systems (including the Building’s restrooms or mechanical rooms), (2) the exterior appearance of the Building, (3) the appearance of the Building’s common areas, or (4) the provision of services to other Building occupants.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Notwithstanding the foregoing, Tenant may, without Landlord’s consent, make non-structural alterations to the interior of the Premises (collectively, “</w:t>
      </w:r>
      <w:r>
        <w:rPr>
          <w:rFonts w:ascii="Times New Roman;Times;Serif" w:hAnsi="Times New Roman;Times;Serif"/>
          <w:b/>
          <w:i w:val="false"/>
          <w:caps w:val="false"/>
          <w:smallCaps w:val="false"/>
          <w:sz w:val="20"/>
          <w:u w:val="single"/>
        </w:rPr>
        <w:t>Non-Structural Alterations</w:t>
      </w:r>
      <w:r>
        <w:rPr>
          <w:rFonts w:ascii="Times New Roman;Times;Serif" w:hAnsi="Times New Roman;Times;Serif"/>
          <w:b w:val="false"/>
          <w:i w:val="false"/>
          <w:caps w:val="false"/>
          <w:smallCaps w:val="false"/>
          <w:sz w:val="20"/>
        </w:rPr>
        <w:t>”) provided that (i) the cost does not exceed two hundred thousand dollars ($200,000) for any one project, (ii) such alterations do not affect the Building’s Structure or the Building’s Systems and do not require issuance of a building permit, (iii) Tenant provides Landlord with prior written notice of its intention to make such alterations stating in reasonable detail the nature, extent and estimated cost of such alterations, together with, if applicable, the plans and specifications for the same (collectively, a “</w:t>
      </w:r>
      <w:r>
        <w:rPr>
          <w:rFonts w:ascii="Times New Roman;Times;Serif" w:hAnsi="Times New Roman;Times;Serif"/>
          <w:b/>
          <w:i w:val="false"/>
          <w:caps w:val="false"/>
          <w:smallCaps w:val="false"/>
          <w:sz w:val="20"/>
          <w:u w:val="single"/>
        </w:rPr>
        <w:t>Non-Structural Alterations Notice</w:t>
      </w:r>
      <w:r>
        <w:rPr>
          <w:rFonts w:ascii="Times New Roman;Times;Serif" w:hAnsi="Times New Roman;Times;Serif"/>
          <w:b w:val="false"/>
          <w:i w:val="false"/>
          <w:caps w:val="false"/>
          <w:smallCaps w:val="false"/>
          <w:sz w:val="20"/>
        </w:rPr>
        <w:t>”), and (iv) Tenant’s construction of such alterations otherwise complies with the terms of this Section 8. Notwithstanding the foregoing to the contrary, if requested by Tenant, Landlord shall not unreasonably withhold, condition or delay approval of the construction of building improvements on Reserve Tract 4.</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Repairs; Maintenance</w:t>
      </w:r>
      <w:r>
        <w:rPr>
          <w:rFonts w:ascii="Times New Roman;Times;Serif" w:hAnsi="Times New Roman;Times;Serif"/>
          <w:b w:val="false"/>
          <w:i w:val="false"/>
          <w:caps w:val="false"/>
          <w:smallCaps w:val="false"/>
          <w:sz w:val="20"/>
        </w:rPr>
        <w:t>. Tenant shall maintain the Premises, including the loading areas and dock, and loading dock equipment in connection with the Premises, in a clean, safe, and operable condition, and shall not permit or allow to remain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including loading docks, sump pumps, dock wells, dock equipment and loading areas, dock doors, dock seals, overhead doors, “levellors” and similar leveling equipment, plumbing, water, fire sprinkler system, and sewer lines up to points of common connection, entries, doors, ceilings, windows, interior walls, and the interior side of demising walls, and heating, ventilation and air conditioning systems (including any evaporative units), and other building and mechanical systems serving the Premises. Such repair and replacements include capital expenditures and repairs whose benefit may extend beyond the Term. Upon written request of Tenant, Landlord will enforce for the benefit of Tenant, any warranties received by Landlord which are applicable to the portions of the Premises to be maintained by Tenant hereunder. If Tenant fails to perform any of its maintenance obligations hereunder and such failure continues for five (5) business days after written notice from Landlord (or such longer period as may be reasonably required provided Tenant commences to perform such required maintenance within such five (5) business-day period and proceeds diligently to completion), then Landlord may make the same at Tenant’s cost. Tenant shall repair or replace, subject to Landlord’s direction and supervision, any damage to the Building caused by a Tenant Party. If Tenant fails to make such repairs or replacements within 15 days after the occurrence of such damage (or such longer period as may be reasonably required provided Tenant commences to make such repairs or replacements within such 15-day period and proceeds diligently to completion), then Landlord may make the same at Tenant’s cost. If any such damage occurs outside of the Premises, then Landlord may elect to repair such damage at Tenant’s expense, rather than having Tenant repair such damage. The reasonable costs of all maintenance, repair or replacement work performed by Landlord under this Section 8 shall be paid by Tenant to Landlord within 30 days after Landlord has invoiced Tenant therefor.</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of Work</w:t>
      </w:r>
      <w:r>
        <w:rPr>
          <w:rFonts w:ascii="Times New Roman;Times;Serif" w:hAnsi="Times New Roman;Times;Serif"/>
          <w:b w:val="false"/>
          <w:i w:val="false"/>
          <w:caps w:val="false"/>
          <w:smallCaps w:val="false"/>
          <w:sz w:val="20"/>
        </w:rPr>
        <w:t xml:space="preserve">. All work described in this Section 8 shall be performed only by Landlord or by contractors and subcontractors approved in writing by Landlord, which approval will not be unreasonably withheld for contractors and subcontractors that maintain the insurance coverages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cause all contractors and subcontractors to procure and maintain insurance coverage naming Landlord, Landlord’s property management company and Landlord’s asset management company as additional insureds against such risks, in such amounts, with such companies, and coverage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Building roof must be performed by Landlord’s roofing contractor, and will not be permitted if it would void or reduce the warranty on the roof.</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All work performed, materials furnished, or obligations incurred by or at the request of a Tenant Party shall be deemed authorized and ordered by Tenant only, and Tenant shall not permit any mechanic’s liens to be filed against the Premises or the Project in connection therewith. Promptly following completion of any such work, Tenant shall deliver to Landlord final lien waivers from all contractors, subcontractors and materialmen who performed such work costing in excess of $5,000. If a lien is filed, then Tenant shall, within twenty days after Landlord has delivered notice of the filing thereof to Tenant (or earlier, as necessary to prevent the forfeiture of the Premises, the Project or any interest of Landlord therein or the imposition of any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during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Janitorial Services</w:t>
      </w:r>
      <w:r>
        <w:rPr>
          <w:rFonts w:ascii="Times New Roman;Times;Serif" w:hAnsi="Times New Roman;Times;Serif"/>
          <w:b w:val="false"/>
          <w:i w:val="false"/>
          <w:caps w:val="false"/>
          <w:smallCaps w:val="false"/>
          <w:sz w:val="20"/>
        </w:rPr>
        <w:t>. Tenant, at its sole expense, shall provide janitorial services to the Premises and shall maintain the Premises in a clean and safe condition. Tenant shall store all trash and garbage within the Tenant Trash Removal Area and shall, at its sole expense, arrange for the regular pickup of such trash and garbage pursuant to reasonable regulations established by Landlord from time to time. If Tenant fails to provide janitorial services to the Premises or trash removal services in compliance with the foregoing and such failure continues for more than five (5) days after written notice to Tenant (or more than twice in any 12-month period), Landlord, in addition to any other rights and remedies available to it, may provide such services, and Tenant shall pay to Landlord the cost thereof, plus an administrative fee equal to 15% of such cost, within ten days after Landlord delivers to Tenant an invoice therefor.</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Utilities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pay for all water, gas, electricity, heat, telephone, sewer, sprinkler charges and other utilities and services used at the Premises, together with any taxes, penalties, surcharges, connection charges, maintenance charges, and the like pertaining to Tenant’s use of the Premises. Landlord shall, at Landlord’s expense, submeter water for the Premises and bill Tenant directly for its use of such utility service. To the extent any utility service for the Premises is submetered, the meter shall be read by Landlord or Landlord’s designee, and Tenant shall pay to Landlord, within 30 days after receipt of an invoice therefor, the cost of such service based on rates charged for such service by the utility company furnishing such service, including all fuel adjustment charges, demand charges and taxes. To the extent that any particular utility is not separately metered or submetered as provided above (e.g., water or sewer charges), Landlord shall, using its good-faith, reasonable judgment, allocate the expenses for such utility among the existing tenants of the Project based upon density, usage, and other factors in Landlord’s reasonable judgment. Tenant, at its expense, shall obtain all utility services for the Premises (other than utilities submetered or otherwise provided to the Premises by Landlord). Landlord shall not be liable for any interruption or failure of utility service to the Premises, and such interruption or failure of utility service shall not be a constructive eviction of Tenant, constitute a breach of any implied warranty, or, except as provided in the next sentence, entitle Tenant to any abatement of Tenant’s obligations hereunder. If, however, Tenant is prevented from using the Premises for more than five (5) consecutive business days because of the unavailability of any such service and such unavailability was caused by Landlord, its agents, employees or contractors, and restoration of such service is within the reasonable control of Landlord (a “</w:t>
      </w:r>
      <w:r>
        <w:rPr>
          <w:rFonts w:ascii="Times New Roman;Times;Serif" w:hAnsi="Times New Roman;Times;Serif"/>
          <w:b/>
          <w:i w:val="false"/>
          <w:caps w:val="false"/>
          <w:smallCaps w:val="false"/>
          <w:sz w:val="20"/>
          <w:u w:val="single"/>
        </w:rPr>
        <w:t>Service Interruption</w:t>
      </w:r>
      <w:r>
        <w:rPr>
          <w:rFonts w:ascii="Times New Roman;Times;Serif" w:hAnsi="Times New Roman;Times;Serif"/>
          <w:b w:val="false"/>
          <w:i w:val="false"/>
          <w:caps w:val="false"/>
          <w:smallCaps w:val="false"/>
          <w:sz w:val="20"/>
        </w:rPr>
        <w:t>”), then Tenant, as its exclusive remedy is entitled to a reasonable abatement of Rent for each consecutive day (after such 5 business-day period) that Tenant is so prevented from using the Premises. Notwithstanding anything herein to the contrary, Landlord shall use commercially reasonable efforts to restore the availability of any such service following an interruption, and Landlord shall use commercially reasonable efforts to coordinate any planned interruptions outside of normal business hours. Rent shall not abate by reason of the interruption, insufficiency, unavailability or discontinuance of such service if such unavailability or discontinuance was not caused by Landlord, its agents, employees or contractors and restoration of such service is not within the reasonable control of Landlord.</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and Compliance with Law</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w:t>
      </w:r>
      <w:r>
        <w:rPr>
          <w:rFonts w:ascii="Times New Roman;Times;Serif" w:hAnsi="Times New Roman;Times;Serif"/>
          <w:b w:val="false"/>
          <w:i w:val="false"/>
          <w:caps w:val="false"/>
          <w:smallCaps w:val="false"/>
          <w:sz w:val="20"/>
        </w:rPr>
        <w:t>. Tenant shall use the Premises only for the Permitted Use and shall comply with all Laws relating to this Lease and/or the use and occupancy of the Premises and will not commit waste, overload the Building’s Structure or the Building’s Systems. The Premises shall not be used for any use which is disreputable, or creates extraordinary fire hazards, or for the storage of any Hazardous Materials (except as provided in Section 27 hereto). Outside storage, including storage of trucks or other vehicles, is prohibited without Landlord’s prior written consent. If, because of a Tenant Party’s acts or because Tenant vacates the Premises, the rate of insurance on the Building or its contents increases, then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Existing Governmental Regulations</w:t>
      </w:r>
      <w:r>
        <w:rPr>
          <w:rFonts w:ascii="Times New Roman;Times;Serif" w:hAnsi="Times New Roman;Times;Serif"/>
          <w:b w:val="false"/>
          <w:i w:val="false"/>
          <w:caps w:val="false"/>
          <w:smallCaps w:val="false"/>
          <w:sz w:val="20"/>
        </w:rPr>
        <w:t>. If any federal, state or local laws, ordinances, orders, rules, regulations or requirements (collectively, “</w:t>
      </w:r>
      <w:r>
        <w:rPr>
          <w:rFonts w:ascii="Times New Roman;Times;Serif" w:hAnsi="Times New Roman;Times;Serif"/>
          <w:b/>
          <w:i w:val="false"/>
          <w:caps w:val="false"/>
          <w:smallCaps w:val="false"/>
          <w:sz w:val="20"/>
          <w:u w:val="single"/>
        </w:rPr>
        <w:t>Governmental Requirements</w:t>
      </w:r>
      <w:r>
        <w:rPr>
          <w:rFonts w:ascii="Times New Roman;Times;Serif" w:hAnsi="Times New Roman;Times;Serif"/>
          <w:b w:val="false"/>
          <w:i w:val="false"/>
          <w:caps w:val="false"/>
          <w:smallCaps w:val="false"/>
          <w:sz w:val="20"/>
        </w:rPr>
        <w:t>”) in existence as of the date of the Lease require an alteration or modification of the Premises (a “</w:t>
      </w:r>
      <w:r>
        <w:rPr>
          <w:rFonts w:ascii="Times New Roman;Times;Serif" w:hAnsi="Times New Roman;Times;Serif"/>
          <w:b/>
          <w:i w:val="false"/>
          <w:caps w:val="false"/>
          <w:smallCaps w:val="false"/>
          <w:sz w:val="20"/>
          <w:u w:val="single"/>
        </w:rPr>
        <w:t>Code Modification</w:t>
      </w:r>
      <w:r>
        <w:rPr>
          <w:rFonts w:ascii="Times New Roman;Times;Serif" w:hAnsi="Times New Roman;Times;Serif"/>
          <w:b w:val="false"/>
          <w:i w:val="false"/>
          <w:caps w:val="false"/>
          <w:smallCaps w:val="false"/>
          <w:sz w:val="20"/>
        </w:rPr>
        <w:t>”) and such Code Modification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at Landlord’s sole cost and expense.</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Regulations – Landlord Responsibility</w:t>
      </w:r>
      <w:r>
        <w:rPr>
          <w:rFonts w:ascii="Times New Roman;Times;Serif" w:hAnsi="Times New Roman;Times;Serif"/>
          <w:b w:val="false"/>
          <w:i w:val="false"/>
          <w:caps w:val="false"/>
          <w:smallCaps w:val="false"/>
          <w:sz w:val="20"/>
        </w:rPr>
        <w:t>. If, as a result of one or more Governmental Requirements that are not in existence as of the date of this Lease, it is necessary from time to time during the Lease Term, to perform a Code Modification to the Building or the Project that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and cost thereof shall be included in Operating Costs.</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Regulations – Tenant Responsibility</w:t>
      </w:r>
      <w:r>
        <w:rPr>
          <w:rFonts w:ascii="Times New Roman;Times;Serif" w:hAnsi="Times New Roman;Times;Serif"/>
          <w:b w:val="false"/>
          <w:i w:val="false"/>
          <w:caps w:val="false"/>
          <w:smallCaps w:val="false"/>
          <w:sz w:val="20"/>
        </w:rPr>
        <w:t>. If, as a result of one or more Governmental Requirements, it is necessary from time to time during the Lease Term to perform a Code Modification to the Building or the Project that is made necessary as a result of the specific use being made by Tenant of the Premises or as a result of any alteration of the Premises by Tenant, such Code Modification shall be the sole and exclusive responsibility of Tenant in all respects; provided, however, that Tenant shall have the right to retract its request to perform a proposed alteration in the event that the performance of such alteration would trigger the requirement for a Code Modification.</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 and Subletting</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Except as provided in Section 11(h), Tenant shall not, without the prior written consent of Landlord,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Section 11(a)(1) through 11(a)(6) being a “</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Standards</w:t>
      </w:r>
      <w:r>
        <w:rPr>
          <w:rFonts w:ascii="Times New Roman;Times;Serif" w:hAnsi="Times New Roman;Times;Serif"/>
          <w:b w:val="false"/>
          <w:i w:val="false"/>
          <w:caps w:val="false"/>
          <w:smallCaps w:val="false"/>
          <w:sz w:val="20"/>
        </w:rPr>
        <w:t>. Landlord shall not unreasonably withhold its consent to any assignment or subletting of the Premises, provided that the proposed transferee (1) is creditworthy, (2) has a good reputation in the business community, (3) will use the Premises for the Permitted Use (thus, excluding, without limitation, uses for credit processing and telemarketing), (4) will not use the Premises, Building or Project in a manner that would materially increase the pedestrian or vehicular traffic to the Premises, Building or Project, (5) is not a governmental entity, or subdivision or agency thereof, (6) is not another occupant of the Building or Complex, (7) is in compliance with the regulations of the Office of Foreign Asset Control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to any proposed Transfer if any Event of Default by Tenant then exists.</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Request for Consent</w:t>
      </w:r>
      <w:r>
        <w:rPr>
          <w:rFonts w:ascii="Times New Roman;Times;Serif" w:hAnsi="Times New Roman;Times;Serif"/>
          <w:b w:val="false"/>
          <w:i w:val="false"/>
          <w:caps w:val="false"/>
          <w:smallCaps w:val="false"/>
          <w:sz w:val="20"/>
        </w:rPr>
        <w:t>.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Within 30 days after written notice from Landlord, Tenant will reimburse Landlord for its reasonable attorneys’ fees incurred in connection with considering any request for consent to a Transfer, not to exceed $2,500.00 per request for consent.</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Consent</w:t>
      </w:r>
      <w:r>
        <w:rPr>
          <w:rFonts w:ascii="Times New Roman;Times;Serif" w:hAnsi="Times New Roman;Times;Serif"/>
          <w:b w:val="false"/>
          <w:i w:val="false"/>
          <w:caps w:val="false"/>
          <w:smallCaps w:val="false"/>
          <w:sz w:val="20"/>
        </w:rPr>
        <w:t>. If Landlord consents to a proposed Transfer, the proposed transferee shall deliver to Landlord a written agreement expressly assuming Tenant’s obligations hereunder; however, any transferee of less than all of the Premises shall be liable only for obligations under this Lease properly allocable to the space subject to the Transfer, for the period of the Transfer. No Transfer shall release Tenant from its obligations under this Lease; Tenant and its transferee shall be jointly and severally liable therefor. Landlord’s consent to any Transfer shall not waive Landlord’s rights as to any subsequent Transfers. If an Event of Default occurs while any part of the Premises or any part thereof are subject to a Transfer, then Landlord, in addition to its other remedies, may collect directly from such transferee all rents becoming due to Tenant, and apply such rents against Rent. Tenant instructs its transferees to make payments of rent directly to Landlord upon receipt of notice from Landlord to do so following the occurrence of an Event of Default. Tenant shall pay for the cost of any demising walls or other improvements necessitated by a proposed subletting or assignment.</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Attornment by Subtenants</w:t>
      </w:r>
      <w:r>
        <w:rPr>
          <w:rFonts w:ascii="Times New Roman;Times;Serif" w:hAnsi="Times New Roman;Times;Serif"/>
          <w:b w:val="false"/>
          <w:i w:val="false"/>
          <w:caps w:val="false"/>
          <w:smallCaps w:val="false"/>
          <w:sz w:val="20"/>
        </w:rPr>
        <w:t>. Each sublease hereunder shall be subject and subordinate to this Lease and to the matters to which this Lease is or shall be subordinate, and each subtenant is deemed to have agreed that in the event of termination, re-entry or dispossession by Landlord under this Lease, Landlord may, at its option, take over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of such subtenant against Tenant, (3) bound by any previous modification of such sublease not approved by Landlord in writing or by any rent or additional rent or advance rent which such subtenant has paid for more than the current month to Tenant, and all such rent shall remain due and owing, notwithstanding such advance payment, (4) bound by any security or advance rental deposit made by such subtenant which is not delivered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as a condition of its occupying or using any part of the Premises, to have agreed to be bound by the terms of this Section 11(e).</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Landlord may, within 30 days after receipt of Tenant’s written request for Landlord’s consent to an assignment of the entire Premises for all or substantially of the remaining Term, cancel this Lease as to the portion of the Premises proposed to be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such portion of the Premises. Thereafter, Landlord may lease such portion of the Premises to the prospective transferee (or to any other person) without liability to Tenant. Notwithstanding the foregoing, if Landlord provides written notification to Tenant of its election to cancel this Lease as to any portion of the Premises as provided above, Tenant may rescind its proposed assignment of all or any portion of the Premises by notifying Landlord in writing within ten business days following Landlord’s written cancellation notice.</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Tenant shall pay to Landlord, immediately upon receipt thereof, the excess of (1) all rental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(2) the Rent allocable to the portion of the Premises covered thereby.</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Notwithstanding Section 11(a), Tenant may Transfer all or part of its interest in this Lease or all or part of the Premises (a “</w:t>
      </w:r>
      <w:r>
        <w:rPr>
          <w:rFonts w:ascii="Times New Roman;Times;Serif" w:hAnsi="Times New Roman;Times;Serif"/>
          <w:b/>
          <w:i w:val="false"/>
          <w:caps w:val="false"/>
          <w:smallCaps w:val="false"/>
          <w:sz w:val="20"/>
          <w:u w:val="single"/>
        </w:rPr>
        <w:t>Permitted Transfer</w:t>
      </w:r>
      <w:r>
        <w:rPr>
          <w:rFonts w:ascii="Times New Roman;Times;Serif" w:hAnsi="Times New Roman;Times;Serif"/>
          <w:b w:val="false"/>
          <w:i w:val="false"/>
          <w:caps w:val="false"/>
          <w:smallCaps w:val="false"/>
          <w:sz w:val="20"/>
        </w:rPr>
        <w:t>”) to the following types of entities (a “</w:t>
      </w:r>
      <w:r>
        <w:rPr>
          <w:rFonts w:ascii="Times New Roman;Times;Serif" w:hAnsi="Times New Roman;Times;Serif"/>
          <w:b/>
          <w:i w:val="false"/>
          <w:caps w:val="false"/>
          <w:smallCaps w:val="false"/>
          <w:sz w:val="20"/>
          <w:u w:val="single"/>
        </w:rPr>
        <w:t>Permitted Transferee</w:t>
      </w:r>
      <w:r>
        <w:rPr>
          <w:rFonts w:ascii="Times New Roman;Times;Serif" w:hAnsi="Times New Roman;Times;Serif"/>
          <w:b w:val="false"/>
          <w:i w:val="false"/>
          <w:caps w:val="false"/>
          <w:smallCaps w:val="false"/>
          <w:sz w:val="20"/>
        </w:rPr>
        <w:t>”) without the written consent of Landlord:</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Tenant;</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No later than 30 days after the effective date of any Permitted Transfer, Tenant shall furnish Landlord with (A) copies of the instrument effecting such Permitted Transfer, (B) documentation establishing Tenant’s satisfaction of the requirements set forth above applicable to such Transfer, (C) evidence of insurance as required under this Lease with respect to the Permitted Transferee, and (D) evidence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Times New Roman;Times;Serif" w:hAnsi="Times New Roman;Times;Serif"/>
          <w:b/>
          <w:i w:val="false"/>
          <w:caps w:val="false"/>
          <w:smallCaps w:val="false"/>
          <w:sz w:val="20"/>
          <w:u w:val="single"/>
        </w:rPr>
        <w:t>Tangible Net Worth</w:t>
      </w:r>
      <w:r>
        <w:rPr>
          <w:rFonts w:ascii="Times New Roman;Times;Serif" w:hAnsi="Times New Roman;Times;Serif"/>
          <w:b w:val="false"/>
          <w:i w:val="false"/>
          <w:caps w:val="false"/>
          <w:smallCaps w:val="false"/>
          <w:sz w:val="20"/>
        </w:rPr>
        <w:t>” means the excess of total assets over total liabilities, in each case as determined in accordance with generally accepted accounting principles consistently applied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 Waivers; Subrogation; Indemnity</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Insurance</w:t>
      </w:r>
      <w:r>
        <w:rPr>
          <w:rFonts w:ascii="Times New Roman;Times;Serif" w:hAnsi="Times New Roman;Times;Serif"/>
          <w:b w:val="false"/>
          <w:i w:val="false"/>
          <w:caps w:val="false"/>
          <w:smallCaps w:val="false"/>
          <w:sz w:val="20"/>
        </w:rPr>
        <w:t>. Effective as of the earlier of (1) the date Tenant enters or occupies the Premises, or (2) the Commencement Date, and continuing throughout the Term, Tenant shall maintain the following insurance policies: (A) commercial general liability insurance in amounts of not less than $1,000,000 per occurrence, $1,000,000 general aggregate, $2,000,000 products/completed operations aggregate, $1,000,000 personal and advertising injury liability, and $100,000 fire legal liability or, following the expiration of the initial Term, such other amounts as Landlord from time to time reasonably requires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on a primary and non-contributory basis and (without implying any consent by Landlord to the installation 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 (E) worker’s compensation insurance in accordance with the laws of the state in which the Premises are located, with Employer’s Liability insurance with limits of $1,000,000 Bodily Injury each Accident, $1,000,000 Disease each Employee, and $1,000,000 Disease– Policy Limit, (F) business interruption insurance in an amount not less than one hundred percent (100%) of all charges payable by Tenant under this lease for a period of twelve (12) months, (G) Automobile Liability insurance covering owned, hired and non-owned vehicles with limits of $1,000,000 combined single limit, (H) Umbrella/Excess Liability insurance, with a limit of $10,000,000 per occurrence and $10,000,000 annual aggregate on a following form basis in excess of the required Commercial General Liability, Automobile Liability, and Employer’s Liability coverages, and (I) Pollution liability insurance, with a limit of $1,000,000 limit is required if Tenant uses or stores any flammable or toxic chemicals or if otherwise requested by Landlord. Tenant shall furnish to Landlord certificates of such insurance least ten (10) days prior to the earlier of the Commencement Date or the date Tenant enters or occupies the Premises, and at least fifteen (15) days prior to each renewal of said insurance, and Tenant shall notify Landlord at least thirty (30) days before cancellation of any such insurance policies. All such insurance policies shall be in form reasonably satisfactory to Landlord and issued by companies with a Best’s rating of A+:VII or better. Tenant’s insurance requirements may be covered under a blanket insurance policy or policies covering other premises or insureds in addition to the Premises. If Tenant fails to comply with the foregoing insurance requirements or to deliver to Landlord the certificates or evidence of coverage required herein, and such failure continues for more than two (2) business days after written notice from Landlord, Landlord, in addition to any other remedy available pursuant to this Lease or otherwise, may, but shall not be obligated to, obtain such insurance and Tenant shall pay to Landlord within thirty (30) days after written notice from Landlord, the premium costs thereof, plus an administrative fee of 15% of such cost.</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Insurance</w:t>
      </w:r>
      <w:r>
        <w:rPr>
          <w:rFonts w:ascii="Times New Roman;Times;Serif" w:hAnsi="Times New Roman;Times;Serif"/>
          <w:b w:val="false"/>
          <w:i w:val="false"/>
          <w:caps w:val="false"/>
          <w:smallCaps w:val="false"/>
          <w:sz w:val="20"/>
        </w:rPr>
        <w:t>. Throughout the Term of this Lease, Landlord shall maintain, as a minimum, the following insurance policies: (1) property insurance for the Building’s replacement value (excluding property required to be insured by Tenant), less a commercially-reasonable deductible if Landlord so chooses, and (2) commercial general liability insurance in an amount of not less than $3,000,000. Landlord may, but is not obligated to, maintain such other insurance and additional coverages as it may deem necessary. The cost of all insurance carried by Landlord with respect to the Project shall be included in Insurance Costs (defined below). The foregoing insurance policies and any other insurance carried by Landlord shall be for the sole benefit of Landlord and under Landlord’s sole control, and Tenant shall have no right or claim to any proceeds thereof or any other rights thereunder.</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Subrogation; Waiver of Property Claims</w:t>
      </w:r>
      <w:r>
        <w:rPr>
          <w:rFonts w:ascii="Times New Roman;Times;Serif" w:hAnsi="Times New Roman;Times;Serif"/>
          <w:b w:val="false"/>
          <w:i w:val="false"/>
          <w:caps w:val="false"/>
          <w:smallCaps w:val="false"/>
          <w:sz w:val="20"/>
        </w:rPr>
        <w:t xml:space="preserve">. Landlord and Tenant each waives any claim it might have against the other for any damage to or theft, destruction, loss, or loss of use of any property, to the extent the same is insured against under any property insurance policy of the types described in this Section 12 that covers the Project, the Premises, Landlord’s or Tenant’s fixtures, personal property, inventory, leasehold improvements, or business, or is required to be insured against under the terms hereof, </w:t>
      </w:r>
      <w:r>
        <w:rPr>
          <w:rFonts w:ascii="Times New Roman;Times;Serif" w:hAnsi="Times New Roman;Times;Serif"/>
          <w:b/>
          <w:i w:val="false"/>
          <w:caps w:val="false"/>
          <w:smallCaps w:val="false"/>
          <w:sz w:val="20"/>
        </w:rPr>
        <w:t>regardless of whether the negligence of the other party caused such Loss</w:t>
      </w:r>
      <w:r>
        <w:rPr>
          <w:rFonts w:ascii="Times New Roman;Times;Serif" w:hAnsi="Times New Roman;Times;Serif"/>
          <w:b w:val="false"/>
          <w:i w:val="false"/>
          <w:caps w:val="false"/>
          <w:smallCaps w:val="false"/>
          <w:sz w:val="20"/>
        </w:rPr>
        <w:t xml:space="preserve"> (defined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Times New Roman;Times;Serif" w:hAnsi="Times New Roman;Times;Serif"/>
          <w:b/>
          <w:i w:val="false"/>
          <w:caps w:val="false"/>
          <w:smallCaps w:val="false"/>
          <w:sz w:val="20"/>
        </w:rPr>
        <w:t>regardless of whether the negligence of any party caused such loss in whole or in part</w:t>
      </w:r>
      <w:r>
        <w:rPr>
          <w:rFonts w:ascii="Times New Roman;Times;Serif" w:hAnsi="Times New Roman;Times;Serif"/>
          <w:b w:val="false"/>
          <w:i w:val="false"/>
          <w:caps w:val="false"/>
          <w:smallCaps w:val="false"/>
          <w:sz w:val="20"/>
        </w:rPr>
        <w:t>. Tenant acknowledges that Landlord shall not carry insurance on, and shall not be responsible for damage to, any property of any Tenant Party located in or about the Project.</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Subject to Section 12(c),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xml:space="preserve">”) occurring in or on the Project. This indemnity is intended to indemnify Landlord and its agents against the consequences of their own negligence or fault, </w:t>
      </w:r>
      <w:r>
        <w:rPr>
          <w:rFonts w:ascii="Times New Roman;Times;Serif" w:hAnsi="Times New Roman;Times;Serif"/>
          <w:b/>
          <w:i w:val="false"/>
          <w:caps w:val="false"/>
          <w:smallCaps w:val="false"/>
          <w:sz w:val="20"/>
        </w:rPr>
        <w:t>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w:t>
      </w:r>
      <w:r>
        <w:rPr>
          <w:rFonts w:ascii="Times New Roman;Times;Serif" w:hAnsi="Times New Roman;Times;Serif"/>
          <w:b w:val="false"/>
          <w:i w:val="false"/>
          <w:caps w:val="false"/>
          <w:smallCaps w:val="false"/>
          <w:sz w:val="20"/>
        </w:rPr>
        <w:t xml:space="preserve">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 Tenant acknowledges that the decision as to whether to include dock locks, dock restraints or other safety-related equipment, fixtures or improvements in the Premises or elsewhere in the Building shall solely be the responsibility of Tenant, and Tenant shall indemnify, defend and hold harmless the Landlord Indemnitees from and against any and all claims, damages, causes of action, demands, penalties, costs, liabilities, losses, and expenses (including reasonable attorneys’ fees and expenses at the trial and appellate levels) resulting from actual or threatened claims by third parties occasioned by injuries to any person and damage to, or theft or loss of, property occurring in or about the Premises or the Building to the extent caused or alleged to be caused by the failure of any such safety-related equipment, fixtures or improvements to be installed or maintained at the Building. This indemnity provision shall survive termination or expiration of this Lease. The furnishing of insurance required hereunder shall not be deemed to limit Tenant’s indemnification obligations.</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Cost of Landlord’s Insurance</w:t>
      </w:r>
      <w:r>
        <w:rPr>
          <w:rFonts w:ascii="Times New Roman;Times;Serif" w:hAnsi="Times New Roman;Times;Serif"/>
          <w:b w:val="false"/>
          <w:i w:val="false"/>
          <w:caps w:val="false"/>
          <w:smallCaps w:val="false"/>
          <w:sz w:val="20"/>
        </w:rPr>
        <w:t>. Tenant shall pay Tenant’s Proportionate Share of the cost of the insurance carried by Landlord from time to time with respect to the Project (including other improvements and Landlord’s personal property used in connection therewith), which may include fire and extended coverage insurance (including extended and broad form coverage risks, mudslide, land subsidence, volcanic eruption, flood, earthquake and rent loss insurance) and comprehensive general public liability insurance and excess liability insurance, in such amounts and containing such terms as Landlord reasonably deems necessary or desirable (collectively, “</w:t>
      </w:r>
      <w:r>
        <w:rPr>
          <w:rFonts w:ascii="Times New Roman;Times;Serif" w:hAnsi="Times New Roman;Times;Serif"/>
          <w:b/>
          <w:i w:val="false"/>
          <w:caps w:val="false"/>
          <w:smallCaps w:val="false"/>
          <w:sz w:val="20"/>
          <w:u w:val="single"/>
        </w:rPr>
        <w:t>Insurance Costs</w:t>
      </w:r>
      <w:r>
        <w:rPr>
          <w:rFonts w:ascii="Times New Roman;Times;Serif" w:hAnsi="Times New Roman;Times;Serif"/>
          <w:b w:val="false"/>
          <w:i w:val="false"/>
          <w:caps w:val="false"/>
          <w:smallCaps w:val="false"/>
          <w:sz w:val="20"/>
        </w:rPr>
        <w:t>”). During each month of the Term, Tenant shall make a monthly payment to Landlord equal to 1/12th of Tenant’s Proportionate Share of Insurance Costs that will be due and payable for that particular year. Each payment of Insurance Costs shall be due and payable at the same time as, and in the same manner as, provided above for Tenant’s Proportionate Share of Operating Costs. The initial monthly payment of Insurance Costs is based upon Landlord’s good faith estimate of Tenant’s Proportionate Share of the estimated Insurance Costs for the remainder of the first calendar year. The monthly payment of Insurance Costs is subject to increase or decrease as determined by Landlord to reflect accurately Tenant’s Proportionate Share of estimated Insurance Costs. If, following Landlord’s receipt of the bill for the insurance premiums for a calendar year, Landlord determines that Tenant’s total payments of Insurance Costs are less than Tenant’s Proportionate Share of actual Insurance Costs, Tenant shall pay to Landlord the difference within thirty (30) days after written notice from Landlord; if Tenant’s total payments of Insurance Costs are more than Tenant’s Proportionate Share of actual Insurance Costs, Landlord shall retain such excess and credit it to Tenant’s future payments of Insurance Costs (unless such adjustment is at the end of the Term, in which event Landlord shall refund such excess to Tenant within thirty (30) days after expiration).</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Subordination; Attornment; Notice to Landlord’s Mortgagee</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This Lease shall be subordinate to any deed of trust, mortgage, or other security instrument (each, a “</w:t>
      </w:r>
      <w:r>
        <w:rPr>
          <w:rFonts w:ascii="Times New Roman;Times;Serif" w:hAnsi="Times New Roman;Times;Serif"/>
          <w:b/>
          <w:i w:val="false"/>
          <w:caps w:val="false"/>
          <w:smallCaps w:val="false"/>
          <w:sz w:val="20"/>
          <w:u w:val="single"/>
        </w:rPr>
        <w:t>Mortgage</w:t>
      </w:r>
      <w:r>
        <w:rPr>
          <w:rFonts w:ascii="Times New Roman;Times;Serif" w:hAnsi="Times New Roman;Times;Serif"/>
          <w:b w:val="false"/>
          <w:i w:val="false"/>
          <w:caps w:val="false"/>
          <w:smallCaps w:val="false"/>
          <w:sz w:val="20"/>
        </w:rPr>
        <w:t>”), or any ground lease, master lease, or primary lease (each, a “</w:t>
      </w:r>
      <w:r>
        <w:rPr>
          <w:rFonts w:ascii="Times New Roman;Times;Serif" w:hAnsi="Times New Roman;Times;Serif"/>
          <w:b/>
          <w:i w:val="false"/>
          <w:caps w:val="false"/>
          <w:smallCaps w:val="false"/>
          <w:sz w:val="20"/>
          <w:u w:val="single"/>
        </w:rPr>
        <w:t>Primary Lease</w:t>
      </w:r>
      <w:r>
        <w:rPr>
          <w:rFonts w:ascii="Times New Roman;Times;Serif" w:hAnsi="Times New Roman;Times;Serif"/>
          <w:b w:val="false"/>
          <w:i w:val="false"/>
          <w:caps w:val="false"/>
          <w:smallCaps w:val="false"/>
          <w:sz w:val="20"/>
        </w:rPr>
        <w:t>”), that now or hereafter covers all or any part of the Premises (the mortgagee under any such Mortgage, beneficiary under any such deed of trust, or the lessor under any such Primary Lease is referred to herein as a “</w:t>
      </w:r>
      <w:r>
        <w:rPr>
          <w:rFonts w:ascii="Times New Roman;Times;Serif" w:hAnsi="Times New Roman;Times;Serif"/>
          <w:b/>
          <w:i w:val="false"/>
          <w:caps w:val="false"/>
          <w:smallCaps w:val="false"/>
          <w:sz w:val="20"/>
          <w:u w:val="single"/>
        </w:rPr>
        <w:t>Landlord’s Mortgagee</w:t>
      </w:r>
      <w:r>
        <w:rPr>
          <w:rFonts w:ascii="Times New Roman;Times;Serif" w:hAnsi="Times New Roman;Times;Serif"/>
          <w:b w:val="false"/>
          <w:i w:val="false"/>
          <w:caps w:val="false"/>
          <w:smallCaps w:val="false"/>
          <w:sz w:val="20"/>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Attornment</w:t>
      </w:r>
      <w:r>
        <w:rPr>
          <w:rFonts w:ascii="Times New Roman;Times;Serif" w:hAnsi="Times New Roman;Times;Serif"/>
          <w:b w:val="false"/>
          <w:i w:val="false"/>
          <w:caps w:val="false"/>
          <w:smallCaps w:val="false"/>
          <w:sz w:val="20"/>
        </w:rPr>
        <w:t>. Tenant shall attorn to any party succeeding to Landlord’s interest in the Premises, whether by purchase, foreclosure, deed in lieu of foreclosure, power of sale, or otherwise, upon such party’s request, and shall execute such agreements confirming such attornment as such party may reasonably request.</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Landlord’s Mortgagee</w:t>
      </w:r>
      <w:r>
        <w:rPr>
          <w:rFonts w:ascii="Times New Roman;Times;Serif" w:hAnsi="Times New Roman;Times;Serif"/>
          <w:b w:val="false"/>
          <w:i w:val="false"/>
          <w:caps w:val="false"/>
          <w:smallCaps w:val="false"/>
          <w:sz w:val="20"/>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Mortgagee’s Protection Provisions</w:t>
      </w:r>
      <w:r>
        <w:rPr>
          <w:rFonts w:ascii="Times New Roman;Times;Serif" w:hAnsi="Times New Roman;Times;Serif"/>
          <w:b w:val="false"/>
          <w:i w:val="false"/>
          <w:caps w:val="false"/>
          <w:smallCaps w:val="false"/>
          <w:sz w:val="20"/>
        </w:rPr>
        <w:t>. If Landlord’s Mortgagee shall succeed to the interest of Landlord under this Lease, Landlord’s Mortgagee shall not be: (1) liable for any act or omission of any prior lessor (including Landlord); (2) bound by any Rent which Tenant has paid for more than the current month to any prior lessor (including Landlord), and all such rent shall remain due and owing;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Non-Disturbance and Recognition</w:t>
      </w:r>
      <w:r>
        <w:rPr>
          <w:rFonts w:ascii="Times New Roman;Times;Serif" w:hAnsi="Times New Roman;Times;Serif"/>
          <w:b w:val="false"/>
          <w:i w:val="false"/>
          <w:caps w:val="false"/>
          <w:smallCaps w:val="false"/>
          <w:sz w:val="20"/>
        </w:rPr>
        <w:t xml:space="preserve">. Landlord shall obtain an SNDA (defined below) in the form attached hereto as </w:t>
      </w:r>
      <w:r>
        <w:rPr>
          <w:rFonts w:ascii="Times New Roman;Times;Serif" w:hAnsi="Times New Roman;Times;Serif"/>
          <w:b/>
          <w:i w:val="false"/>
          <w:caps w:val="false"/>
          <w:smallCaps w:val="false"/>
          <w:sz w:val="20"/>
          <w:u w:val="single"/>
        </w:rPr>
        <w:t>Exhibit G</w:t>
      </w:r>
      <w:r>
        <w:rPr>
          <w:rFonts w:ascii="Times New Roman;Times;Serif" w:hAnsi="Times New Roman;Times;Serif"/>
          <w:b w:val="false"/>
          <w:i w:val="false"/>
          <w:caps w:val="false"/>
          <w:smallCaps w:val="false"/>
          <w:sz w:val="20"/>
        </w:rPr>
        <w:t xml:space="preserve"> from the current Landlord’s Mortgagee, signed and acknowledge by Landlord and Landlord’s mortgagee, within sixty (60) days after the Effective Date; failing which, Tenant may terminate this Lease at any time (but before receiving such SNDA). Notwithstanding Section 13(a) above, any subordination of Tenant’s interest in the Lease to any future Primary Lease or Mortgage is subject to Tenant’s execution of a commercially reasonable Recognition, Non-Disturbance and Attornment Agreement (“</w:t>
      </w:r>
      <w:r>
        <w:rPr>
          <w:rFonts w:ascii="Times New Roman;Times;Serif" w:hAnsi="Times New Roman;Times;Serif"/>
          <w:b/>
          <w:i w:val="false"/>
          <w:caps w:val="false"/>
          <w:smallCaps w:val="false"/>
          <w:sz w:val="20"/>
          <w:u w:val="single"/>
        </w:rPr>
        <w:t>RNDA</w:t>
      </w:r>
      <w:r>
        <w:rPr>
          <w:rFonts w:ascii="Times New Roman;Times;Serif" w:hAnsi="Times New Roman;Times;Serif"/>
          <w:b w:val="false"/>
          <w:i w:val="false"/>
          <w:caps w:val="false"/>
          <w:smallCaps w:val="false"/>
          <w:sz w:val="20"/>
        </w:rPr>
        <w:t>”) and/or a Subordination, Non-Disturbance and Attornment Agreement (“</w:t>
      </w:r>
      <w:r>
        <w:rPr>
          <w:rFonts w:ascii="Times New Roman;Times;Serif" w:hAnsi="Times New Roman;Times;Serif"/>
          <w:b/>
          <w:i w:val="false"/>
          <w:caps w:val="false"/>
          <w:smallCaps w:val="false"/>
          <w:sz w:val="20"/>
          <w:u w:val="single"/>
        </w:rPr>
        <w:t>SNDA</w:t>
      </w:r>
      <w:r>
        <w:rPr>
          <w:rFonts w:ascii="Times New Roman;Times;Serif" w:hAnsi="Times New Roman;Times;Serif"/>
          <w:b w:val="false"/>
          <w:i w:val="false"/>
          <w:caps w:val="false"/>
          <w:smallCaps w:val="false"/>
          <w:sz w:val="20"/>
        </w:rPr>
        <w:t>”) by Tenant, Landlord and the other party(ies) to such Primary Lease or Mortgage, as applicable. Landlord also agrees to provide an RNDA and SNDA from any such parties who later come into existence after the Effective Date during the Term.</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the rules and regulations of the Project which are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Landlord may, from time to time, change such rules and regulations for the safety, care, or cleanliness of the Project and related facilities, provided that such changes are applicable to all tenants of the Complex, will not unreasonably interfere with Tenant’s use of the Premises and are enforced by Landlord in a non-discriminatory manner. Tenant shall be responsible for the compliance with such rules and regulations by each Tenant Party. To the extent of a conflict between the terms of this Lease and such rules and regulations, the terms of this Lease shall control.</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Condemnation</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Total Taking</w:t>
      </w:r>
      <w:r>
        <w:rPr>
          <w:rFonts w:ascii="Times New Roman;Times;Serif" w:hAnsi="Times New Roman;Times;Serif"/>
          <w:b w:val="false"/>
          <w:i w:val="false"/>
          <w:caps w:val="false"/>
          <w:smallCaps w:val="false"/>
          <w:sz w:val="20"/>
        </w:rPr>
        <w:t>. If the entire Building or Premises are taken by right of eminent domain or conveyed in lieu thereof (a “</w:t>
      </w:r>
      <w:r>
        <w:rPr>
          <w:rFonts w:ascii="Times New Roman;Times;Serif" w:hAnsi="Times New Roman;Times;Serif"/>
          <w:b/>
          <w:i w:val="false"/>
          <w:caps w:val="false"/>
          <w:smallCaps w:val="false"/>
          <w:sz w:val="20"/>
          <w:u w:val="single"/>
        </w:rPr>
        <w:t>Taking</w:t>
      </w:r>
      <w:r>
        <w:rPr>
          <w:rFonts w:ascii="Times New Roman;Times;Serif" w:hAnsi="Times New Roman;Times;Serif"/>
          <w:b w:val="false"/>
          <w:i w:val="false"/>
          <w:caps w:val="false"/>
          <w:smallCaps w:val="false"/>
          <w:sz w:val="20"/>
        </w:rPr>
        <w:t>”), this Lease shall terminate as of the date of the Taking. In the event of a termination under Section 15(a) of either or both of the other two lease agreements between Landlord and Tenant for the leasing of space in the Complex (the “</w:t>
      </w:r>
      <w:r>
        <w:rPr>
          <w:rFonts w:ascii="Times New Roman;Times;Serif" w:hAnsi="Times New Roman;Times;Serif"/>
          <w:b/>
          <w:i w:val="false"/>
          <w:caps w:val="false"/>
          <w:smallCaps w:val="false"/>
          <w:sz w:val="20"/>
          <w:u w:val="single"/>
        </w:rPr>
        <w:t>Other Leases</w:t>
      </w:r>
      <w:r>
        <w:rPr>
          <w:rFonts w:ascii="Times New Roman;Times;Serif" w:hAnsi="Times New Roman;Times;Serif"/>
          <w:b w:val="false"/>
          <w:i w:val="false"/>
          <w:caps w:val="false"/>
          <w:smallCaps w:val="false"/>
          <w:sz w:val="20"/>
        </w:rPr>
        <w:t>”), Tenant shall have the option to terminate this Lease by providing Landlord written notice to that effect within sixty (60) days after the date of such termination.</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Partial Taking - Tenant’s Rights</w:t>
      </w:r>
      <w:r>
        <w:rPr>
          <w:rFonts w:ascii="Times New Roman;Times;Serif" w:hAnsi="Times New Roman;Times;Serif"/>
          <w:b w:val="false"/>
          <w:i w:val="false"/>
          <w:caps w:val="false"/>
          <w:smallCaps w:val="false"/>
          <w:sz w:val="20"/>
        </w:rPr>
        <w:t>. If any part of the Building becomes subject to a Taking and such Taking will prevent Tenant from conducting on a permanent basis its business in the Premises in a manner reasonably comparable to that conducted immediately before such Taking, or if Landlord does not commit to repairing within 180 days after the date of the Taking any damage caused by the Taking and adversely affecting Tenant’s conducting business in the Premises,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Partial Taking - Landlord’s Rights</w:t>
      </w:r>
      <w:r>
        <w:rPr>
          <w:rFonts w:ascii="Times New Roman;Times;Serif" w:hAnsi="Times New Roman;Times;Serif"/>
          <w:b w:val="false"/>
          <w:i w:val="false"/>
          <w:caps w:val="false"/>
          <w:smallCaps w:val="false"/>
          <w:sz w:val="20"/>
        </w:rPr>
        <w:t>. If any material portion, but less than all, of the Building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Section 15(b). In the event Landlord exercises its termination right under Section 15(c) of either or both of the Other Leases, Tenant shall have the option to terminate this Lease by providing Landlord written notice to that effect within sixty (60) days after the date of such Landlord termination.</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Temporary Taking</w:t>
      </w:r>
      <w:r>
        <w:rPr>
          <w:rFonts w:ascii="Times New Roman;Times;Serif" w:hAnsi="Times New Roman;Times;Serif"/>
          <w:b w:val="false"/>
          <w:i w:val="false"/>
          <w:caps w:val="false"/>
          <w:smallCaps w:val="false"/>
          <w:sz w:val="20"/>
        </w:rPr>
        <w:t>. If all or any portion of the Premises becomes subject to a Taking for a limited period of time,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 (1) compensates Tenant for its loss of use of the Premises within the Term and (2) reimburses Tenant for the reasonable out-of-pocket costs actually incurred by Tenant to restore the Premises as required by this Section.</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Fire or Other Casualty</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 Estimate</w:t>
      </w:r>
      <w:r>
        <w:rPr>
          <w:rFonts w:ascii="Times New Roman;Times;Serif" w:hAnsi="Times New Roman;Times;Serif"/>
          <w:b w:val="false"/>
          <w:i w:val="false"/>
          <w:caps w:val="false"/>
          <w:smallCaps w:val="false"/>
          <w:sz w:val="20"/>
        </w:rPr>
        <w:t>. If the Premises or the Building are damaged by fire or other casualty (a “</w:t>
      </w:r>
      <w:r>
        <w:rPr>
          <w:rFonts w:ascii="Times New Roman;Times;Serif" w:hAnsi="Times New Roman;Times;Serif"/>
          <w:b/>
          <w:i w:val="false"/>
          <w:caps w:val="false"/>
          <w:smallCaps w:val="false"/>
          <w:sz w:val="20"/>
          <w:u w:val="single"/>
        </w:rPr>
        <w:t>Casualty</w:t>
      </w:r>
      <w:r>
        <w:rPr>
          <w:rFonts w:ascii="Times New Roman;Times;Serif" w:hAnsi="Times New Roman;Times;Serif"/>
          <w:b w:val="false"/>
          <w:i w:val="false"/>
          <w:caps w:val="false"/>
          <w:smallCaps w:val="false"/>
          <w:sz w:val="20"/>
        </w:rPr>
        <w:t>”), Landlord shall, within 90 days after such Casualty, deliver to Tenant a good faith estimate (the “</w:t>
      </w:r>
      <w:r>
        <w:rPr>
          <w:rFonts w:ascii="Times New Roman;Times;Serif" w:hAnsi="Times New Roman;Times;Serif"/>
          <w:b/>
          <w:i w:val="false"/>
          <w:caps w:val="false"/>
          <w:smallCaps w:val="false"/>
          <w:sz w:val="20"/>
          <w:u w:val="single"/>
        </w:rPr>
        <w:t>Damage Notice</w:t>
      </w:r>
      <w:r>
        <w:rPr>
          <w:rFonts w:ascii="Times New Roman;Times;Serif" w:hAnsi="Times New Roman;Times;Serif"/>
          <w:b w:val="false"/>
          <w:i w:val="false"/>
          <w:caps w:val="false"/>
          <w:smallCaps w:val="false"/>
          <w:sz w:val="20"/>
        </w:rPr>
        <w:t>”) of the cost and time needed to repair the damage caused by such Casualty.</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Rights</w:t>
      </w:r>
      <w:r>
        <w:rPr>
          <w:rFonts w:ascii="Times New Roman;Times;Serif" w:hAnsi="Times New Roman;Times;Serif"/>
          <w:b w:val="false"/>
          <w:i w:val="false"/>
          <w:caps w:val="false"/>
          <w:smallCaps w:val="false"/>
          <w:sz w:val="20"/>
        </w:rPr>
        <w:t>. If a material portion of the Premises is damaged by Casualty such that Tenant is prevented from 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Times New Roman;Times;Serif" w:hAnsi="Times New Roman;Times;Serif"/>
          <w:b/>
          <w:i w:val="false"/>
          <w:caps w:val="false"/>
          <w:smallCaps w:val="false"/>
          <w:sz w:val="20"/>
          <w:u w:val="single"/>
        </w:rPr>
        <w:t>Repair Period</w:t>
      </w:r>
      <w:r>
        <w:rPr>
          <w:rFonts w:ascii="Times New Roman;Times;Serif" w:hAnsi="Times New Roman;Times;Serif"/>
          <w:b w:val="false"/>
          <w:i w:val="false"/>
          <w:caps w:val="false"/>
          <w:smallCaps w:val="false"/>
          <w:sz w:val="20"/>
        </w:rPr>
        <w:t>”), then Tenant may terminate this Lease by delivering written notice to Landlord of its election to terminate within 30 days after the Damage Notice has been delivered to Tenant.</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Rights</w:t>
      </w:r>
      <w:r>
        <w:rPr>
          <w:rFonts w:ascii="Times New Roman;Times;Serif" w:hAnsi="Times New Roman;Times;Serif"/>
          <w:b w:val="false"/>
          <w:i w:val="false"/>
          <w:caps w:val="false"/>
          <w:smallCaps w:val="false"/>
          <w:sz w:val="20"/>
        </w:rPr>
        <w:t>. If (i) a Casualty damages the Premises or a material portion of the Building, (ii) Tenant does not agree in writing within ten (10) business days after receipt of the Damage Notice to pay for the cost of repair of such damage and restoration of the Premises pursuant to this Section 16, and (iii) either (1) Landlord estimates that the damage to the Premises cannot be repaired within the Repair Period, (2) 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plus applicable deductibles (provided Landlord carries the insurance required hereunder) or Landlord makes a good faith determination that restoring the Building would be uneconomical, or (4) Landlord is required to pay any insurance proceeds arising out of the Casualty to a Landlord’s Mortgagee such that remaining insurance proceeds are insufficient to cover the costs of rebuilding, then Landlord may terminate this Lease by giving written notice of its election to terminate within 30 days after the Damage Notice has been delivered to Tenant. In the event Landlord exercises its termination right under Section 16(c) of either or both of the Other Leases, Tenant shall have the option to terminate this Lease by providing Landlord written notice to that effect within sixty (60) days after the date of such Landlord termination.</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 Obligation</w:t>
      </w:r>
      <w:r>
        <w:rPr>
          <w:rFonts w:ascii="Times New Roman;Times;Serif" w:hAnsi="Times New Roman;Times;Serif"/>
          <w:b w:val="false"/>
          <w:i w:val="false"/>
          <w:caps w:val="false"/>
          <w:smallCaps w:val="false"/>
          <w:sz w:val="20"/>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(plus applicable deductible amounts). If this Lease is terminated under the provisions of this Section 16,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If Landlord does not complete the restoration of the Premises within 120 days after the time period estimated by Landlord to repair the damage caused by such Casualty as specified in the Damage Notice, as the same may be extended by force majeure or delays caused by a Tenant Party, Tenant may terminate this Lease by delivering written notice to Landlord and Landlord’s Mortgagee following the expiration of such 120-day period (as the same may be extended as set forth above) and prior to the date upon which Landlord substantially completes such restoration. Such termination shall be effective as of the date specified in Tenant’s termination notice (but not earlier than 30 days nor later than 90 days after the date of such notice) as if such date were the date fixed for the expiration of the Term. If Tenant fails to timely give such termination notice, Tenant shall be deemed to have waived its right to terminate this Lease, time being of the essence with respect thereto. Notwithstanding the foregoing, if upon the receipt of Tenant’s written election to terminate this Lease as provided in this Section 15.(d), Landlord reasonably believes it can complete the restoration of the Premises within 30 days following the receipt of such notice, Landlord may, in its sole discretion, elect to proceed with such restoration and, provided Landlord substantially completes such restoration within such 30-day period, Tenant’s election to terminate shall be null and void.</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Abatement of Rent</w:t>
      </w:r>
      <w:r>
        <w:rPr>
          <w:rFonts w:ascii="Times New Roman;Times;Serif" w:hAnsi="Times New Roman;Times;Serif"/>
          <w:b w:val="false"/>
          <w:i w:val="false"/>
          <w:caps w:val="false"/>
          <w:smallCaps w:val="false"/>
          <w:sz w:val="20"/>
        </w:rPr>
        <w:t>. If the Premises are damaged by Casualty, Rent for the portion of the Premises rendered untenantable by the damage shall be abated on a reasonable basis from the date of damage until the completion of Landlord’s repairs (or until the date of termination of this Lease by Landlord or Tenant as provided above, as the case may be), unless the gross negligence or willful misconduct of a Tenant Party caused such damage, in which case, Tenant shall continue to pay Rent without abatement.</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Personal Property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be liable for all taxes levied or assessed against personal property, furniture, or fixtures 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following occurrences shall be an “</w:t>
      </w:r>
      <w:r>
        <w:rPr>
          <w:rFonts w:ascii="Times New Roman;Times;Serif" w:hAnsi="Times New Roman;Times;Serif"/>
          <w:b/>
          <w:i w:val="false"/>
          <w:caps w:val="false"/>
          <w:smallCaps w:val="false"/>
          <w:sz w:val="20"/>
          <w:u w:val="single"/>
        </w:rPr>
        <w:t>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Default</w:t>
      </w:r>
      <w:r>
        <w:rPr>
          <w:rFonts w:ascii="Times New Roman;Times;Serif" w:hAnsi="Times New Roman;Times;Serif"/>
          <w:b w:val="false"/>
          <w:i w:val="false"/>
          <w:caps w:val="false"/>
          <w:smallCaps w:val="false"/>
          <w:sz w:val="20"/>
        </w:rPr>
        <w:t>. Tenant’s failure to pay Rent within three (3) business days of the date due, which failure continues for five (5) days after Landlord has delivered written notice to Tenant that the same is due; however, an Event of Default shall occur hereunder without any obligation of Landlord to give any notice if Tenant fails to pay any regularly scheduled Rent payment within three (3) business days of the date due and, during the 12 month interval preceding such failure, Landlord has given Tenant written notice of failure to pay any regularly scheduled Rent payment on one or more occasions;</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Abandonment</w:t>
      </w:r>
      <w:r>
        <w:rPr>
          <w:rFonts w:ascii="Times New Roman;Times;Serif" w:hAnsi="Times New Roman;Times;Serif"/>
          <w:b w:val="false"/>
          <w:i w:val="false"/>
          <w:caps w:val="false"/>
          <w:smallCaps w:val="false"/>
          <w:sz w:val="20"/>
        </w:rPr>
        <w:t>. Tenant abandons the Premises or any substantial portion thereof;</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Estoppel</w:t>
      </w:r>
      <w:r>
        <w:rPr>
          <w:rFonts w:ascii="Times New Roman;Times;Serif" w:hAnsi="Times New Roman;Times;Serif"/>
          <w:b w:val="false"/>
          <w:i w:val="false"/>
          <w:caps w:val="false"/>
          <w:smallCaps w:val="false"/>
          <w:sz w:val="20"/>
        </w:rPr>
        <w:t>. Tenant fails to provide any estoppel certificate after Landlord’s written request therefor pursuant to Section 26(e) and such failure shall continue for three business days after Landlord’s second written notice thereof to Tenant;</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Tenant fails to procure, maintain and deliver to Landlord evidence of the insurance policies and coverages as required under Section 12(a), and with respect to delivery of evidence of such insurance only, such failure shall continue for five business days after Landlord’s written notice thereof to Tenant;</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Tenant fails to pay and release of record, or diligently contest and bond around, any mechanic’s lien filed against the Premises or the Project for any work performed, materials furnished, or obligation incurred by or at the request of Tenant, within the time and in the manner required by Section 8(d) and such failure shall continue for five business days after Landlord’s written notice thereof to Tenant;</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Tenant’s failure to perform, comply with, or observe any other agreement or obligation of Tenant under this Lease and the continuance of such failure for a period of more than 30 days after Landlord has delivered to Tenant written notice thereof; however, if such failure cannot be cured within such 30-day period (thus excluding, for example, Tenant’s obligation to provide Landlord evidence of Tenant’s insurance coverage) and Tenant commences to cure such failure within such 30-day period and thereafter diligently pursues such cure to completion, then such failure shall not be an Event of Default unless it is not fully cured within an additional 60 days after the expiration of the 30-day period; and</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13"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The filing of a petition by or against Tenant (the term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 shall include, for the purpose of this Section 18(g),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4"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Landlord’s sole remedy for the Event of Default set forth in Subsection 18(b) above (Abandonment) is termination of this Lease. During the existence of any other Event of Default, Landlord may, in addition to all other rights and remedies afforded Landlord hereunder or by law or equity, take any one or more of the following actions:</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5"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Lease</w:t>
      </w:r>
      <w:r>
        <w:rPr>
          <w:rFonts w:ascii="Times New Roman;Times;Serif" w:hAnsi="Times New Roman;Times;Serif"/>
          <w:b w:val="false"/>
          <w:i w:val="false"/>
          <w:caps w:val="false"/>
          <w:smallCaps w:val="false"/>
          <w:sz w:val="20"/>
        </w:rPr>
        <w:t>. Terminate this Lease by giving Tenant written notice thereof, in which event Tenant shall pay to Landlord the sum of (1) all Rent accrued hereunder through the date of termination, (2) all amounts due under Section 20(a), and (3) an amount equal to (A) 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6"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Possession</w:t>
      </w:r>
      <w:r>
        <w:rPr>
          <w:rFonts w:ascii="Times New Roman;Times;Serif" w:hAnsi="Times New Roman;Times;Serif"/>
          <w:b w:val="false"/>
          <w:i w:val="false"/>
          <w:caps w:val="false"/>
          <w:smallCaps w:val="false"/>
          <w:sz w:val="20"/>
        </w:rPr>
        <w:t>. Terminate Tenant’s right to possess the Premises without terminating this Lease by giving written notice thereof to Tenant, in which event Tenant shall pay to Landlord (1) all Rent and other amounts accrued hereunder to the date of termination of possession, (2) all amounts due from time to time under Section 20(a), and (3) all Rent and other net sums required hereunder to be paid by Tenant during the remainder of the Term, diminished by any net sums thereafter received by Landlord through reletting the Premises during such period, after deducting all reasonable costs incurred by Landlord in reletting the Premises. If Landlord elects to proceed under this Section 19(b),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reasonable discretion may determine (including a term different from the Term, rental concessions, and alterations to, and improvement of, the Premises); however, Landlord shall not be obligated to relet the Premises before leasing other portions of the Building or Complex and Landlord shall not be obligated to accept any prospective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19(b). If Landlord elects to proceed under this Section 19(b), it may at any time elect to terminate this Lease under Section 19(a);</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 Acts on Behalf of Tenant</w:t>
      </w:r>
      <w:r>
        <w:rPr>
          <w:rFonts w:ascii="Times New Roman;Times;Serif" w:hAnsi="Times New Roman;Times;Serif"/>
          <w:b w:val="false"/>
          <w:i w:val="false"/>
          <w:caps w:val="false"/>
          <w:smallCaps w:val="false"/>
          <w:sz w:val="20"/>
        </w:rPr>
        <w:t>. Perform any act Tenant is obligated to perform under the terms of this Lease (and enter upon the Premises in connection therewith if necessary) in Tenant’s name and on Tenant’s behalf, without being liable for any claim for damages therefor, except to the extent due to Landlord’s gross negligence or willful misconduct in performing such obligation, and Tenant shall reimburse Landlord on demand for any reasonable expenses which Landlord may incur in thus effecting compliance with Tenant’s obligations under this Lease (including, but not limited to, collection costs and legal expenses), plus interest thereon at the Default Rate;</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8"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 of Services</w:t>
      </w:r>
      <w:r>
        <w:rPr>
          <w:rFonts w:ascii="Times New Roman;Times;Serif" w:hAnsi="Times New Roman;Times;Serif"/>
          <w:b w:val="false"/>
          <w:i w:val="false"/>
          <w:caps w:val="false"/>
          <w:smallCaps w:val="false"/>
          <w:sz w:val="20"/>
        </w:rPr>
        <w:t>. Suspend any services required to be provided by Landlord hereunder without being liable for any claim for damages therefor; or</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9"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Alteration of Locks</w:t>
      </w:r>
      <w:r>
        <w:rPr>
          <w:rFonts w:ascii="Times New Roman;Times;Serif" w:hAnsi="Times New Roman;Times;Serif"/>
          <w:b w:val="false"/>
          <w:i w:val="false"/>
          <w:caps w:val="false"/>
          <w:smallCaps w:val="false"/>
          <w:sz w:val="20"/>
        </w:rPr>
        <w:t>. Additionally, with or without notice, and to the extent permitted by Law, Landlord may alter locks or other security devices at the Premises to deprive Tenant of access thereto, and Landlord shall not be required to provide a new key or right of access to Tenant.</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20"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by Tenant; Non-Waiver; Cumulative Remedies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right"/>
                <wp:docPr id="221" name="Frame2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by Tenant</w:t>
      </w:r>
      <w:r>
        <w:rPr>
          <w:rFonts w:ascii="Times New Roman;Times;Serif" w:hAnsi="Times New Roman;Times;Serif"/>
          <w:b w:val="false"/>
          <w:i w:val="false"/>
          <w:caps w:val="false"/>
          <w:smallCaps w:val="false"/>
          <w:sz w:val="20"/>
        </w:rPr>
        <w:t>. Upon any Event of Default, Tenant shall pay to Landlord all costs incurred by Landlord (including court costs and reasonable attorneys’ fees and expenses) in (1) obtaining possession of the Premises, (2) removing and storing Tenant’s or any other occupant’s property, (3) repairing, restoring, or otherwise putting the Premises into the condition required at expiration of the Term, (4) if Tenant is dispossessed of the Premises and this Lease is not terminated, reletting all or any part of the Premises (including reasonable brokerage commissions), (5) performing Tenant’s obligations which Tenant failed to perform, and (6) 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457200" cy="175260"/>
                <wp:effectExtent l="0" t="0" r="0" b="0"/>
                <wp:wrapSquare wrapText="right"/>
                <wp:docPr id="222" name="Frame2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457200" cy="175260"/>
                <wp:effectExtent l="0" t="0" r="0" b="0"/>
                <wp:wrapSquare wrapText="right"/>
                <wp:docPr id="223" name="Frame2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Any and all remedies set forth in this Lease: (1) shall be in addition to any and all other 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457200" cy="175260"/>
                <wp:effectExtent l="0" t="0" r="0" b="0"/>
                <wp:wrapSquare wrapText="right"/>
                <wp:docPr id="224" name="Frame2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Lien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Tenant’s property, racking, shelves, wall display systems, bins, machinery, fixtures, security devices (including security gates and security cameras), generators, furnishings, equipment, accounts receivable, inventory, and other personal property (collectively, “</w:t>
      </w:r>
      <w:r>
        <w:rPr>
          <w:rFonts w:ascii="Times New Roman;Times;Serif" w:hAnsi="Times New Roman;Times;Serif"/>
          <w:b/>
          <w:i w:val="false"/>
          <w:caps w:val="false"/>
          <w:smallCaps w:val="false"/>
          <w:sz w:val="20"/>
          <w:u w:val="single"/>
        </w:rPr>
        <w:t>Tenant’s Property</w:t>
      </w:r>
      <w:r>
        <w:rPr>
          <w:rFonts w:ascii="Times New Roman;Times;Serif" w:hAnsi="Times New Roman;Times;Serif"/>
          <w:b w:val="false"/>
          <w:i w:val="false"/>
          <w:caps w:val="false"/>
          <w:smallCaps w:val="false"/>
          <w:sz w:val="20"/>
        </w:rPr>
        <w:t>”), however installed or located on or about the Premises, will be and remain the property of Tenant or its lender, service providers, contractors, or vendors (and their respective lenders or contractors) (collectively, “</w:t>
      </w:r>
      <w:r>
        <w:rPr>
          <w:rFonts w:ascii="Times New Roman;Times;Serif" w:hAnsi="Times New Roman;Times;Serif"/>
          <w:b/>
          <w:i w:val="false"/>
          <w:caps w:val="false"/>
          <w:smallCaps w:val="false"/>
          <w:sz w:val="20"/>
          <w:u w:val="single"/>
        </w:rPr>
        <w:t>Vendors</w:t>
      </w:r>
      <w:r>
        <w:rPr>
          <w:rFonts w:ascii="Times New Roman;Times;Serif" w:hAnsi="Times New Roman;Times;Serif"/>
          <w:b w:val="false"/>
          <w:i w:val="false"/>
          <w:caps w:val="false"/>
          <w:smallCaps w:val="false"/>
          <w:sz w:val="20"/>
        </w:rPr>
        <w:t>”) and may be installed, modified, and removed at any time and from time to time during the Term without Landlord’s consent. In no event (including an Event of Default) will Landlord have any lien or other security interest in any of Tenant’s Property located in the Premises or elsewhere, and Landlord hereby expressly waives and releases any lien or other security interest however created or arising to secure the obligations of Tenant under this Lease until such time as Landlord may obtain an enforceable judgment against Tenant from a court with jurisdiction of Tenant or Tenant’s Property, at which time Landlord shall have such lien rights at law and in equity to enforce and collect such judgment and Tenant’s obligations under this Lease. At Tenant’s request and cost, Landlord will execute a lien waiver and access agreement requested by Vendors, in a form reasonably acceptable to Landlord and such Vendors or other institutional lenders, so long as the applicable Vendor agrees (a) to provide Landlord with at least five (5) business days’ notice before exercising any remedy to remove Tenant’s Property; (b) to allow a representative of Landlord to be present during the exercise of any such remedy; (c) to repair and restore any damage caused by the removal of Tenant’s Property; (d) to carry at least the same level of insurance as required of Tenant during any time that such third party is on the Premises; and (e) to indemnify, defend, and hold harmless Landlord from any claims arising out of or relating to such party’s exercise of its rights.</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457200" cy="175260"/>
                <wp:effectExtent l="0" t="0" r="0" b="0"/>
                <wp:wrapSquare wrapText="right"/>
                <wp:docPr id="225" name="Frame2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Surrender of Premises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right"/>
                <wp:docPr id="226" name="Frame2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Surrender</w:t>
      </w:r>
      <w:r>
        <w:rPr>
          <w:rFonts w:ascii="Times New Roman;Times;Serif" w:hAnsi="Times New Roman;Times;Serif"/>
          <w:b w:val="false"/>
          <w:i w:val="false"/>
          <w:caps w:val="false"/>
          <w:smallCaps w:val="false"/>
          <w:sz w:val="20"/>
        </w:rPr>
        <w:t>.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Sections 15 and 16 shall control) excepted, and shall deliver to Landlord all keys to the Premises.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All alterations, additions or improvements made in or upon the Premises shall, at Landlord’s option, (to be exercised pursuant to following sentences), either be removed by Tenant prior to the end of the Term (and Tenant shall repair all damage caused thereby), or shall remain in the Premises at the end of the Term without compensation to Tenant. If (1) Tenant either (a) submits plans and specifications to Landlord for proposed alterations, additions or improvements to the Premises that require Landlord’s review under this Lease, or (b) provides Landlord a Non-Structural Alterations Notice pursuant to Section 8(a) above, and (2) Tenant delivers a Removal Notice (defined below) to Landlord contemporaneously with such submission by Tenant, then Landlord will notify Tenant whether Tenant will be required to remove such alterations, additions or improvements to the Premises at the expiration of the Term. A “</w:t>
      </w:r>
      <w:r>
        <w:rPr>
          <w:rFonts w:ascii="Times New Roman;Times;Serif" w:hAnsi="Times New Roman;Times;Serif"/>
          <w:b/>
          <w:i w:val="false"/>
          <w:caps w:val="false"/>
          <w:smallCaps w:val="false"/>
          <w:sz w:val="20"/>
          <w:u w:val="single"/>
        </w:rPr>
        <w:t>Removal Notice</w:t>
      </w:r>
      <w:r>
        <w:rPr>
          <w:rFonts w:ascii="Times New Roman;Times;Serif" w:hAnsi="Times New Roman;Times;Serif"/>
          <w:b w:val="false"/>
          <w:i w:val="false"/>
          <w:caps w:val="false"/>
          <w:smallCaps w:val="false"/>
          <w:sz w:val="20"/>
        </w:rPr>
        <w:t>” means a written notice from Tenant to Landlord that conspicuously states in bold, uppercase typeface that Tenant will not be required to remove the alterations, additions or improvements in question at the end of the Term unless Landlord notifies Tenant in writing that Landlord will require Tenant to remove such alterations prior to the expiration of the Term. If Tenant does not deliver a Removal Notice to Landlord with respect to any alterations, additions or improvements to the Premises (whether such approval is required hereunder or otherwise), Tenant shall, at Landlord’s written request, remove all such alterations, additions, improvements, trade fixtures, personal property, equipment, wiring, conduits, cabling, and furniture (including Tenant’s Off-Premises Equipment) as Landlord may request.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under Section 21. The provisions of this Section 22 shall survive the end of the Term.</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457200" cy="175260"/>
                <wp:effectExtent l="0" t="0" r="0" b="0"/>
                <wp:wrapSquare wrapText="right"/>
                <wp:docPr id="227" name="Frame2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Non-Standard Improvements</w:t>
      </w:r>
      <w:r>
        <w:rPr>
          <w:rFonts w:ascii="Times New Roman;Times;Serif" w:hAnsi="Times New Roman;Times;Serif"/>
          <w:b w:val="false"/>
          <w:i w:val="false"/>
          <w:caps w:val="false"/>
          <w:smallCaps w:val="false"/>
          <w:sz w:val="20"/>
        </w:rPr>
        <w:t>. Notwithstanding Section 22(a) above, Tenant shall remove such Non-Standard Improvements (defined below) as Landlord requests; however, Tenant shall not be required to remove any Non-Standard Improvements to the Premises or the Project if Landlord has specifically agreed in writing that the improvement or addition in question need not be removed. As used herein, “</w:t>
      </w:r>
      <w:r>
        <w:rPr>
          <w:rFonts w:ascii="Times New Roman;Times;Serif" w:hAnsi="Times New Roman;Times;Serif"/>
          <w:b/>
          <w:i w:val="false"/>
          <w:caps w:val="false"/>
          <w:smallCaps w:val="false"/>
          <w:sz w:val="20"/>
          <w:u w:val="single"/>
        </w:rPr>
        <w:t>Non-Standard Improvements</w:t>
      </w:r>
      <w:r>
        <w:rPr>
          <w:rFonts w:ascii="Times New Roman;Times;Serif" w:hAnsi="Times New Roman;Times;Serif"/>
          <w:b w:val="false"/>
          <w:i w:val="false"/>
          <w:caps w:val="false"/>
          <w:smallCaps w:val="false"/>
          <w:sz w:val="20"/>
        </w:rPr>
        <w:t>” means, collectively, any cleanroom space installed by Tenant within the Premises, any roof penetrations, alterations, additions, improvements, trade fixtures, personal property, equipment, wiring, conduits, cabling, and furniture related to such cleanroom or that are not typical warehouse improvements (in Landlord’s commercially reasonable judgment). Tenant shall repair all damage caused by removal of Non-Standard Improvements by Tenant pursuant to this Section 22(b), and upon removal of the Non-Standard Improvements, Tenant shall restore the applicable portions of the Premises to substantially the same condition as of the date of this Lease, including the roof. All such restoration work which may affect the Building’s Structure or the Building’s Systems must be approved by the Building’s engineer of record, at Tenant’s expense and, at Landlord’s election, must be performed by Landlord’s usual contractor for such work. All restoration work affecting the Building roof must be performed by Landlord’s roofing contractor, and will not be permitted if it would void or reduce the warranty on the roof.</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457200" cy="175260"/>
                <wp:effectExtent l="0" t="0" r="0" b="0"/>
                <wp:wrapSquare wrapText="right"/>
                <wp:docPr id="228" name="Frame2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Holding Over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fails to vacate the Premises at the end of the Term, then Tenant shall be a tenant at sufferance and, (a) Tenant shall pay, in addition to the other Rent, Basic Rent equal to 150% of the Rent payable during the last month of the Term, and (b) Tenant shall otherwise continue to be subject to all of Tenant’s obligations under this Lease. The provisions of this Section 23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preceding sentence, Tenant shall not be liable for lost profits or other consequential, punitive or special damages in connection with a holdover after the end of the Term unless Landlord has notified Tenant in writing (“</w:t>
      </w:r>
      <w:r>
        <w:rPr>
          <w:rFonts w:ascii="Times New Roman;Times;Serif" w:hAnsi="Times New Roman;Times;Serif"/>
          <w:b/>
          <w:i w:val="false"/>
          <w:caps w:val="false"/>
          <w:smallCaps w:val="false"/>
          <w:sz w:val="20"/>
          <w:u w:val="single"/>
        </w:rPr>
        <w:t>Notice to Vacate</w:t>
      </w:r>
      <w:r>
        <w:rPr>
          <w:rFonts w:ascii="Times New Roman;Times;Serif" w:hAnsi="Times New Roman;Times;Serif"/>
          <w:b w:val="false"/>
          <w:i w:val="false"/>
          <w:caps w:val="false"/>
          <w:smallCaps w:val="false"/>
          <w:sz w:val="20"/>
        </w:rPr>
        <w:t>”) that Landlord has executed a bona fide letter of intent with another tenant for any portion of the Premises and Tenant fails to vacate the Premises by the later of (i) the date that is thirty (30) days after delivery of the Notice to Vacate, or (ii) the end of the Term.</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right"/>
                <wp:docPr id="229" name="Frame2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Rights Reserved by Landlord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the exercise of such rights does not unreasonably interfere with Tenant’s occupancy of the Premises, Landlord shall have the following rights:</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457200" cy="175260"/>
                <wp:effectExtent l="0" t="0" r="0" b="0"/>
                <wp:wrapSquare wrapText="right"/>
                <wp:docPr id="230" name="Frame2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Building Operations</w:t>
      </w:r>
      <w:r>
        <w:rPr>
          <w:rFonts w:ascii="Times New Roman;Times;Serif" w:hAnsi="Times New Roman;Times;Serif"/>
          <w:b w:val="false"/>
          <w:i w:val="false"/>
          <w:caps w:val="false"/>
          <w:smallCaps w:val="false"/>
          <w:sz w:val="20"/>
        </w:rPr>
        <w:t>. To make inspections, repairs, and replacements,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and to change the name of the Building;</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457200" cy="175260"/>
                <wp:effectExtent l="0" t="0" r="0" b="0"/>
                <wp:wrapSquare wrapText="right"/>
                <wp:docPr id="231" name="Frame2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To take such reasonable measures as Landlord deems advisable for the security of the Building and its occupants; evacuating the Building for cause, suspected cause, or for drill purposes; and temporarily denying access to the Building;</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457200" cy="175260"/>
                <wp:effectExtent l="0" t="0" r="0" b="0"/>
                <wp:wrapSquare wrapText="right"/>
                <wp:docPr id="232" name="Frame2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Prospective Purchasers and Lenders</w:t>
      </w:r>
      <w:r>
        <w:rPr>
          <w:rFonts w:ascii="Times New Roman;Times;Serif" w:hAnsi="Times New Roman;Times;Serif"/>
          <w:b w:val="false"/>
          <w:i w:val="false"/>
          <w:caps w:val="false"/>
          <w:smallCaps w:val="false"/>
          <w:sz w:val="20"/>
        </w:rPr>
        <w:t>. To enter the Premises at all reasonable hours, upon reasonable prior notice, to show the Premises to prospective purchasers or lenders; and</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457200" cy="175260"/>
                <wp:effectExtent l="0" t="0" r="0" b="0"/>
                <wp:wrapSquare wrapText="right"/>
                <wp:docPr id="233" name="Frame2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Prospective Tenants</w:t>
      </w:r>
      <w:r>
        <w:rPr>
          <w:rFonts w:ascii="Times New Roman;Times;Serif" w:hAnsi="Times New Roman;Times;Serif"/>
          <w:b w:val="false"/>
          <w:i w:val="false"/>
          <w:caps w:val="false"/>
          <w:smallCaps w:val="false"/>
          <w:sz w:val="20"/>
        </w:rPr>
        <w:t>. At any time during the last 12 months of the Term (or earlier if Tenant has notified Landlord in writing that it does not desire to renew the Term) or at any time following the occurrence of an Event of Default which remains uncured, to enter the Premises at all reasonable hours, upon reasonable prior notice, to show the Premises to prospective tenants.</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457200" cy="175260"/>
                <wp:effectExtent l="0" t="0" r="0" b="0"/>
                <wp:wrapSquare wrapText="right"/>
                <wp:docPr id="234" name="Frame2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Landlord’s rights pursuant to this Section 24, (i) Landlord shall use reasonable efforts to not materially and adversely interfere with the operations of Tenant’s business, and (ii) Tenant shall have the right to accompany Tenant during such access to the Premises, and to prevent Landlord from entering into secure areas that are identified to Landlord prior to such entry (except in cases of real or apparent emergency). Prior to permitting a prospective purchaser, prospective tenant or any other party not acting on Landlord’s behalf from entering the Premises, Landlord shall use commercially reasonable efforts to obtain non-disclosure agreements from such prospective purchasers or prospective tenants on Tenant’s then form NDA, subject to reasonable comments from such prospective purchaser or prospective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457200" cy="175260"/>
                <wp:effectExtent l="0" t="0" r="0" b="0"/>
                <wp:wrapSquare wrapText="right"/>
                <wp:docPr id="235" name="Frame2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75260"/>
                <wp:effectExtent l="0" t="0" r="0" b="0"/>
                <wp:wrapSquare wrapText="right"/>
                <wp:docPr id="236" name="Frame2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 Transfer</w:t>
      </w:r>
      <w:r>
        <w:rPr>
          <w:rFonts w:ascii="Times New Roman;Times;Serif" w:hAnsi="Times New Roman;Times;Serif"/>
          <w:b w:val="false"/>
          <w:i w:val="false"/>
          <w:caps w:val="false"/>
          <w:smallCaps w:val="false"/>
          <w:sz w:val="20"/>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75260"/>
                <wp:effectExtent l="0" t="0" r="0" b="0"/>
                <wp:wrapSquare wrapText="right"/>
                <wp:docPr id="237" name="Frame2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Liability</w:t>
      </w:r>
      <w:r>
        <w:rPr>
          <w:rFonts w:ascii="Times New Roman;Times;Serif" w:hAnsi="Times New Roman;Times;Serif"/>
          <w:b w:val="false"/>
          <w:i w:val="false"/>
          <w:caps w:val="false"/>
          <w:smallCaps w:val="false"/>
          <w:sz w:val="20"/>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and Landlord (and its partners, shareholders or members) shall not be personally liable for any deficiency. The provisions of this Section shall survive any expiration or termination of this Lease. Additionally, Tenant hereby waives its statutory lien under Section 91.004 of the Texas Property Code.</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457200" cy="175260"/>
                <wp:effectExtent l="0" t="0" r="0" b="0"/>
                <wp:wrapSquare wrapText="right"/>
                <wp:docPr id="238" name="Frame2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 (collectively, “</w:t>
      </w:r>
      <w:r>
        <w:rPr>
          <w:rFonts w:ascii="Times New Roman;Times;Serif" w:hAnsi="Times New Roman;Times;Serif"/>
          <w:b/>
          <w:i w:val="false"/>
          <w:caps w:val="false"/>
          <w:smallCaps w:val="false"/>
          <w:sz w:val="20"/>
          <w:u w:val="single"/>
        </w:rPr>
        <w:t>Force Majeure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457200" cy="175260"/>
                <wp:effectExtent l="0" t="0" r="0" b="0"/>
                <wp:wrapSquare wrapText="right"/>
                <wp:docPr id="239" name="Frame2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Neither Landlord nor Tenant has dealt with any broker or agent in connection with the negotiation or execution of this Lease, other than CBRE, Inc., whose commission shall be paid by Landlord pursuant to a separate written agreement. Tenant and Landlord shall each indemnify the other against all costs, expenses, attorneys’ fees, liens and other liability for commissions or other compensation claimed by any broker or agent claiming the same by, through, or under the indemnifying party.</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457200" cy="175260"/>
                <wp:effectExtent l="0" t="0" r="0" b="0"/>
                <wp:wrapSquare wrapText="right"/>
                <wp:docPr id="240" name="Frame2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Estoppel Certificates</w:t>
      </w:r>
      <w:r>
        <w:rPr>
          <w:rFonts w:ascii="Times New Roman;Times;Serif" w:hAnsi="Times New Roman;Times;Serif"/>
          <w:b w:val="false"/>
          <w:i w:val="false"/>
          <w:caps w:val="false"/>
          <w:smallCaps w:val="false"/>
          <w:sz w:val="20"/>
        </w:rPr>
        <w:t xml:space="preserve">. From time to time, Tenant shall furnish to any party designated by Landlord, within ten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If Tenant does not deliver to Landlord the certificate signed by Tenant within such required time period, Landlord, Landlord’s Mortgagee and any prospective purchaser or mortgagee, may conclusively presume and rely upon the following facts: (1) this Lease is in full force and effect; (2) the terms and provisions of this Lease have not been changed except as otherwise represented by Landlord; (3) not more than one monthly installment of Basic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75260"/>
                <wp:effectExtent l="0" t="0" r="0" b="0"/>
                <wp:wrapSquare wrapText="right"/>
                <wp:docPr id="241" name="Frame2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hereunder shall be in writing and shall be served on the parties at the addresses set forth in the Basic Lease Information. Any such notices shall, unless otherwise provided herein, be given or served (i) by depositing the same in the United States mail, postage paid, certified and addressed to the party to be notified, with return receipt requested, (ii) by overnight delivery using a nationally recognized overnight courier, (iii) by personal delivery, or (iv) by electronic mail addressed to the electronic mail address set forth in the Basic Lease Information for the party to be notified with a confirmation copy delivered by another method permitted under this Section 26(f) (i), (ii) or (iii). Notice given in accordance herewith for all permitted forms of notice other than by electronic mail, shall be effective upon the earlier to occur of actual delivery to the address of the addressee or refusal of receipt by the addressee (even if such addressee refuses delivery thereof). Notice given by electronic mail in accordance herewith shall be effective upon the entrance of such electronic mail into the information processing system designated by the recipient’s electronic mail address. Except for electronic mail notices as described above, no notice hereunder shall be effective if sent or delivered by electronic means. In no event shall this Lease be entered into, executed, terminated, altered, amended or modified by electronic mail or electronic record, except for the delivery or transmission of signatures as expressly provided in Section 26(z). A party’s address may be changed by written notice to the other party; provided, however, that no notice of a change of address shall be effective until actual receipt of such notice. Copies of notices are for informational purposes only, and a failure to give or receive copies of any notice shall not be deemed a failure to give notice. Notices given by counsel to the Tenant shall be deemed given by Tenant and notices given by counsel to the Landlord shall be deemed given by Landlord. If Landlord sends a default notice or an invoice to Tenant for payment of any rent due hereunder, an email of such default notice and/or invoice shall be sent to Fred Chang (             ), David Kuo (             ), and Ray Du (             ) regardless of any other method of notice sent to the other Tenant notice parties.</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75260"/>
                <wp:effectExtent l="0" t="0" r="0" b="0"/>
                <wp:wrapSquare wrapText="right"/>
                <wp:docPr id="242" name="Frame2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457200" cy="175260"/>
                <wp:effectExtent l="0" t="0" r="0" b="0"/>
                <wp:wrapSquare wrapText="right"/>
                <wp:docPr id="243" name="Frame2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 Binding Effect; No Electronic Records</w:t>
      </w:r>
      <w:r>
        <w:rPr>
          <w:rFonts w:ascii="Times New Roman;Times;Serif" w:hAnsi="Times New Roman;Times;Serif"/>
          <w:b w:val="false"/>
          <w:i w:val="false"/>
          <w:caps w:val="false"/>
          <w:smallCaps w:val="false"/>
          <w:sz w:val="20"/>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(i) by electronic mail as specifically set forth in Section 26(f) and (ii) for the delivery or transmission of signatures as expressly provided in Section 26(z); nor shall the use of the phrase “in writing” or the word “written” be construed to include electronic communications except by electronic mail as specifically set forth in Section 26(f).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75260"/>
                <wp:effectExtent l="0" t="0" r="0" b="0"/>
                <wp:wrapSquare wrapText="right"/>
                <wp:docPr id="244" name="Frame2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Quiet Enjoyment</w:t>
      </w:r>
      <w:r>
        <w:rPr>
          <w:rFonts w:ascii="Times New Roman;Times;Serif" w:hAnsi="Times New Roman;Times;Serif"/>
          <w:b w:val="false"/>
          <w:i w:val="false"/>
          <w:caps w:val="false"/>
          <w:smallCaps w:val="false"/>
          <w:sz w:val="20"/>
        </w:rPr>
        <w:t>. Provided no Event of Default exists, Tenant shall peaceably and quietly hold and enjoy the Premises for the Term, without hindrance from Landlord or any party claiming by, through, or under Landlord, but not otherwise, subject to the terms and conditions of this Lease.</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75260"/>
                <wp:effectExtent l="0" t="0" r="0" b="0"/>
                <wp:wrapSquare wrapText="right"/>
                <wp:docPr id="245" name="Frame2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75260"/>
                <wp:effectExtent l="0" t="0" r="0" b="0"/>
                <wp:wrapSquare wrapText="right"/>
                <wp:docPr id="246" name="Frame2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75260"/>
                <wp:effectExtent l="0" t="0" r="0" b="0"/>
                <wp:wrapSquare wrapText="right"/>
                <wp:docPr id="247" name="Frame2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Lease shall be governed by and construed in accordance with the laws of the state in which the Premises are located.</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75260"/>
                <wp:effectExtent l="0" t="0" r="0" b="0"/>
                <wp:wrapSquare wrapText="right"/>
                <wp:docPr id="248"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Recording</w:t>
      </w:r>
      <w:r>
        <w:rPr>
          <w:rFonts w:ascii="Times New Roman;Times;Serif" w:hAnsi="Times New Roman;Times;Serif"/>
          <w:b w:val="false"/>
          <w:i w:val="false"/>
          <w:caps w:val="false"/>
          <w:smallCaps w:val="false"/>
          <w:sz w:val="20"/>
        </w:rPr>
        <w:t xml:space="preserve">. Landlord and Tenant shall, contemporaneously with their execution and delivery of this Lease, each execute and acknowledge a memorandum of lease respecting this Lease, substantially in the form of </w:t>
      </w:r>
      <w:r>
        <w:rPr>
          <w:rFonts w:ascii="Times New Roman;Times;Serif" w:hAnsi="Times New Roman;Times;Serif"/>
          <w:b/>
          <w:i w:val="false"/>
          <w:caps w:val="false"/>
          <w:smallCaps w:val="false"/>
          <w:sz w:val="20"/>
          <w:u w:val="single"/>
        </w:rPr>
        <w:t>Exhibit J</w:t>
      </w:r>
      <w:r>
        <w:rPr>
          <w:rFonts w:ascii="Times New Roman;Times;Serif" w:hAnsi="Times New Roman;Times;Serif"/>
          <w:b w:val="false"/>
          <w:i w:val="false"/>
          <w:caps w:val="false"/>
          <w:smallCaps w:val="false"/>
          <w:sz w:val="20"/>
        </w:rPr>
        <w:t xml:space="preserve"> attached hereto, which Tenant shall be permitted to record in the applicable public land records for Fort Bend County, Texas. Within ten (10) days after the end of the Term or if this Lease is earlier terminated, Landlord and Tenant shall enter into such documentation as is reasonably required by Landlord or Tenant to remove the memorandum of record.</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75260"/>
                <wp:effectExtent l="0" t="0" r="0" b="0"/>
                <wp:wrapSquare wrapText="right"/>
                <wp:docPr id="249" name="Frame2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Water or Mold Notification</w:t>
      </w:r>
      <w:r>
        <w:rPr>
          <w:rFonts w:ascii="Times New Roman;Times;Serif" w:hAnsi="Times New Roman;Times;Serif"/>
          <w:b w:val="false"/>
          <w:i w:val="false"/>
          <w:caps w:val="false"/>
          <w:smallCaps w:val="false"/>
          <w:sz w:val="20"/>
        </w:rPr>
        <w:t>. To the extent Tenant or its agents or employees discover any water leakage, water damage or mold in or about the Premises or Project, Tenant shall promptly notify Landlord thereof in writing.</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75260"/>
                <wp:effectExtent l="0" t="0" r="0" b="0"/>
                <wp:wrapSquare wrapText="right"/>
                <wp:docPr id="250" name="Frame2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Joint and Several Liability</w:t>
      </w:r>
      <w:r>
        <w:rPr>
          <w:rFonts w:ascii="Times New Roman;Times;Serif" w:hAnsi="Times New Roman;Times;Serif"/>
          <w:b w:val="false"/>
          <w:i w:val="false"/>
          <w:caps w:val="false"/>
          <w:smallCaps w:val="false"/>
          <w:sz w:val="20"/>
        </w:rPr>
        <w:t>. If Tenant is comprised of more than one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75260"/>
                <wp:effectExtent l="0" t="0" r="0" b="0"/>
                <wp:wrapSquare wrapText="right"/>
                <wp:docPr id="251" name="Frame2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Section 26(p) more than once in any 12-month period unless requested by Landlord’s Mortgagee or a prospective buyer or lender of the Building or an Event of Default occurs. Notwithstanding anything to the contrary contained herein, so long as Tenant remains a publicly traded company (or a consolidated subsidiary of a publicly traded company) on a nationally recognized stock exchange and with financial statements that are publicly available, Tenant shall not be required to provide or deliver financial statements or any other information required under this subsection.</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52" name="Frame2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Fees</w:t>
      </w:r>
      <w:r>
        <w:rPr>
          <w:rFonts w:ascii="Times New Roman;Times;Serif" w:hAnsi="Times New Roman;Times;Serif"/>
          <w:b w:val="false"/>
          <w:i w:val="false"/>
          <w:caps w:val="false"/>
          <w:smallCaps w:val="false"/>
          <w:sz w:val="20"/>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 Notwithstanding the foregoing, Tenant’s obligations under this subsection shall never exceed $2,500.00 for any single requested action unless Landlord advises Tenant in advance of the estimate of such costs and allows Tenant to first withdraw such request so as to avoid any such reimbursement obligation.</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53" name="Frame2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Telecommunications</w:t>
      </w:r>
      <w:r>
        <w:rPr>
          <w:rFonts w:ascii="Times New Roman;Times;Serif" w:hAnsi="Times New Roman;Times;Serif"/>
          <w:b w:val="false"/>
          <w:i w:val="false"/>
          <w:caps w:val="false"/>
          <w:smallCaps w:val="false"/>
          <w:sz w:val="20"/>
        </w:rPr>
        <w:t>.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Times;Serif" w:hAnsi="Times New Roman;Times;Serif"/>
          <w:b/>
          <w:i w:val="false"/>
          <w:caps w:val="false"/>
          <w:smallCaps w:val="false"/>
          <w:sz w:val="20"/>
          <w:u w:val="single"/>
        </w:rPr>
        <w:t>Telecommunications Services</w:t>
      </w:r>
      <w:r>
        <w:rPr>
          <w:rFonts w:ascii="Times New Roman;Times;Serif" w:hAnsi="Times New Roman;Times;Serif"/>
          <w:b w:val="false"/>
          <w:i w:val="false"/>
          <w:caps w:val="false"/>
          <w:smallCaps w:val="false"/>
          <w:sz w:val="20"/>
        </w:rPr>
        <w:t>”), for part or all of Tenant’s telecommunications within the Building and from the Building to any other location without Landlord’s prior written consent, not to be unreasonably withheld.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75260"/>
                <wp:effectExtent l="0" t="0" r="0" b="0"/>
                <wp:wrapSquare wrapText="right"/>
                <wp:docPr id="254" name="Frame2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if required by Law (including without limitation those of the United States Securities and Exchange Commission), or in response to a court order or decision or court order or request of a stock exchange, regulatory agency or other authority, to its attorneys, accountants, employees and existing or prospective financial partners provided same are advised by Tenant of the confidential nature of such terms and conditions. Tenant shall be liable for any disclosures made in violation of this Section by Tenant or by any entity or individual to whom the terms of and conditions of this Lease were disclosed or made available by Tenant. The consent by Landlord to any disclosures shall not be deemed to be a waiver on the part of Landlord of any prohibition against any future disclosure. Notwithstanding anything to the contrary in this Lease, Landlord acknowledges and agrees that Tenant may file this Lease with the U.S. Securities and Exchange Commission (SEC) as an exhibit to a Current Report on Form 8-K or other periodic report pursuant to the Securities Exchange Act of 1934, as amended, and such disclosure shall not constitute a breach of the confidentiality provisions herein; provided, however, that prior to any such filing, Tenant shall provide Landlord with advance written notice and a reasonable opportunity to review the proposed filing and request redactions. Tenant agrees to incorporate Landlord’s requested redactions to the extent permitted by applicable SEC rules and regulations (without a formal confidential treatment request under applicable SEC regulations).</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75260"/>
                <wp:effectExtent l="0" t="0" r="0" b="0"/>
                <wp:wrapSquare wrapText="right"/>
                <wp:docPr id="255" name="Frame2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Tenant (if a corporation, partnership or other business entity) hereby represents and warrants to Landlord that Tenant is a duly formed and existing entity qualified to do business in the state in which the Premises are located, that Tenant has full right and authority to execute and deliver this Lease, and that each person signing on behalf of Tenant is authorized to do so.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75260"/>
                <wp:effectExtent l="0" t="0" r="0" b="0"/>
                <wp:wrapSquare wrapText="right"/>
                <wp:docPr id="256" name="Frame2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Service</w:t>
      </w:r>
      <w:r>
        <w:rPr>
          <w:rFonts w:ascii="Times New Roman;Times;Serif" w:hAnsi="Times New Roman;Times;Serif"/>
          <w:b w:val="false"/>
          <w:i w:val="false"/>
          <w:caps w:val="false"/>
          <w:smallCaps w:val="false"/>
          <w:sz w:val="20"/>
        </w:rPr>
        <w:t>. Tenant acknowledges and agrees that, while Landlord may (but shall not be obligated to) patrol the Building or Project, Landlord is not providing any security services with respect to the Premises or Tenant’s Off-Premises Equipment and that Landlord shall not be liable to Tenant for, and Tenant waives any claim against Landlord with respect to, any loss by theft or any other damage suffered or incurred by Tenant in connection with any unauthorized entry into the Premises or any area where Tenant’s Off-Premises Equipment is located or any other breach of security with respect to the Premises or Tenant’s Off-Premises Equipment.</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75260"/>
                <wp:effectExtent l="0" t="0" r="0" b="0"/>
                <wp:wrapSquare wrapText="right"/>
                <wp:docPr id="257" name="Frame2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 of Exhibits</w:t>
      </w:r>
      <w:r>
        <w:rPr>
          <w:rFonts w:ascii="Times New Roman;Times;Serif" w:hAnsi="Times New Roman;Times;Serif"/>
          <w:b w:val="false"/>
          <w:i w:val="false"/>
          <w:caps w:val="false"/>
          <w:smallCaps w:val="false"/>
          <w:sz w:val="20"/>
        </w:rPr>
        <w:t>. All exhibits and attachments attached hereto are incorporated herein by this reference.</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75260"/>
                <wp:effectExtent l="0" t="0" r="0" b="0"/>
                <wp:wrapSquare wrapText="right"/>
                <wp:docPr id="258" name="Frame2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Outline of Premises</w:t>
        <w:br/>
        <w:t>Exhibit B – Description of the Land</w:t>
        <w:br/>
        <w:t>Exhibit C – Building Rules and Regulations</w:t>
        <w:br/>
        <w:t>Exhibit D – Work Letter</w:t>
        <w:br/>
        <w:t>Exhibit E – Form of Confirmation of Commencement Date Letter</w:t>
        <w:br/>
        <w:t>Exhibit F – Form of Tenant Estoppel Certificate</w:t>
        <w:br/>
        <w:t>Exhibit G – Form of SNDA</w:t>
        <w:br/>
        <w:t>Exhibit H – Purchase Option</w:t>
        <w:br/>
        <w:t>Exhibit I – Insurance for Construction Operations</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Prohibited Persons and Transactions</w:t>
      </w:r>
      <w:r>
        <w:rPr>
          <w:rFonts w:ascii="Times New Roman;Times;Serif" w:hAnsi="Times New Roman;Times;Serif"/>
          <w:b w:val="false"/>
          <w:i w:val="false"/>
          <w:caps w:val="false"/>
          <w:smallCaps w:val="false"/>
          <w:sz w:val="20"/>
        </w:rPr>
        <w:t>. Tenant represents and warrants to Landlord that Tenant is currently 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75260"/>
                <wp:effectExtent l="0" t="0" r="0" b="0"/>
                <wp:wrapSquare wrapText="right"/>
                <wp:docPr id="259" name="Frame2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Determination of Charges</w:t>
      </w:r>
      <w:r>
        <w:rPr>
          <w:rFonts w:ascii="Times New Roman;Times;Serif" w:hAnsi="Times New Roman;Times;Serif"/>
          <w:b w:val="false"/>
          <w:i w:val="false"/>
          <w:caps w:val="false"/>
          <w:smallCaps w:val="false"/>
          <w:sz w:val="20"/>
        </w:rPr>
        <w:t>. Landlord and Tenant agree that each provision of this Lease for determining charges and amounts payable by Tenant (including provisions regarding Additional Rent and Tenant’s Proportionate Share of Taxes and Insurance Costs) is commercially reasonable and, as to each such charge or amount, constitutes a statement of the amount of the charge or a method by which the charge is to be computed for purposes of Section 93.012 of the Texas Property Code.</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457200" cy="175260"/>
                <wp:effectExtent l="0" t="0" r="0" b="0"/>
                <wp:wrapSquare wrapText="right"/>
                <wp:docPr id="260" name="Frame2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Invasive Testing</w:t>
      </w:r>
      <w:r>
        <w:rPr>
          <w:rFonts w:ascii="Times New Roman;Times;Serif" w:hAnsi="Times New Roman;Times;Serif"/>
          <w:b w:val="false"/>
          <w:i w:val="false"/>
          <w:caps w:val="false"/>
          <w:smallCaps w:val="false"/>
          <w:sz w:val="20"/>
        </w:rPr>
        <w:t>. Tenant shall not undertake, nor shall Tenant permit any Tenant Party to undertake, any invasive investigation, drilling or sampling of the soil or groundwater at the Project without the prior written consent of Landlord, which consent shall be in Landlord’s sole discretion.</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457200" cy="175260"/>
                <wp:effectExtent l="0" t="0" r="0" b="0"/>
                <wp:wrapSquare wrapText="right"/>
                <wp:docPr id="261" name="Frame2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Lease may be executed in any number of counterparts, each of which shall be deemed to be an original, and all of such counterparts shall constitute one Lease. To facilitate execution of this Lease, the parties may execute and exchange signature pages by facsimile or via electronic mail (*.pdf or similar file types). The parties further agree that counterparts of this Lease may be signed electronically via Adobe Sign, DocuSign protocol or other electronic platform. All such signatures may be used in the place of original “wet ink” signatures to this Lease and shall have the same legal effect as the physical delivery of an original signature.</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457200" cy="175260"/>
                <wp:effectExtent l="0" t="0" r="0" b="0"/>
                <wp:wrapSquare wrapText="right"/>
                <wp:docPr id="262" name="Frame2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(z)</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57200" cy="175260"/>
                <wp:effectExtent l="0" t="0" r="0" b="0"/>
                <wp:wrapSquare wrapText="right"/>
                <wp:docPr id="263" name="Frame2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Prohibition against Hazardous Materials</w:t>
      </w:r>
      <w:r>
        <w:rPr>
          <w:rFonts w:ascii="Times New Roman;Times;Serif" w:hAnsi="Times New Roman;Times;Serif"/>
          <w:b w:val="false"/>
          <w:i w:val="false"/>
          <w:caps w:val="false"/>
          <w:smallCaps w:val="false"/>
          <w:sz w:val="20"/>
        </w:rPr>
        <w:t>. Except for Hazardous Materials contained in products used by Tenant in de minimis quantities for ordinary cleaning and office purposes, Tenant shall not permit or cause any party to bring any Hazardous Materials upon the Premises or in the Project or transport, store, use, generate, manufacture, dispose, or release any Hazardous Materials on or from the Premises or the Project without Landlord’s prior written consent.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or in the Project, and Tenant shall promptly deliver to Landlord a copy of any notice of violation relating to the Premises or the Project of any Environmental Requirement.</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457200" cy="175260"/>
                <wp:effectExtent l="0" t="0" r="0" b="0"/>
                <wp:wrapSquare wrapText="right"/>
                <wp:docPr id="264" name="Frame2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u w:val="single"/>
        </w:rPr>
        <w:t>Environmental Requirements</w:t>
      </w:r>
      <w:r>
        <w:rPr>
          <w:rFonts w:ascii="Times New Roman;Times;Serif" w:hAnsi="Times New Roman;Times;Serif"/>
          <w:b w:val="false"/>
          <w:i w:val="false"/>
          <w:caps w:val="false"/>
          <w:smallCaps w:val="false"/>
          <w:sz w:val="20"/>
        </w:rPr>
        <w:t xml:space="preserve">” means all Laws regulating or relating to health, safety, or environmental conditions on, under, or about the Premises or the Project or the environment including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nuisance or trespass, and any other requirements of Section 14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this Lease. The term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means and includes any substance, material, waste, pollutant, or contaminant that is or could be regulated under any Environmental Requirement or that may adversely affect human health or the environment, including any solid 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the “owner” and “operator” of Tenant’s “facility” and the “owner” of all Hazardous Materials brought on the Premises or the Project by a Tenant Party and the wastes, by-products, or residues generated, resulting, or produced therefrom.</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457200" cy="175260"/>
                <wp:effectExtent l="0" t="0" r="0" b="0"/>
                <wp:wrapSquare wrapText="right"/>
                <wp:docPr id="265" name="Frame2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 of Hazardous Materials</w:t>
      </w:r>
      <w:r>
        <w:rPr>
          <w:rFonts w:ascii="Times New Roman;Times;Serif" w:hAnsi="Times New Roman;Times;Serif"/>
          <w:b w:val="false"/>
          <w:i w:val="false"/>
          <w:caps w:val="false"/>
          <w:smallCaps w:val="false"/>
          <w:sz w:val="20"/>
        </w:rPr>
        <w:t>. Tenant, at its sole cost and expense, shall remove all Hazardous Materials stored, disposed of or otherwise released by a Tenant Party onto or from the Premises or the Project, in a manner and to a level satisfactory to Landlord in its reasonable discretion, but in no event to a level and in a manner less than that which complies with all Environmental Requirements and does not limit any future uses of the Premises or the Project or require the recording of any deed restriction or notice regarding the Premises or the Project. Tenant shall perform such work at any time during the period of this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an action to compel Tenant to perform such work), perform such work at Tenant’s cost. Tenant shall pay all costs incurred by Landlord in performing such work within thirty (30) days after Landlord’s request therefor. Such work performed by Landlord is on behalf of Tenant and Tenant remains the owner, generator, operator, transporter, and/or arranger of the Hazardous Materials stored, disposed of or otherwise released by a Tenant Party onto or from the Premises or the Project for purposes of Environmental Requirements. Tenant agrees not to enter into any agreement with any person, including any governmental authority, regarding the removal of Hazardous Materials that have been disposed of or otherwise released onto or from the Premises or the Project without the written approval of the Landlord.</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457200" cy="175260"/>
                <wp:effectExtent l="0" t="0" r="0" b="0"/>
                <wp:wrapSquare wrapText="right"/>
                <wp:docPr id="266" name="Frame2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Indemnity</w:t>
      </w:r>
      <w:r>
        <w:rPr>
          <w:rFonts w:ascii="Times New Roman;Times;Serif" w:hAnsi="Times New Roman;Times;Serif"/>
          <w:b w:val="false"/>
          <w:i w:val="false"/>
          <w:caps w:val="false"/>
          <w:smallCaps w:val="false"/>
          <w:sz w:val="20"/>
        </w:rPr>
        <w:t>. Tenant shall indemnify, defend, and hold Landlord harmless from and against any and all losses (including diminution in value of the Premises or the Project and loss of rental income from the Project), liabilities (INCLUDING ANY STRICT LIABILITY), claims, demands, actions, suits, damages (including punitive damages), expenses (including remediation, removal, repair, corrective action, or cleanup expenses), and costs (including actual attorneys’ fees, consultant fees or expert fees and including removal or management of any asbestos brought into the Premises or the Project or disturbed in breach of the requirements of this Section 27, regardless of whether such removal or management is required by Law) which are brought or recoverable against, or suffered or incurred by Landlord as a result of any release of Hazardous Materials or any breach of the requirements under this Section 27 by a Tenant Party regardless of whether Tenant had knowledge of such noncompliance. The obligations of Tenant under this Section 27 shall survive any expiration or termination of this Lease.</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457200" cy="175260"/>
                <wp:effectExtent l="0" t="0" r="0" b="0"/>
                <wp:wrapSquare wrapText="right"/>
                <wp:docPr id="267" name="Frame2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Inspections and Tests</w:t>
      </w:r>
      <w:r>
        <w:rPr>
          <w:rFonts w:ascii="Times New Roman;Times;Serif" w:hAnsi="Times New Roman;Times;Serif"/>
          <w:b w:val="false"/>
          <w:i w:val="false"/>
          <w:caps w:val="false"/>
          <w:smallCaps w:val="false"/>
          <w:sz w:val="20"/>
        </w:rPr>
        <w:t>. Landlord shall have access to, and a right to perform inspections and tests of, the Premises to determine Tenant’s compliance with Environmental Requirements, its obligations under this Section 27,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or the Project. Tenant shall, within five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 Materials onto or from the Premises or the Project. Tenant shall not undertake, nor shall Tenant permit any Tenant Party to undertake, any invasive investigation, drilling or sampling of the soil or groundwater at the Premises or the Project without the prior written consent of Landlord, which consent shall in Landlord’s sole discretion.</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457200" cy="175260"/>
                <wp:effectExtent l="0" t="0" r="0" b="0"/>
                <wp:wrapSquare wrapText="right"/>
                <wp:docPr id="268" name="Frame2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Parking</w:t>
      </w:r>
      <w:r>
        <w:rPr>
          <w:rFonts w:ascii="Times New Roman;Times;Serif" w:hAnsi="Times New Roman;Times;Serif"/>
          <w:b w:val="false"/>
          <w:i w:val="false"/>
          <w:caps w:val="false"/>
          <w:smallCaps w:val="false"/>
          <w:sz w:val="20"/>
        </w:rPr>
        <w:t>. Tenant shall have the exclusive right to use all of the parking spaces associated with the Building. Landlord reserves the right to initiate steps to control the parking utilization through gates, access cards, hang-tags or other means as appropriate. Parking spaces will be available to Tenant without charge during the initial Term. Landlord shall not be responsible for enforcing Tenant’s parking rights against third parties.</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457200" cy="175260"/>
                <wp:effectExtent l="0" t="0" r="0" b="0"/>
                <wp:wrapSquare wrapText="right"/>
                <wp:docPr id="269" name="Frame2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Applications</w:t>
      </w:r>
      <w:r>
        <w:rPr>
          <w:rFonts w:ascii="Times New Roman;Times;Serif" w:hAnsi="Times New Roman;Times;Serif"/>
          <w:b w:val="false"/>
          <w:i w:val="false"/>
          <w:caps w:val="false"/>
          <w:smallCaps w:val="false"/>
          <w:sz w:val="20"/>
        </w:rPr>
        <w:t>. Landlord shall reasonably cooperate with Tenant and execute all applications and forms required under Law for Tenant’s building permit, reasonably assist Tenant with all application filings with the entities having jurisdiction over the facility especially related to application signatures, and reasonably cooperate with Tenant in obtaining any economic incentives, provided the foregoing is at no out-of-pocket cost to Landlord.</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457200" cy="175260"/>
                <wp:effectExtent l="0" t="0" r="0" b="0"/>
                <wp:wrapSquare wrapText="right"/>
                <wp:docPr id="270" name="Frame2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 NOTHING IN THIS PARAGRAPH SHALL BE CONSTRUED TO DIMINISH THE OBLIGATIONS OF LANDLORD THAT ARE EXPRESSLY SET FORTH ELSEWHERE IN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145"/>
        <w:gridCol w:w="365"/>
        <w:gridCol w:w="365"/>
        <w:gridCol w:w="365"/>
        <w:gridCol w:w="3575"/>
      </w:tblGrid>
      <w:tr>
        <w:trPr/>
        <w:tc>
          <w:tcPr>
            <w:tcW w:w="11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w:t>
            </w:r>
          </w:p>
          <w:p>
            <w:pPr>
              <w:pStyle w:val="TableContents"/>
              <w:bidi w:val="0"/>
              <w:spacing w:before="0" w:after="0"/>
              <w:ind w:left="0" w:right="0" w:hanging="0"/>
              <w:jc w:val="both"/>
              <w:rPr>
                <w:caps w:val="false"/>
                <w:smallCaps w:val="false"/>
              </w:rPr>
            </w:pPr>
            <w:r>
              <w:rPr>
                <w:caps w:val="false"/>
                <w:smallCaps w:val="false"/>
              </w:rPr>
              <w:t> </w:t>
            </w:r>
          </w:p>
        </w:tc>
        <w:tc>
          <w:tcPr>
            <w:tcW w:w="467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Hightower Phase I Owner, LLC</w:t>
            </w:r>
            <w:r>
              <w:rPr>
                <w:rFonts w:ascii="Times New Roman;Times;Serif" w:hAnsi="Times New Roman;Times;Serif"/>
                <w:b w:val="false"/>
                <w:i w:val="false"/>
                <w:caps w:val="false"/>
                <w:smallCaps w:val="false"/>
                <w:sz w:val="20"/>
              </w:rPr>
              <w:t>,</w:t>
              <w:br/>
              <w:t>a Delaware limited liability company</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05" w:type="dxa"/>
            <w:gridSpan w:val="3"/>
            <w:tcBorders/>
            <w:vAlign w:val="center"/>
          </w:tcPr>
          <w:p>
            <w:pPr>
              <w:pStyle w:val="TableContents"/>
              <w:bidi w:val="0"/>
              <w:spacing w:before="0" w:after="283"/>
              <w:jc w:val="left"/>
              <w:rPr/>
            </w:pPr>
            <w:r>
              <w:rPr/>
              <w:t>Hightower Investor Holdings, LLC,</w:t>
              <w:br/>
              <w:t>a Delaware limited liability company,</w:t>
              <w:br/>
              <w:t>its sole member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05" w:type="dxa"/>
            <w:gridSpan w:val="3"/>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940" w:type="dxa"/>
            <w:gridSpan w:val="2"/>
            <w:tcBorders/>
            <w:vAlign w:val="center"/>
          </w:tcPr>
          <w:p>
            <w:pPr>
              <w:pStyle w:val="TableContents"/>
              <w:bidi w:val="0"/>
              <w:spacing w:before="0" w:after="283"/>
              <w:jc w:val="left"/>
              <w:rPr/>
            </w:pPr>
            <w:r>
              <w:rPr/>
              <w:t>CHI Gulf Coast 106 Hightower, L.P.,</w:t>
              <w:br/>
              <w:t>a Delaware limited partnership,</w:t>
              <w:br/>
              <w:t>its administrative member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75" w:type="dxa"/>
            <w:tcBorders/>
            <w:vAlign w:val="center"/>
          </w:tcPr>
          <w:p>
            <w:pPr>
              <w:pStyle w:val="TableContents"/>
              <w:bidi w:val="0"/>
              <w:spacing w:before="0" w:after="283"/>
              <w:jc w:val="left"/>
              <w:rPr/>
            </w:pPr>
            <w:r>
              <w:rPr/>
              <w:t>CHI LTH GP, L.L.C.,</w:t>
              <w:br/>
              <w:t>a Delaware limited liability company,</w:t>
              <w:br/>
              <w:t>its general partner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By: </w:t>
            </w:r>
            <w:r>
              <w:rPr>
                <w:u w:val="single"/>
              </w:rPr>
              <w:t>/s/ Cory Driskill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Name: </w:t>
            </w:r>
            <w:r>
              <w:rPr>
                <w:u w:val="single"/>
              </w:rPr>
              <w:t>Cory Driskill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Title:</w:t>
            </w:r>
            <w:r>
              <w:rPr>
                <w:u w:val="single"/>
              </w:rPr>
              <w:t>   Vice President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Execution Date: </w:t>
            </w:r>
            <w:r>
              <w:rPr>
                <w:u w:val="single"/>
              </w:rPr>
              <w:t>5/6/26            </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TENANT:</w:t>
            </w:r>
          </w:p>
        </w:tc>
        <w:tc>
          <w:tcPr>
            <w:tcW w:w="467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Applied Optoelectronics, Inc.</w:t>
            </w:r>
            <w:r>
              <w:rPr>
                <w:rFonts w:ascii="Times New Roman;Times;Serif" w:hAnsi="Times New Roman;Times;Serif"/>
                <w:b w:val="false"/>
                <w:i w:val="false"/>
                <w:caps w:val="false"/>
                <w:smallCaps w:val="false"/>
                <w:sz w:val="20"/>
              </w:rPr>
              <w:t>,</w:t>
              <w:br/>
              <w:t>a Delaware corporation</w:t>
            </w:r>
          </w:p>
        </w:tc>
      </w:tr>
      <w:tr>
        <w:trPr/>
        <w:tc>
          <w:tcPr>
            <w:tcW w:w="1145" w:type="dxa"/>
            <w:tcBorders/>
            <w:vAlign w:val="center"/>
          </w:tcPr>
          <w:p>
            <w:pPr>
              <w:pStyle w:val="TableContents"/>
              <w:bidi w:val="0"/>
              <w:spacing w:before="0" w:after="283"/>
              <w:jc w:val="both"/>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By: </w:t>
            </w:r>
            <w:r>
              <w:rPr>
                <w:u w:val="single"/>
              </w:rPr>
              <w:t>/s/ Thompson Lin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Name: </w:t>
            </w:r>
            <w:r>
              <w:rPr>
                <w:u w:val="single"/>
              </w:rPr>
              <w:t>Thompson Lin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Title:</w:t>
            </w:r>
            <w:r>
              <w:rPr>
                <w:u w:val="single"/>
              </w:rPr>
              <w:t>   CEO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Execution Date: </w:t>
            </w:r>
            <w:r>
              <w:rPr>
                <w:u w:val="single"/>
              </w:rPr>
              <w:t>5/8/26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6" w:name="aaoi_ex1003.htm"/>
      <w:bookmarkStart w:id="27" w:name="ksaaoi_ex1003"/>
      <w:bookmarkEnd w:id="26"/>
      <w:bookmarkEnd w:id="27"/>
      <w:r>
        <w:rPr>
          <w:b/>
        </w:rPr>
        <w:t>Exhibit 10.3</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LEASE AGREEMENT BETWEEN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hightower phase I owner, LLC,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LANDLORD, AND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applied optoelectronics,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TENANT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DATED may </w:t>
      </w:r>
      <w:r>
        <w:rPr>
          <w:rFonts w:ascii="Times New Roman;Times;Serif" w:hAnsi="Times New Roman;Times;Serif"/>
          <w:b/>
          <w:i w:val="false"/>
          <w:caps/>
          <w:sz w:val="20"/>
          <w:u w:val="single"/>
        </w:rPr>
        <w:t>8</w:t>
      </w:r>
      <w:r>
        <w:rPr>
          <w:rFonts w:ascii="Times New Roman;Times;Serif" w:hAnsi="Times New Roman;Times;Serif"/>
          <w:b/>
          <w:i w:val="false"/>
          <w:caps/>
          <w:sz w:val="20"/>
        </w:rPr>
        <w:t>,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houston, TEXAS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BASIC LEASE INFORMATION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412"/>
        <w:gridCol w:w="1998"/>
        <w:gridCol w:w="3519"/>
        <w:gridCol w:w="3276"/>
      </w:tblGrid>
      <w:tr>
        <w:trPr/>
        <w:tc>
          <w:tcPr>
            <w:tcW w:w="1412" w:type="dxa"/>
            <w:tcBorders/>
            <w:vAlign w:val="center"/>
          </w:tcPr>
          <w:p>
            <w:pPr>
              <w:pStyle w:val="TableContents"/>
              <w:bidi w:val="0"/>
              <w:spacing w:before="0" w:after="283"/>
              <w:jc w:val="left"/>
              <w:rPr>
                <w:sz w:val="20"/>
              </w:rPr>
            </w:pPr>
            <w:r>
              <w:rPr>
                <w:sz w:val="20"/>
              </w:rPr>
              <w:t>Lease Date:</w:t>
            </w:r>
          </w:p>
        </w:tc>
        <w:tc>
          <w:tcPr>
            <w:tcW w:w="8793" w:type="dxa"/>
            <w:gridSpan w:val="3"/>
            <w:tcBorders/>
            <w:vAlign w:val="center"/>
          </w:tcPr>
          <w:p>
            <w:pPr>
              <w:pStyle w:val="TableContents"/>
              <w:bidi w:val="0"/>
              <w:spacing w:before="0" w:after="283"/>
              <w:jc w:val="left"/>
              <w:rPr>
                <w:sz w:val="20"/>
              </w:rPr>
            </w:pPr>
            <w:r>
              <w:rPr>
                <w:sz w:val="20"/>
              </w:rPr>
              <w:t xml:space="preserve">May </w:t>
            </w:r>
            <w:r>
              <w:rPr>
                <w:sz w:val="20"/>
                <w:u w:val="single"/>
              </w:rPr>
              <w:t>8</w:t>
            </w:r>
            <w:r>
              <w:rPr>
                <w:sz w:val="20"/>
              </w:rPr>
              <w:t>, 2026</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sz w:val="20"/>
              </w:rPr>
            </w:pPr>
            <w:r>
              <w:rPr>
                <w:sz w:val="20"/>
              </w:rPr>
              <w:t>Landlord:</w:t>
            </w:r>
          </w:p>
        </w:tc>
        <w:tc>
          <w:tcPr>
            <w:tcW w:w="8793" w:type="dxa"/>
            <w:gridSpan w:val="3"/>
            <w:tcBorders/>
            <w:vAlign w:val="center"/>
          </w:tcPr>
          <w:p>
            <w:pPr>
              <w:pStyle w:val="TableContents"/>
              <w:bidi w:val="0"/>
              <w:spacing w:before="0" w:after="283"/>
              <w:jc w:val="left"/>
              <w:rPr>
                <w:sz w:val="20"/>
              </w:rPr>
            </w:pPr>
            <w:r>
              <w:rPr>
                <w:sz w:val="20"/>
              </w:rPr>
              <w:t>HIGHTOWER PHASE I OWNER, LLC, a Delaware limited liability company</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sz w:val="20"/>
              </w:rPr>
            </w:pPr>
            <w:r>
              <w:rPr>
                <w:sz w:val="20"/>
              </w:rPr>
              <w:t>Tenant:</w:t>
            </w:r>
          </w:p>
        </w:tc>
        <w:tc>
          <w:tcPr>
            <w:tcW w:w="8793" w:type="dxa"/>
            <w:gridSpan w:val="3"/>
            <w:tcBorders/>
            <w:vAlign w:val="center"/>
          </w:tcPr>
          <w:p>
            <w:pPr>
              <w:pStyle w:val="TableContents"/>
              <w:bidi w:val="0"/>
              <w:spacing w:before="0" w:after="283"/>
              <w:jc w:val="left"/>
              <w:rPr>
                <w:sz w:val="20"/>
              </w:rPr>
            </w:pPr>
            <w:r>
              <w:rPr>
                <w:sz w:val="20"/>
              </w:rPr>
              <w:t>APPLIED OPTOELECTRONICS, INC., a Delaware corporation</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sz w:val="20"/>
              </w:rPr>
            </w:pPr>
            <w:r>
              <w:rPr>
                <w:sz w:val="20"/>
              </w:rPr>
              <w:t>Premises:</w:t>
            </w:r>
          </w:p>
        </w:tc>
        <w:tc>
          <w:tcPr>
            <w:tcW w:w="8793" w:type="dxa"/>
            <w:gridSpan w:val="3"/>
            <w:tcBorders/>
            <w:vAlign w:val="center"/>
          </w:tcPr>
          <w:p>
            <w:pPr>
              <w:pStyle w:val="TableContents"/>
              <w:bidi w:val="0"/>
              <w:spacing w:before="0" w:after="283"/>
              <w:jc w:val="both"/>
              <w:rPr>
                <w:sz w:val="20"/>
              </w:rPr>
            </w:pPr>
            <w:r>
              <w:rPr>
                <w:sz w:val="20"/>
              </w:rPr>
              <w:t>That certain building containing 228,954 rentable square feet, commonly known as Hightower Business Park - Phase I – Building 3 (the “</w:t>
            </w:r>
            <w:r>
              <w:rPr>
                <w:b/>
                <w:sz w:val="20"/>
                <w:u w:val="single"/>
              </w:rPr>
              <w:t>Building</w:t>
            </w:r>
            <w:r>
              <w:rPr>
                <w:sz w:val="20"/>
              </w:rPr>
              <w:t xml:space="preserve">”), and whose street address is 17255 Chimney Rock Road, Houston, Texas 77053. The Premises are outlined on the plan attached to the Lease as </w:t>
            </w:r>
            <w:r>
              <w:rPr>
                <w:sz w:val="20"/>
                <w:u w:val="single"/>
              </w:rPr>
              <w:t>Exhibit A</w:t>
            </w:r>
            <w:r>
              <w:rPr>
                <w:sz w:val="20"/>
              </w:rPr>
              <w:t>. The land on which the Building is located (the “</w:t>
            </w:r>
            <w:r>
              <w:rPr>
                <w:b/>
                <w:sz w:val="20"/>
                <w:u w:val="single"/>
              </w:rPr>
              <w:t>Land</w:t>
            </w:r>
            <w:r>
              <w:rPr>
                <w:sz w:val="20"/>
              </w:rPr>
              <w:t>”</w:t>
            </w:r>
            <w:r>
              <w:rPr>
                <w:b/>
                <w:sz w:val="20"/>
              </w:rPr>
              <w:t>)</w:t>
            </w:r>
            <w:r>
              <w:rPr>
                <w:sz w:val="20"/>
              </w:rPr>
              <w:t xml:space="preserve"> is described on </w:t>
            </w:r>
            <w:r>
              <w:rPr>
                <w:sz w:val="20"/>
                <w:u w:val="single"/>
              </w:rPr>
              <w:t>Exhibit B</w:t>
            </w:r>
            <w:r>
              <w:rPr>
                <w:sz w:val="20"/>
              </w:rPr>
              <w:t>. The term “</w:t>
            </w:r>
            <w:r>
              <w:rPr>
                <w:b/>
                <w:sz w:val="20"/>
                <w:u w:val="single"/>
              </w:rPr>
              <w:t>Project</w:t>
            </w:r>
            <w:r>
              <w:rPr>
                <w:sz w:val="20"/>
              </w:rPr>
              <w:t>” shall collectively refer to the Building, the Land and the driveways, parking facilities, loading dock areas, roadways, any rail tracks associated with the Building and similar improvements and easements associated with the foregoing or the operation thereof.</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both"/>
              <w:rPr/>
            </w:pPr>
            <w:r>
              <w:rPr/>
              <w:t> </w:t>
            </w:r>
          </w:p>
        </w:tc>
      </w:tr>
      <w:tr>
        <w:trPr/>
        <w:tc>
          <w:tcPr>
            <w:tcW w:w="1412" w:type="dxa"/>
            <w:tcBorders/>
            <w:vAlign w:val="center"/>
          </w:tcPr>
          <w:p>
            <w:pPr>
              <w:pStyle w:val="TableContents"/>
              <w:bidi w:val="0"/>
              <w:spacing w:before="0" w:after="283"/>
              <w:jc w:val="left"/>
              <w:rPr>
                <w:sz w:val="20"/>
              </w:rPr>
            </w:pPr>
            <w:r>
              <w:rPr>
                <w:sz w:val="20"/>
              </w:rPr>
              <w:t>Term:</w:t>
            </w:r>
          </w:p>
        </w:tc>
        <w:tc>
          <w:tcPr>
            <w:tcW w:w="8793" w:type="dxa"/>
            <w:gridSpan w:val="3"/>
            <w:tcBorders/>
            <w:vAlign w:val="center"/>
          </w:tcPr>
          <w:p>
            <w:pPr>
              <w:pStyle w:val="TableContents"/>
              <w:bidi w:val="0"/>
              <w:spacing w:before="0" w:after="283"/>
              <w:jc w:val="both"/>
              <w:rPr>
                <w:sz w:val="20"/>
              </w:rPr>
            </w:pPr>
            <w:r>
              <w:rPr>
                <w:sz w:val="20"/>
              </w:rPr>
              <w:t>123 full calendar months, plus any partial month from the Commencement Date to the end of the month in which the Commencement Date falls, starting on the Commencement Date and ending at 5:00 p.m. local time on the last day of the 123</w:t>
            </w:r>
            <w:r>
              <w:rPr>
                <w:position w:val="7"/>
                <w:sz w:val="16"/>
                <w:sz w:val="20"/>
              </w:rPr>
              <w:t>rd</w:t>
            </w:r>
            <w:r>
              <w:rPr>
                <w:sz w:val="20"/>
              </w:rPr>
              <w:t xml:space="preserve"> full calendar month following the Commencement Date, subject to adjustment and earlier termination as provided in the Lease.</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both"/>
              <w:rPr/>
            </w:pPr>
            <w:r>
              <w:rPr/>
              <w:t> </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Date:</w:t>
            </w:r>
          </w:p>
          <w:p>
            <w:pPr>
              <w:pStyle w:val="TableContents"/>
              <w:bidi w:val="0"/>
              <w:spacing w:before="0" w:after="0"/>
              <w:ind w:left="0" w:right="0" w:hanging="0"/>
              <w:jc w:val="left"/>
              <w:rPr>
                <w:caps w:val="false"/>
                <w:smallCaps w:val="false"/>
              </w:rPr>
            </w:pPr>
            <w:r>
              <w:rPr>
                <w:caps w:val="false"/>
                <w:smallCaps w:val="false"/>
              </w:rPr>
              <w:t> </w:t>
            </w:r>
          </w:p>
        </w:tc>
        <w:tc>
          <w:tcPr>
            <w:tcW w:w="8793" w:type="dxa"/>
            <w:gridSpan w:val="3"/>
            <w:tcBorders/>
            <w:vAlign w:val="center"/>
          </w:tcPr>
          <w:p>
            <w:pPr>
              <w:pStyle w:val="TableContents"/>
              <w:bidi w:val="0"/>
              <w:spacing w:before="0" w:after="283"/>
              <w:jc w:val="both"/>
              <w:rPr>
                <w:sz w:val="20"/>
              </w:rPr>
            </w:pPr>
            <w:r>
              <w:rPr>
                <w:sz w:val="20"/>
              </w:rPr>
              <w:t xml:space="preserve">The earliest of (a) the date on which Tenant occupies any portion of the Premises and begins conducting business therein, (b) the date on which the Work (as defined in </w:t>
            </w:r>
            <w:r>
              <w:rPr>
                <w:rFonts w:ascii="Times New Roman;Times;Serif" w:hAnsi="Times New Roman;Times;Serif"/>
                <w:sz w:val="20"/>
                <w:u w:val="single"/>
              </w:rPr>
              <w:t>Exhibit D</w:t>
            </w:r>
            <w:r>
              <w:rPr>
                <w:sz w:val="20"/>
              </w:rPr>
              <w:t xml:space="preserve"> hereto) is Substantially Completed (as defined in </w:t>
            </w:r>
            <w:r>
              <w:rPr>
                <w:rFonts w:ascii="Times New Roman;Times;Serif" w:hAnsi="Times New Roman;Times;Serif"/>
                <w:sz w:val="20"/>
                <w:u w:val="single"/>
              </w:rPr>
              <w:t>Exhibit D</w:t>
            </w:r>
            <w:r>
              <w:rPr>
                <w:sz w:val="20"/>
              </w:rPr>
              <w:t xml:space="preserve"> hereto), or (c) the date on which the Work would have been Substantially Completed but for the occurrence of any Tenant Delay Days (as defined in </w:t>
            </w:r>
            <w:r>
              <w:rPr>
                <w:rFonts w:ascii="Times New Roman;Times;Serif" w:hAnsi="Times New Roman;Times;Serif"/>
                <w:sz w:val="20"/>
                <w:u w:val="single"/>
              </w:rPr>
              <w:t>Exhibit D</w:t>
            </w:r>
            <w:r>
              <w:rPr>
                <w:sz w:val="20"/>
              </w:rPr>
              <w:t xml:space="preserve"> hereto).</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both"/>
              <w:rPr/>
            </w:pPr>
            <w:r>
              <w:rPr/>
              <w:t> </w:t>
            </w:r>
          </w:p>
        </w:tc>
      </w:tr>
      <w:tr>
        <w:trPr/>
        <w:tc>
          <w:tcPr>
            <w:tcW w:w="1412" w:type="dxa"/>
            <w:tcBorders/>
            <w:vAlign w:val="center"/>
          </w:tcPr>
          <w:p>
            <w:pPr>
              <w:pStyle w:val="TableContents"/>
              <w:bidi w:val="0"/>
              <w:spacing w:before="0" w:after="283"/>
              <w:jc w:val="left"/>
              <w:rPr>
                <w:sz w:val="20"/>
              </w:rPr>
            </w:pPr>
            <w:r>
              <w:rPr>
                <w:sz w:val="20"/>
              </w:rPr>
              <w:t>Basic Rent:</w:t>
            </w:r>
          </w:p>
        </w:tc>
        <w:tc>
          <w:tcPr>
            <w:tcW w:w="8793" w:type="dxa"/>
            <w:gridSpan w:val="3"/>
            <w:tcBorders/>
            <w:vAlign w:val="center"/>
          </w:tcPr>
          <w:p>
            <w:pPr>
              <w:pStyle w:val="TableContents"/>
              <w:bidi w:val="0"/>
              <w:spacing w:before="0" w:after="283"/>
              <w:jc w:val="both"/>
              <w:rPr>
                <w:sz w:val="20"/>
              </w:rPr>
            </w:pPr>
            <w:r>
              <w:rPr>
                <w:sz w:val="20"/>
              </w:rPr>
              <w:t>Basic Rent applicable to the Building shall be the following amounts for the following periods of time:</w:t>
            </w:r>
          </w:p>
        </w:tc>
      </w:tr>
      <w:tr>
        <w:trPr/>
        <w:tc>
          <w:tcPr>
            <w:tcW w:w="1412" w:type="dxa"/>
            <w:tcBorders/>
            <w:vAlign w:val="center"/>
          </w:tcPr>
          <w:p>
            <w:pPr>
              <w:pStyle w:val="TableContents"/>
              <w:bidi w:val="0"/>
              <w:spacing w:before="0" w:after="283"/>
              <w:jc w:val="left"/>
              <w:rPr/>
            </w:pPr>
            <w:r>
              <w:rPr/>
              <w:t> </w:t>
            </w:r>
          </w:p>
        </w:tc>
        <w:tc>
          <w:tcPr>
            <w:tcW w:w="8793" w:type="dxa"/>
            <w:gridSpan w:val="3"/>
            <w:tcBorders/>
            <w:vAlign w:val="center"/>
          </w:tcPr>
          <w:p>
            <w:pPr>
              <w:pStyle w:val="TableContents"/>
              <w:bidi w:val="0"/>
              <w:spacing w:before="0" w:after="283"/>
              <w:jc w:val="both"/>
              <w:rPr/>
            </w:pPr>
            <w:r>
              <w:rPr/>
              <w:t> </w:t>
            </w:r>
          </w:p>
        </w:tc>
      </w:tr>
      <w:tr>
        <w:trPr/>
        <w:tc>
          <w:tcPr>
            <w:tcW w:w="1412" w:type="dxa"/>
            <w:tcBorders/>
            <w:vAlign w:val="center"/>
          </w:tcPr>
          <w:p>
            <w:pPr>
              <w:pStyle w:val="TableContents"/>
              <w:bidi w:val="0"/>
              <w:spacing w:before="0" w:after="283"/>
              <w:jc w:val="left"/>
              <w:rPr/>
            </w:pPr>
            <w:r>
              <w:rPr/>
              <w:t> </w:t>
            </w:r>
          </w:p>
        </w:tc>
        <w:tc>
          <w:tcPr>
            <w:tcW w:w="1998"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vAlign w:val="center"/>
          </w:tcPr>
          <w:p>
            <w:pPr>
              <w:pStyle w:val="TableContents"/>
              <w:bidi w:val="0"/>
              <w:spacing w:before="0" w:after="283"/>
              <w:jc w:val="center"/>
              <w:rPr/>
            </w:pPr>
            <w:r>
              <w:rPr/>
              <w:t>Lease Month</w:t>
            </w:r>
          </w:p>
        </w:tc>
        <w:tc>
          <w:tcPr>
            <w:tcW w:w="3519"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283"/>
              <w:jc w:val="center"/>
              <w:rPr/>
            </w:pPr>
            <w:r>
              <w:rPr/>
              <w:t>Monthly Basic Rent</w:t>
              <w:br/>
              <w:t>Per Rentable Square Foot</w:t>
            </w:r>
          </w:p>
        </w:tc>
        <w:tc>
          <w:tcPr>
            <w:tcW w:w="3276" w:type="dxa"/>
            <w:tcBorders>
              <w:top w:val="single" w:sz="8" w:space="0" w:color="000000"/>
              <w:bottom w:val="single" w:sz="8" w:space="0" w:color="000000"/>
              <w:right w:val="single" w:sz="8" w:space="0" w:color="000000"/>
            </w:tcBorders>
            <w:shd w:fill="D9D9D9" w:val="clear"/>
            <w:tcMar>
              <w:top w:w="28" w:type="dxa"/>
              <w:bottom w:w="28" w:type="dxa"/>
              <w:right w:w="28" w:type="dxa"/>
            </w:tcMar>
            <w:vAlign w:val="center"/>
          </w:tcPr>
          <w:p>
            <w:pPr>
              <w:pStyle w:val="TableContents"/>
              <w:bidi w:val="0"/>
              <w:spacing w:before="0" w:after="283"/>
              <w:jc w:val="center"/>
              <w:rPr/>
            </w:pPr>
            <w:r>
              <w:rPr/>
              <w:t>Monthly Basic Rent</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1 - 3</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$0.00</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$0.00</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4 - 15</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$0.64</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$146,530.56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16 - 27</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$0.66</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$152,025.46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28 - 39</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$0.69</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$157,726.41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40 - 51</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$0.71</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$163,641.15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52 - 63</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$0.74</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$169,777.69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64 - 75</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$0.77</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$176,144.36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76 - 87</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$0.80</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$182,749.77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88 - 99</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$0.83</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$189,602.89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100 - 111</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$0.86</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$196,713.00 </w:t>
            </w:r>
          </w:p>
        </w:tc>
      </w:tr>
      <w:tr>
        <w:trPr/>
        <w:tc>
          <w:tcPr>
            <w:tcW w:w="1412" w:type="dxa"/>
            <w:tcBorders/>
            <w:vAlign w:val="center"/>
          </w:tcPr>
          <w:p>
            <w:pPr>
              <w:pStyle w:val="TableContents"/>
              <w:bidi w:val="0"/>
              <w:spacing w:before="0" w:after="283"/>
              <w:jc w:val="left"/>
              <w:rPr/>
            </w:pPr>
            <w:r>
              <w:rPr/>
              <w:t> </w:t>
            </w:r>
          </w:p>
        </w:tc>
        <w:tc>
          <w:tcPr>
            <w:tcW w:w="1998"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pPr>
            <w:r>
              <w:rPr/>
              <w:t>112 - 123</w:t>
            </w:r>
          </w:p>
        </w:tc>
        <w:tc>
          <w:tcPr>
            <w:tcW w:w="351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$0.89</w:t>
            </w:r>
          </w:p>
        </w:tc>
        <w:tc>
          <w:tcPr>
            <w:tcW w:w="327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xml:space="preserve">$204,089.73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48"/>
        <w:gridCol w:w="8557"/>
      </w:tblGrid>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both"/>
              <w:rPr/>
            </w:pPr>
            <w:r>
              <w:rPr/>
              <w:t>As used herein, the term “</w:t>
            </w:r>
            <w:r>
              <w:rPr>
                <w:b/>
                <w:u w:val="single"/>
              </w:rPr>
              <w:t>Lease Month</w:t>
            </w:r>
            <w:r>
              <w:rPr/>
              <w:t>” means each calendar month during the Term (and if the Commencement Date does not occur on the first day of a calendar month, the period from the Commencement Date to the first day of the next calendar month shall be included in the first Lease Month for which Basic Rent is payable for purposes of determining the duration of the Term and the monthly Basic Rent rate applicable for such partial month).</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both"/>
              <w:rPr/>
            </w:pPr>
            <w:r>
              <w:rPr/>
              <w:t> </w:t>
            </w:r>
          </w:p>
        </w:tc>
      </w:tr>
      <w:tr>
        <w:trPr/>
        <w:tc>
          <w:tcPr>
            <w:tcW w:w="1648" w:type="dxa"/>
            <w:tcBorders/>
            <w:vAlign w:val="center"/>
          </w:tcPr>
          <w:p>
            <w:pPr>
              <w:pStyle w:val="TableContents"/>
              <w:bidi w:val="0"/>
              <w:spacing w:before="0" w:after="283"/>
              <w:jc w:val="left"/>
              <w:rPr/>
            </w:pPr>
            <w:r>
              <w:rPr/>
              <w:t>Additional Rent:</w:t>
            </w:r>
          </w:p>
        </w:tc>
        <w:tc>
          <w:tcPr>
            <w:tcW w:w="8557" w:type="dxa"/>
            <w:tcBorders/>
            <w:vAlign w:val="center"/>
          </w:tcPr>
          <w:p>
            <w:pPr>
              <w:pStyle w:val="TableContents"/>
              <w:bidi w:val="0"/>
              <w:spacing w:before="0" w:after="283"/>
              <w:jc w:val="both"/>
              <w:rPr/>
            </w:pPr>
            <w:r>
              <w:rPr/>
              <w:t>Tenant’s Proportionate Share of Operating Costs, Taxes and Insurance Costs.</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both"/>
              <w:rPr/>
            </w:pPr>
            <w:r>
              <w:rPr/>
              <w:t> </w:t>
            </w:r>
          </w:p>
        </w:tc>
      </w:tr>
      <w:tr>
        <w:trPr/>
        <w:tc>
          <w:tcPr>
            <w:tcW w:w="1648" w:type="dxa"/>
            <w:tcBorders/>
            <w:vAlign w:val="center"/>
          </w:tcPr>
          <w:p>
            <w:pPr>
              <w:pStyle w:val="TableContents"/>
              <w:bidi w:val="0"/>
              <w:spacing w:before="0" w:after="283"/>
              <w:jc w:val="left"/>
              <w:rPr/>
            </w:pPr>
            <w:r>
              <w:rPr/>
              <w:t>Security Deposit:</w:t>
            </w:r>
          </w:p>
        </w:tc>
        <w:tc>
          <w:tcPr>
            <w:tcW w:w="8557" w:type="dxa"/>
            <w:tcBorders/>
            <w:vAlign w:val="center"/>
          </w:tcPr>
          <w:p>
            <w:pPr>
              <w:pStyle w:val="TableContents"/>
              <w:bidi w:val="0"/>
              <w:spacing w:before="0" w:after="283"/>
              <w:jc w:val="left"/>
              <w:rPr/>
            </w:pPr>
            <w:r>
              <w:rPr/>
              <w:t>$546,949.33.</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left"/>
              <w:rPr/>
            </w:pPr>
            <w:r>
              <w:rPr/>
              <w:t> </w:t>
            </w:r>
          </w:p>
        </w:tc>
      </w:tr>
      <w:tr>
        <w:trPr/>
        <w:tc>
          <w:tcPr>
            <w:tcW w:w="1648" w:type="dxa"/>
            <w:tcBorders/>
            <w:vAlign w:val="center"/>
          </w:tcPr>
          <w:p>
            <w:pPr>
              <w:pStyle w:val="TableContents"/>
              <w:bidi w:val="0"/>
              <w:spacing w:before="0" w:after="283"/>
              <w:jc w:val="left"/>
              <w:rPr/>
            </w:pPr>
            <w:r>
              <w:rPr/>
              <w:t>Rent:</w:t>
            </w:r>
          </w:p>
        </w:tc>
        <w:tc>
          <w:tcPr>
            <w:tcW w:w="8557" w:type="dxa"/>
            <w:tcBorders/>
            <w:vAlign w:val="center"/>
          </w:tcPr>
          <w:p>
            <w:pPr>
              <w:pStyle w:val="TableContents"/>
              <w:bidi w:val="0"/>
              <w:spacing w:before="0" w:after="283"/>
              <w:jc w:val="both"/>
              <w:rPr/>
            </w:pPr>
            <w:r>
              <w:rPr/>
              <w:t>Basic Rent, Additional Rent, and all other sums that Tenant may owe to Landlord or otherwise be required to pay under the Lease.</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both"/>
              <w:rPr/>
            </w:pPr>
            <w:r>
              <w:rPr/>
              <w:t> </w:t>
            </w:r>
          </w:p>
        </w:tc>
      </w:tr>
      <w:tr>
        <w:trPr/>
        <w:tc>
          <w:tcPr>
            <w:tcW w:w="1648" w:type="dxa"/>
            <w:tcBorders/>
            <w:vAlign w:val="center"/>
          </w:tcPr>
          <w:p>
            <w:pPr>
              <w:pStyle w:val="TableContents"/>
              <w:bidi w:val="0"/>
              <w:spacing w:before="0" w:after="283"/>
              <w:jc w:val="left"/>
              <w:rPr/>
            </w:pPr>
            <w:r>
              <w:rPr/>
              <w:t>Permitted Use:</w:t>
            </w:r>
          </w:p>
        </w:tc>
        <w:tc>
          <w:tcPr>
            <w:tcW w:w="8557" w:type="dxa"/>
            <w:tcBorders/>
            <w:vAlign w:val="center"/>
          </w:tcPr>
          <w:p>
            <w:pPr>
              <w:pStyle w:val="TableContents"/>
              <w:bidi w:val="0"/>
              <w:spacing w:before="0" w:after="283"/>
              <w:jc w:val="both"/>
              <w:rPr/>
            </w:pPr>
            <w:r>
              <w:rPr/>
              <w:t>General industrial/warehouse use for the purpose of light manufacturing, receiving, storing, shipping and selling (but limited to wholesale sales) products, materials and merchandise made and/or distributed by Tenant, and related ancillary uses.</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both"/>
              <w:rPr/>
            </w:pPr>
            <w:r>
              <w:rPr/>
              <w:t> </w:t>
            </w:r>
          </w:p>
        </w:tc>
      </w:tr>
      <w:tr>
        <w:trPr/>
        <w:tc>
          <w:tcPr>
            <w:tcW w:w="1648" w:type="dxa"/>
            <w:tcBorders/>
            <w:vAlign w:val="center"/>
          </w:tcPr>
          <w:p>
            <w:pPr>
              <w:pStyle w:val="TableContents"/>
              <w:bidi w:val="0"/>
              <w:spacing w:before="0" w:after="283"/>
              <w:jc w:val="left"/>
              <w:rPr/>
            </w:pPr>
            <w:r>
              <w:rPr/>
              <w:t>Tenant’s Proportionate Share:</w:t>
            </w:r>
          </w:p>
        </w:tc>
        <w:tc>
          <w:tcPr>
            <w:tcW w:w="8557" w:type="dxa"/>
            <w:tcBorders/>
            <w:vAlign w:val="center"/>
          </w:tcPr>
          <w:p>
            <w:pPr>
              <w:pStyle w:val="TableContents"/>
              <w:bidi w:val="0"/>
              <w:spacing w:before="0" w:after="283"/>
              <w:jc w:val="both"/>
              <w:rPr/>
            </w:pPr>
            <w:r>
              <w:rPr/>
              <w:t>100%.</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both"/>
              <w:rPr/>
            </w:pPr>
            <w:r>
              <w:rPr/>
              <w:t> </w:t>
            </w:r>
          </w:p>
        </w:tc>
      </w:tr>
      <w:tr>
        <w:trPr/>
        <w:tc>
          <w:tcPr>
            <w:tcW w:w="1648" w:type="dxa"/>
            <w:tcBorders/>
            <w:vAlign w:val="center"/>
          </w:tcPr>
          <w:p>
            <w:pPr>
              <w:pStyle w:val="TableContents"/>
              <w:bidi w:val="0"/>
              <w:spacing w:before="0" w:after="283"/>
              <w:jc w:val="left"/>
              <w:rPr/>
            </w:pPr>
            <w:r>
              <w:rPr/>
              <w:t>Initial Liability Insurance Amount:</w:t>
            </w:r>
          </w:p>
        </w:tc>
        <w:tc>
          <w:tcPr>
            <w:tcW w:w="8557" w:type="dxa"/>
            <w:tcBorders/>
            <w:vAlign w:val="center"/>
          </w:tcPr>
          <w:p>
            <w:pPr>
              <w:pStyle w:val="TableContents"/>
              <w:bidi w:val="0"/>
              <w:spacing w:before="0" w:after="283"/>
              <w:jc w:val="left"/>
              <w:rPr/>
            </w:pPr>
            <w:r>
              <w:rPr/>
              <w:t>$3,000,000.</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left"/>
              <w:rPr/>
            </w:pPr>
            <w:r>
              <w:rPr/>
              <w:t> </w:t>
            </w:r>
          </w:p>
        </w:tc>
      </w:tr>
      <w:tr>
        <w:trPr/>
        <w:tc>
          <w:tcPr>
            <w:tcW w:w="1648" w:type="dxa"/>
            <w:tcBorders/>
            <w:vAlign w:val="center"/>
          </w:tcPr>
          <w:p>
            <w:pPr>
              <w:pStyle w:val="TableContents"/>
              <w:bidi w:val="0"/>
              <w:spacing w:before="0" w:after="283"/>
              <w:jc w:val="left"/>
              <w:rPr/>
            </w:pPr>
            <w:r>
              <w:rPr/>
              <w:t>Tenant’s Address:</w:t>
            </w:r>
          </w:p>
        </w:tc>
        <w:tc>
          <w:tcPr>
            <w:tcW w:w="855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 Du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r>
        <w:trPr/>
        <w:tc>
          <w:tcPr>
            <w:tcW w:w="1648" w:type="dxa"/>
            <w:tcBorders/>
            <w:vAlign w:val="center"/>
          </w:tcPr>
          <w:p>
            <w:pPr>
              <w:pStyle w:val="TableContents"/>
              <w:bidi w:val="0"/>
              <w:spacing w:before="0" w:after="283"/>
              <w:jc w:val="left"/>
              <w:rPr/>
            </w:pPr>
            <w:r>
              <w:rPr/>
              <w:t> </w:t>
            </w:r>
          </w:p>
        </w:tc>
        <w:tc>
          <w:tcPr>
            <w:tcW w:w="8557" w:type="dxa"/>
            <w:tcBorders/>
            <w:vAlign w:val="center"/>
          </w:tcPr>
          <w:p>
            <w:pPr>
              <w:pStyle w:val="TableContents"/>
              <w:bidi w:val="0"/>
              <w:spacing w:before="0" w:after="283"/>
              <w:jc w:val="left"/>
              <w:rPr/>
            </w:pPr>
            <w:r>
              <w:rPr/>
              <w:t> </w:t>
            </w:r>
          </w:p>
        </w:tc>
      </w:tr>
      <w:tr>
        <w:trPr/>
        <w:tc>
          <w:tcPr>
            <w:tcW w:w="1648" w:type="dxa"/>
            <w:tcBorders/>
            <w:vAlign w:val="center"/>
          </w:tcPr>
          <w:p>
            <w:pPr>
              <w:pStyle w:val="TableContents"/>
              <w:bidi w:val="0"/>
              <w:spacing w:before="0" w:after="283"/>
              <w:jc w:val="left"/>
              <w:rPr/>
            </w:pPr>
            <w:r>
              <w:rPr/>
              <w:t>Landlord’s Address:</w:t>
            </w:r>
          </w:p>
        </w:tc>
        <w:tc>
          <w:tcPr>
            <w:tcW w:w="8557" w:type="dxa"/>
            <w:tcBorders/>
            <w:vAlign w:val="center"/>
          </w:tcPr>
          <w:p>
            <w:pPr>
              <w:pStyle w:val="TableContents"/>
              <w:bidi w:val="0"/>
              <w:spacing w:before="0" w:after="283"/>
              <w:jc w:val="left"/>
              <w:rPr/>
            </w:pPr>
            <w:r>
              <w:rPr/>
              <w:t>Hightower Phase I Owner, LLC</w:t>
              <w:br/>
              <w:t>750 Town &amp; Country Blvd, Ste 520</w:t>
              <w:br/>
              <w:t>Houston, TX 77024</w:t>
              <w:br/>
              <w:t>Attention: Asset Manager - Hightower</w:t>
              <w:br/>
              <w:t xml:space="preserve">Telephone: </w:t>
              <w:br/>
              <w:t>Email: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Basic Lease Information is incorporated into and made a part of the Lease identified above. If any conflict exists between any Basic Lease Information and the Lease, then the Lease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320"/>
        <w:gridCol w:w="435"/>
        <w:gridCol w:w="6559"/>
        <w:gridCol w:w="905"/>
      </w:tblGrid>
      <w:tr>
        <w:trPr/>
        <w:tc>
          <w:tcPr>
            <w:tcW w:w="8219" w:type="dxa"/>
            <w:gridSpan w:val="4"/>
            <w:tcBorders/>
            <w:vAlign w:val="center"/>
          </w:tcPr>
          <w:p>
            <w:pPr>
              <w:pStyle w:val="TableContents"/>
              <w:bidi w:val="0"/>
              <w:spacing w:before="0" w:after="283"/>
              <w:jc w:val="center"/>
              <w:rPr>
                <w:b/>
                <w:u w:val="single"/>
              </w:rPr>
            </w:pPr>
            <w:r>
              <w:rPr>
                <w:b/>
                <w:u w:val="single"/>
              </w:rPr>
              <w:t>TABLE OF CONTENTS</w:t>
            </w:r>
          </w:p>
        </w:tc>
      </w:tr>
      <w:tr>
        <w:trPr/>
        <w:tc>
          <w:tcPr>
            <w:tcW w:w="8219" w:type="dxa"/>
            <w:gridSpan w:val="4"/>
            <w:tcBorders/>
            <w:vAlign w:val="center"/>
          </w:tcPr>
          <w:p>
            <w:pPr>
              <w:pStyle w:val="TableContents"/>
              <w:bidi w:val="0"/>
              <w:spacing w:before="0" w:after="283"/>
              <w:jc w:val="center"/>
              <w:rPr/>
            </w:pPr>
            <w:r>
              <w:rPr/>
              <w:t> </w:t>
            </w:r>
          </w:p>
        </w:tc>
      </w:tr>
      <w:tr>
        <w:trPr/>
        <w:tc>
          <w:tcPr>
            <w:tcW w:w="320" w:type="dxa"/>
            <w:tcBorders/>
            <w:vAlign w:val="center"/>
          </w:tcPr>
          <w:p>
            <w:pPr>
              <w:pStyle w:val="TableContents"/>
              <w:bidi w:val="0"/>
              <w:spacing w:before="0" w:after="283"/>
              <w:jc w:val="left"/>
              <w:rPr/>
            </w:pPr>
            <w:r>
              <w:rPr/>
              <w:t> </w:t>
            </w:r>
          </w:p>
        </w:tc>
        <w:tc>
          <w:tcPr>
            <w:tcW w:w="6994" w:type="dxa"/>
            <w:gridSpan w:val="2"/>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pPr>
            <w:r>
              <w:rPr/>
              <w:t>Page No.</w:t>
            </w:r>
          </w:p>
        </w:tc>
      </w:tr>
      <w:tr>
        <w:trPr/>
        <w:tc>
          <w:tcPr>
            <w:tcW w:w="320" w:type="dxa"/>
            <w:tcBorders/>
            <w:vAlign w:val="center"/>
          </w:tcPr>
          <w:p>
            <w:pPr>
              <w:pStyle w:val="TableContents"/>
              <w:bidi w:val="0"/>
              <w:spacing w:before="0" w:after="283"/>
              <w:jc w:val="left"/>
              <w:rPr>
                <w:b/>
              </w:rPr>
            </w:pPr>
            <w:r>
              <w:rPr>
                <w:b/>
              </w:rPr>
              <w:t>1.</w:t>
            </w:r>
          </w:p>
        </w:tc>
        <w:tc>
          <w:tcPr>
            <w:tcW w:w="6994" w:type="dxa"/>
            <w:gridSpan w:val="2"/>
            <w:tcBorders/>
            <w:vAlign w:val="center"/>
          </w:tcPr>
          <w:p>
            <w:pPr>
              <w:pStyle w:val="TableContents"/>
              <w:bidi w:val="0"/>
              <w:spacing w:before="0" w:after="283"/>
              <w:jc w:val="left"/>
              <w:rPr/>
            </w:pPr>
            <w:r>
              <w:rPr/>
              <w:t>Definitions and Basic Provisions</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2.</w:t>
            </w:r>
          </w:p>
        </w:tc>
        <w:tc>
          <w:tcPr>
            <w:tcW w:w="6994" w:type="dxa"/>
            <w:gridSpan w:val="2"/>
            <w:tcBorders/>
            <w:vAlign w:val="center"/>
          </w:tcPr>
          <w:p>
            <w:pPr>
              <w:pStyle w:val="TableContents"/>
              <w:bidi w:val="0"/>
              <w:spacing w:before="0" w:after="283"/>
              <w:jc w:val="left"/>
              <w:rPr/>
            </w:pPr>
            <w:r>
              <w:rPr/>
              <w:t>Lease Grant</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3.</w:t>
            </w:r>
          </w:p>
        </w:tc>
        <w:tc>
          <w:tcPr>
            <w:tcW w:w="6994" w:type="dxa"/>
            <w:gridSpan w:val="2"/>
            <w:tcBorders/>
            <w:vAlign w:val="center"/>
          </w:tcPr>
          <w:p>
            <w:pPr>
              <w:pStyle w:val="TableContents"/>
              <w:bidi w:val="0"/>
              <w:spacing w:before="0" w:after="283"/>
              <w:jc w:val="left"/>
              <w:rPr/>
            </w:pPr>
            <w:r>
              <w:rPr/>
              <w:t>Tender of Possession</w:t>
            </w:r>
          </w:p>
        </w:tc>
        <w:tc>
          <w:tcPr>
            <w:tcW w:w="905" w:type="dxa"/>
            <w:tcBorders/>
            <w:vAlign w:val="center"/>
          </w:tcPr>
          <w:p>
            <w:pPr>
              <w:pStyle w:val="TableContents"/>
              <w:bidi w:val="0"/>
              <w:spacing w:before="0" w:after="283"/>
              <w:jc w:val="center"/>
              <w:rPr/>
            </w:pPr>
            <w:r>
              <w:rPr/>
              <w:t>1</w:t>
            </w:r>
          </w:p>
        </w:tc>
      </w:tr>
      <w:tr>
        <w:trPr/>
        <w:tc>
          <w:tcPr>
            <w:tcW w:w="320" w:type="dxa"/>
            <w:tcBorders/>
            <w:vAlign w:val="center"/>
          </w:tcPr>
          <w:p>
            <w:pPr>
              <w:pStyle w:val="TableContents"/>
              <w:bidi w:val="0"/>
              <w:spacing w:before="0" w:after="283"/>
              <w:jc w:val="left"/>
              <w:rPr>
                <w:b/>
              </w:rPr>
            </w:pPr>
            <w:r>
              <w:rPr>
                <w:b/>
              </w:rPr>
              <w:t>4.</w:t>
            </w:r>
          </w:p>
        </w:tc>
        <w:tc>
          <w:tcPr>
            <w:tcW w:w="6994" w:type="dxa"/>
            <w:gridSpan w:val="2"/>
            <w:tcBorders/>
            <w:vAlign w:val="center"/>
          </w:tcPr>
          <w:p>
            <w:pPr>
              <w:pStyle w:val="TableContents"/>
              <w:bidi w:val="0"/>
              <w:spacing w:before="0" w:after="283"/>
              <w:jc w:val="left"/>
              <w:rPr/>
            </w:pPr>
            <w:r>
              <w:rPr/>
              <w:t>Rent</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Payment</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Operating Costs</w:t>
            </w:r>
          </w:p>
        </w:tc>
        <w:tc>
          <w:tcPr>
            <w:tcW w:w="905" w:type="dxa"/>
            <w:tcBorders/>
            <w:vAlign w:val="center"/>
          </w:tcPr>
          <w:p>
            <w:pPr>
              <w:pStyle w:val="TableContents"/>
              <w:bidi w:val="0"/>
              <w:spacing w:before="0" w:after="283"/>
              <w:jc w:val="center"/>
              <w:rPr/>
            </w:pPr>
            <w:r>
              <w:rPr/>
              <w:t>2</w:t>
            </w:r>
          </w:p>
        </w:tc>
      </w:tr>
      <w:tr>
        <w:trPr/>
        <w:tc>
          <w:tcPr>
            <w:tcW w:w="320" w:type="dxa"/>
            <w:tcBorders/>
            <w:vAlign w:val="center"/>
          </w:tcPr>
          <w:p>
            <w:pPr>
              <w:pStyle w:val="TableContents"/>
              <w:bidi w:val="0"/>
              <w:spacing w:before="0" w:after="283"/>
              <w:jc w:val="left"/>
              <w:rPr>
                <w:b/>
              </w:rPr>
            </w:pPr>
            <w:r>
              <w:rPr>
                <w:b/>
              </w:rPr>
              <w:t>5.</w:t>
            </w:r>
          </w:p>
        </w:tc>
        <w:tc>
          <w:tcPr>
            <w:tcW w:w="6994" w:type="dxa"/>
            <w:gridSpan w:val="2"/>
            <w:tcBorders/>
            <w:vAlign w:val="center"/>
          </w:tcPr>
          <w:p>
            <w:pPr>
              <w:pStyle w:val="TableContents"/>
              <w:bidi w:val="0"/>
              <w:spacing w:before="0" w:after="283"/>
              <w:jc w:val="left"/>
              <w:rPr/>
            </w:pPr>
            <w:r>
              <w:rPr/>
              <w:t>Delinquent Payment; Handling Charges</w:t>
            </w:r>
          </w:p>
        </w:tc>
        <w:tc>
          <w:tcPr>
            <w:tcW w:w="905" w:type="dxa"/>
            <w:tcBorders/>
            <w:vAlign w:val="center"/>
          </w:tcPr>
          <w:p>
            <w:pPr>
              <w:pStyle w:val="TableContents"/>
              <w:bidi w:val="0"/>
              <w:spacing w:before="0" w:after="283"/>
              <w:jc w:val="center"/>
              <w:rPr/>
            </w:pPr>
            <w:r>
              <w:rPr/>
              <w:t>4</w:t>
            </w:r>
          </w:p>
        </w:tc>
      </w:tr>
      <w:tr>
        <w:trPr/>
        <w:tc>
          <w:tcPr>
            <w:tcW w:w="320" w:type="dxa"/>
            <w:tcBorders/>
            <w:vAlign w:val="center"/>
          </w:tcPr>
          <w:p>
            <w:pPr>
              <w:pStyle w:val="TableContents"/>
              <w:bidi w:val="0"/>
              <w:spacing w:before="0" w:after="283"/>
              <w:jc w:val="left"/>
              <w:rPr>
                <w:b/>
              </w:rPr>
            </w:pPr>
            <w:r>
              <w:rPr>
                <w:b/>
              </w:rPr>
              <w:t>6.</w:t>
            </w:r>
          </w:p>
        </w:tc>
        <w:tc>
          <w:tcPr>
            <w:tcW w:w="6994" w:type="dxa"/>
            <w:gridSpan w:val="2"/>
            <w:tcBorders/>
            <w:vAlign w:val="center"/>
          </w:tcPr>
          <w:p>
            <w:pPr>
              <w:pStyle w:val="TableContents"/>
              <w:bidi w:val="0"/>
              <w:spacing w:before="0" w:after="283"/>
              <w:jc w:val="left"/>
              <w:rPr/>
            </w:pPr>
            <w:r>
              <w:rPr/>
              <w:t>Security Deposit</w:t>
            </w:r>
          </w:p>
        </w:tc>
        <w:tc>
          <w:tcPr>
            <w:tcW w:w="905" w:type="dxa"/>
            <w:tcBorders/>
            <w:vAlign w:val="center"/>
          </w:tcPr>
          <w:p>
            <w:pPr>
              <w:pStyle w:val="TableContents"/>
              <w:bidi w:val="0"/>
              <w:spacing w:before="0" w:after="283"/>
              <w:jc w:val="center"/>
              <w:rPr/>
            </w:pPr>
            <w:r>
              <w:rPr/>
              <w:t>5</w:t>
            </w:r>
          </w:p>
        </w:tc>
      </w:tr>
      <w:tr>
        <w:trPr/>
        <w:tc>
          <w:tcPr>
            <w:tcW w:w="320" w:type="dxa"/>
            <w:tcBorders/>
            <w:vAlign w:val="center"/>
          </w:tcPr>
          <w:p>
            <w:pPr>
              <w:pStyle w:val="TableContents"/>
              <w:bidi w:val="0"/>
              <w:spacing w:before="0" w:after="283"/>
              <w:jc w:val="left"/>
              <w:rPr>
                <w:b/>
              </w:rPr>
            </w:pPr>
            <w:r>
              <w:rPr>
                <w:b/>
              </w:rPr>
              <w:t>7.</w:t>
            </w:r>
          </w:p>
        </w:tc>
        <w:tc>
          <w:tcPr>
            <w:tcW w:w="6994" w:type="dxa"/>
            <w:gridSpan w:val="2"/>
            <w:tcBorders/>
            <w:vAlign w:val="center"/>
          </w:tcPr>
          <w:p>
            <w:pPr>
              <w:pStyle w:val="TableContents"/>
              <w:bidi w:val="0"/>
              <w:spacing w:before="0" w:after="283"/>
              <w:jc w:val="left"/>
              <w:rPr/>
            </w:pPr>
            <w:r>
              <w:rPr/>
              <w:t>Landlord’s Maintenance Obligations</w:t>
            </w:r>
          </w:p>
        </w:tc>
        <w:tc>
          <w:tcPr>
            <w:tcW w:w="905" w:type="dxa"/>
            <w:tcBorders/>
            <w:vAlign w:val="center"/>
          </w:tcPr>
          <w:p>
            <w:pPr>
              <w:pStyle w:val="TableContents"/>
              <w:bidi w:val="0"/>
              <w:spacing w:before="0" w:after="283"/>
              <w:jc w:val="center"/>
              <w:rPr/>
            </w:pPr>
            <w:r>
              <w:rPr/>
              <w:t>5</w:t>
            </w:r>
          </w:p>
        </w:tc>
      </w:tr>
      <w:tr>
        <w:trPr/>
        <w:tc>
          <w:tcPr>
            <w:tcW w:w="320" w:type="dxa"/>
            <w:tcBorders/>
            <w:vAlign w:val="center"/>
          </w:tcPr>
          <w:p>
            <w:pPr>
              <w:pStyle w:val="TableContents"/>
              <w:bidi w:val="0"/>
              <w:spacing w:before="0" w:after="283"/>
              <w:jc w:val="left"/>
              <w:rPr>
                <w:b/>
              </w:rPr>
            </w:pPr>
            <w:r>
              <w:rPr>
                <w:b/>
              </w:rPr>
              <w:t>8.</w:t>
            </w:r>
          </w:p>
        </w:tc>
        <w:tc>
          <w:tcPr>
            <w:tcW w:w="6994" w:type="dxa"/>
            <w:gridSpan w:val="2"/>
            <w:tcBorders/>
            <w:vAlign w:val="center"/>
          </w:tcPr>
          <w:p>
            <w:pPr>
              <w:pStyle w:val="TableContents"/>
              <w:bidi w:val="0"/>
              <w:spacing w:before="0" w:after="283"/>
              <w:jc w:val="left"/>
              <w:rPr/>
            </w:pPr>
            <w:r>
              <w:rPr/>
              <w:t>Improvements; Alterations; Tenant’s Maintenance and Repair Obligations</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Improvements; Alterations</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Repairs; Maintenance</w:t>
            </w:r>
          </w:p>
        </w:tc>
        <w:tc>
          <w:tcPr>
            <w:tcW w:w="905" w:type="dxa"/>
            <w:tcBorders/>
            <w:vAlign w:val="center"/>
          </w:tcPr>
          <w:p>
            <w:pPr>
              <w:pStyle w:val="TableContents"/>
              <w:bidi w:val="0"/>
              <w:spacing w:before="0" w:after="283"/>
              <w:jc w:val="center"/>
              <w:rPr/>
            </w:pPr>
            <w:r>
              <w:rPr/>
              <w:t>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Performance of Work</w:t>
            </w:r>
          </w:p>
        </w:tc>
        <w:tc>
          <w:tcPr>
            <w:tcW w:w="905" w:type="dxa"/>
            <w:tcBorders/>
            <w:vAlign w:val="center"/>
          </w:tcPr>
          <w:p>
            <w:pPr>
              <w:pStyle w:val="TableContents"/>
              <w:bidi w:val="0"/>
              <w:spacing w:before="0" w:after="283"/>
              <w:jc w:val="center"/>
              <w:rPr/>
            </w:pPr>
            <w:r>
              <w:rPr/>
              <w:t>7</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Mechanic’s Liens</w:t>
            </w:r>
          </w:p>
        </w:tc>
        <w:tc>
          <w:tcPr>
            <w:tcW w:w="905" w:type="dxa"/>
            <w:tcBorders/>
            <w:vAlign w:val="center"/>
          </w:tcPr>
          <w:p>
            <w:pPr>
              <w:pStyle w:val="TableContents"/>
              <w:bidi w:val="0"/>
              <w:spacing w:before="0" w:after="283"/>
              <w:jc w:val="center"/>
              <w:rPr/>
            </w:pPr>
            <w:r>
              <w:rPr/>
              <w:t>7</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Janitorial Services</w:t>
            </w:r>
          </w:p>
        </w:tc>
        <w:tc>
          <w:tcPr>
            <w:tcW w:w="905" w:type="dxa"/>
            <w:tcBorders/>
            <w:vAlign w:val="center"/>
          </w:tcPr>
          <w:p>
            <w:pPr>
              <w:pStyle w:val="TableContents"/>
              <w:bidi w:val="0"/>
              <w:spacing w:before="0" w:after="283"/>
              <w:jc w:val="center"/>
              <w:rPr/>
            </w:pPr>
            <w:r>
              <w:rPr/>
              <w:t>8</w:t>
            </w:r>
          </w:p>
        </w:tc>
      </w:tr>
      <w:tr>
        <w:trPr/>
        <w:tc>
          <w:tcPr>
            <w:tcW w:w="320" w:type="dxa"/>
            <w:tcBorders/>
            <w:vAlign w:val="center"/>
          </w:tcPr>
          <w:p>
            <w:pPr>
              <w:pStyle w:val="TableContents"/>
              <w:bidi w:val="0"/>
              <w:spacing w:before="0" w:after="283"/>
              <w:jc w:val="left"/>
              <w:rPr>
                <w:b/>
              </w:rPr>
            </w:pPr>
            <w:r>
              <w:rPr>
                <w:b/>
              </w:rPr>
              <w:t>9.</w:t>
            </w:r>
          </w:p>
        </w:tc>
        <w:tc>
          <w:tcPr>
            <w:tcW w:w="6994" w:type="dxa"/>
            <w:gridSpan w:val="2"/>
            <w:tcBorders/>
            <w:vAlign w:val="center"/>
          </w:tcPr>
          <w:p>
            <w:pPr>
              <w:pStyle w:val="TableContents"/>
              <w:bidi w:val="0"/>
              <w:spacing w:before="0" w:after="283"/>
              <w:jc w:val="left"/>
              <w:rPr/>
            </w:pPr>
            <w:r>
              <w:rPr/>
              <w:t>Utilities</w:t>
            </w:r>
          </w:p>
        </w:tc>
        <w:tc>
          <w:tcPr>
            <w:tcW w:w="905" w:type="dxa"/>
            <w:tcBorders/>
            <w:vAlign w:val="center"/>
          </w:tcPr>
          <w:p>
            <w:pPr>
              <w:pStyle w:val="TableContents"/>
              <w:bidi w:val="0"/>
              <w:spacing w:before="0" w:after="283"/>
              <w:jc w:val="center"/>
              <w:rPr/>
            </w:pPr>
            <w:r>
              <w:rPr/>
              <w:t>8</w:t>
            </w:r>
          </w:p>
        </w:tc>
      </w:tr>
      <w:tr>
        <w:trPr/>
        <w:tc>
          <w:tcPr>
            <w:tcW w:w="320" w:type="dxa"/>
            <w:tcBorders/>
            <w:vAlign w:val="center"/>
          </w:tcPr>
          <w:p>
            <w:pPr>
              <w:pStyle w:val="TableContents"/>
              <w:bidi w:val="0"/>
              <w:spacing w:before="0" w:after="283"/>
              <w:jc w:val="left"/>
              <w:rPr>
                <w:b/>
              </w:rPr>
            </w:pPr>
            <w:r>
              <w:rPr>
                <w:b/>
              </w:rPr>
              <w:t>10.</w:t>
            </w:r>
          </w:p>
        </w:tc>
        <w:tc>
          <w:tcPr>
            <w:tcW w:w="6994" w:type="dxa"/>
            <w:gridSpan w:val="2"/>
            <w:tcBorders/>
            <w:vAlign w:val="center"/>
          </w:tcPr>
          <w:p>
            <w:pPr>
              <w:pStyle w:val="TableContents"/>
              <w:bidi w:val="0"/>
              <w:spacing w:before="0" w:after="283"/>
              <w:jc w:val="left"/>
              <w:rPr/>
            </w:pPr>
            <w:r>
              <w:rPr/>
              <w:t>Use and Compliance with Law</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Use</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Compliance with Law</w:t>
            </w:r>
          </w:p>
        </w:tc>
        <w:tc>
          <w:tcPr>
            <w:tcW w:w="905" w:type="dxa"/>
            <w:tcBorders/>
            <w:vAlign w:val="center"/>
          </w:tcPr>
          <w:p>
            <w:pPr>
              <w:pStyle w:val="TableContents"/>
              <w:bidi w:val="0"/>
              <w:spacing w:before="0" w:after="283"/>
              <w:jc w:val="center"/>
              <w:rPr/>
            </w:pPr>
            <w:r>
              <w:rPr/>
              <w:t>9</w:t>
            </w:r>
          </w:p>
        </w:tc>
      </w:tr>
      <w:tr>
        <w:trPr/>
        <w:tc>
          <w:tcPr>
            <w:tcW w:w="320" w:type="dxa"/>
            <w:tcBorders/>
            <w:vAlign w:val="center"/>
          </w:tcPr>
          <w:p>
            <w:pPr>
              <w:pStyle w:val="TableContents"/>
              <w:bidi w:val="0"/>
              <w:spacing w:before="0" w:after="283"/>
              <w:jc w:val="left"/>
              <w:rPr>
                <w:b/>
              </w:rPr>
            </w:pPr>
            <w:r>
              <w:rPr>
                <w:b/>
              </w:rPr>
              <w:t>11.</w:t>
            </w:r>
          </w:p>
        </w:tc>
        <w:tc>
          <w:tcPr>
            <w:tcW w:w="6994" w:type="dxa"/>
            <w:gridSpan w:val="2"/>
            <w:tcBorders/>
            <w:vAlign w:val="center"/>
          </w:tcPr>
          <w:p>
            <w:pPr>
              <w:pStyle w:val="TableContents"/>
              <w:bidi w:val="0"/>
              <w:spacing w:before="0" w:after="283"/>
              <w:jc w:val="left"/>
              <w:rPr/>
            </w:pPr>
            <w:r>
              <w:rPr/>
              <w:t>Assignment and Subletting</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Transfers</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Consent Standards</w:t>
            </w:r>
          </w:p>
        </w:tc>
        <w:tc>
          <w:tcPr>
            <w:tcW w:w="905" w:type="dxa"/>
            <w:tcBorders/>
            <w:vAlign w:val="center"/>
          </w:tcPr>
          <w:p>
            <w:pPr>
              <w:pStyle w:val="TableContents"/>
              <w:bidi w:val="0"/>
              <w:spacing w:before="0" w:after="283"/>
              <w:jc w:val="center"/>
              <w:rPr/>
            </w:pPr>
            <w:r>
              <w:rPr/>
              <w:t>10</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Request for Consent</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Conditions to Consent</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Attornment by Subtenants</w:t>
            </w:r>
          </w:p>
        </w:tc>
        <w:tc>
          <w:tcPr>
            <w:tcW w:w="905" w:type="dxa"/>
            <w:tcBorders/>
            <w:vAlign w:val="center"/>
          </w:tcPr>
          <w:p>
            <w:pPr>
              <w:pStyle w:val="TableContents"/>
              <w:bidi w:val="0"/>
              <w:spacing w:before="0" w:after="283"/>
              <w:jc w:val="center"/>
              <w:rPr/>
            </w:pPr>
            <w:r>
              <w:rPr/>
              <w:t>11</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(f)</w:t>
            </w:r>
          </w:p>
        </w:tc>
        <w:tc>
          <w:tcPr>
            <w:tcW w:w="6559" w:type="dxa"/>
            <w:tcBorders/>
            <w:vAlign w:val="center"/>
          </w:tcPr>
          <w:p>
            <w:pPr>
              <w:pStyle w:val="TableContents"/>
              <w:bidi w:val="0"/>
              <w:spacing w:before="0" w:after="283"/>
              <w:jc w:val="left"/>
              <w:rPr/>
            </w:pPr>
            <w:r>
              <w:rPr/>
              <w:t>Cancellation</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(g)</w:t>
            </w:r>
          </w:p>
        </w:tc>
        <w:tc>
          <w:tcPr>
            <w:tcW w:w="6559" w:type="dxa"/>
            <w:tcBorders/>
            <w:vAlign w:val="center"/>
          </w:tcPr>
          <w:p>
            <w:pPr>
              <w:pStyle w:val="TableContents"/>
              <w:bidi w:val="0"/>
              <w:spacing w:before="0" w:after="283"/>
              <w:jc w:val="left"/>
              <w:rPr/>
            </w:pPr>
            <w:r>
              <w:rPr/>
              <w:t>Additional Compensation</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(h)</w:t>
            </w:r>
          </w:p>
        </w:tc>
        <w:tc>
          <w:tcPr>
            <w:tcW w:w="6559" w:type="dxa"/>
            <w:tcBorders/>
            <w:vAlign w:val="center"/>
          </w:tcPr>
          <w:p>
            <w:pPr>
              <w:pStyle w:val="TableContents"/>
              <w:bidi w:val="0"/>
              <w:spacing w:before="0" w:after="283"/>
              <w:jc w:val="left"/>
              <w:rPr/>
            </w:pPr>
            <w:r>
              <w:rPr/>
              <w:t>Permitted Transfers</w:t>
            </w:r>
          </w:p>
        </w:tc>
        <w:tc>
          <w:tcPr>
            <w:tcW w:w="905" w:type="dxa"/>
            <w:tcBorders/>
            <w:vAlign w:val="center"/>
          </w:tcPr>
          <w:p>
            <w:pPr>
              <w:pStyle w:val="TableContents"/>
              <w:bidi w:val="0"/>
              <w:spacing w:before="0" w:after="283"/>
              <w:jc w:val="center"/>
              <w:rPr/>
            </w:pPr>
            <w:r>
              <w:rPr/>
              <w:t>12</w:t>
            </w:r>
          </w:p>
        </w:tc>
      </w:tr>
      <w:tr>
        <w:trPr/>
        <w:tc>
          <w:tcPr>
            <w:tcW w:w="320" w:type="dxa"/>
            <w:tcBorders/>
            <w:vAlign w:val="center"/>
          </w:tcPr>
          <w:p>
            <w:pPr>
              <w:pStyle w:val="TableContents"/>
              <w:bidi w:val="0"/>
              <w:spacing w:before="0" w:after="283"/>
              <w:jc w:val="left"/>
              <w:rPr>
                <w:b/>
              </w:rPr>
            </w:pPr>
            <w:r>
              <w:rPr>
                <w:b/>
              </w:rPr>
              <w:t>12.</w:t>
            </w:r>
          </w:p>
        </w:tc>
        <w:tc>
          <w:tcPr>
            <w:tcW w:w="6994" w:type="dxa"/>
            <w:gridSpan w:val="2"/>
            <w:tcBorders/>
            <w:vAlign w:val="center"/>
          </w:tcPr>
          <w:p>
            <w:pPr>
              <w:pStyle w:val="TableContents"/>
              <w:bidi w:val="0"/>
              <w:spacing w:before="0" w:after="283"/>
              <w:jc w:val="left"/>
              <w:rPr/>
            </w:pPr>
            <w:r>
              <w:rPr/>
              <w:t>Insurance; Waivers; Subrogation; Indemnity</w:t>
            </w:r>
          </w:p>
        </w:tc>
        <w:tc>
          <w:tcPr>
            <w:tcW w:w="905" w:type="dxa"/>
            <w:tcBorders/>
            <w:vAlign w:val="center"/>
          </w:tcPr>
          <w:p>
            <w:pPr>
              <w:pStyle w:val="TableContents"/>
              <w:bidi w:val="0"/>
              <w:spacing w:before="0" w:after="283"/>
              <w:jc w:val="center"/>
              <w:rPr/>
            </w:pPr>
            <w:r>
              <w:rPr/>
              <w:t>13</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Tenant’s Insurance</w:t>
            </w:r>
          </w:p>
        </w:tc>
        <w:tc>
          <w:tcPr>
            <w:tcW w:w="905" w:type="dxa"/>
            <w:tcBorders/>
            <w:vAlign w:val="center"/>
          </w:tcPr>
          <w:p>
            <w:pPr>
              <w:pStyle w:val="TableContents"/>
              <w:bidi w:val="0"/>
              <w:spacing w:before="0" w:after="283"/>
              <w:jc w:val="center"/>
              <w:rPr/>
            </w:pPr>
            <w:r>
              <w:rPr/>
              <w:t>13</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Landlord’s Insurance</w:t>
            </w:r>
          </w:p>
        </w:tc>
        <w:tc>
          <w:tcPr>
            <w:tcW w:w="905" w:type="dxa"/>
            <w:tcBorders/>
            <w:vAlign w:val="center"/>
          </w:tcPr>
          <w:p>
            <w:pPr>
              <w:pStyle w:val="TableContents"/>
              <w:bidi w:val="0"/>
              <w:spacing w:before="0" w:after="283"/>
              <w:jc w:val="center"/>
              <w:rPr/>
            </w:pPr>
            <w:r>
              <w:rPr/>
              <w:t>14</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No Subrogation; Waiver of Property Claims</w:t>
            </w:r>
          </w:p>
        </w:tc>
        <w:tc>
          <w:tcPr>
            <w:tcW w:w="905" w:type="dxa"/>
            <w:tcBorders/>
            <w:vAlign w:val="center"/>
          </w:tcPr>
          <w:p>
            <w:pPr>
              <w:pStyle w:val="TableContents"/>
              <w:bidi w:val="0"/>
              <w:spacing w:before="0" w:after="283"/>
              <w:jc w:val="center"/>
              <w:rPr/>
            </w:pPr>
            <w:r>
              <w:rPr/>
              <w:t>14</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Indemnity</w:t>
            </w:r>
          </w:p>
        </w:tc>
        <w:tc>
          <w:tcPr>
            <w:tcW w:w="905" w:type="dxa"/>
            <w:tcBorders/>
            <w:vAlign w:val="center"/>
          </w:tcPr>
          <w:p>
            <w:pPr>
              <w:pStyle w:val="TableContents"/>
              <w:bidi w:val="0"/>
              <w:spacing w:before="0" w:after="283"/>
              <w:jc w:val="center"/>
              <w:rPr/>
            </w:pPr>
            <w:r>
              <w:rPr/>
              <w:t>15</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(e)</w:t>
            </w:r>
          </w:p>
        </w:tc>
        <w:tc>
          <w:tcPr>
            <w:tcW w:w="6559" w:type="dxa"/>
            <w:tcBorders/>
            <w:vAlign w:val="center"/>
          </w:tcPr>
          <w:p>
            <w:pPr>
              <w:pStyle w:val="TableContents"/>
              <w:bidi w:val="0"/>
              <w:spacing w:before="0" w:after="283"/>
              <w:jc w:val="left"/>
              <w:rPr/>
            </w:pPr>
            <w:r>
              <w:rPr/>
              <w:t>Cost of Landlord’s Insurance</w:t>
            </w:r>
          </w:p>
        </w:tc>
        <w:tc>
          <w:tcPr>
            <w:tcW w:w="905" w:type="dxa"/>
            <w:tcBorders/>
            <w:vAlign w:val="center"/>
          </w:tcPr>
          <w:p>
            <w:pPr>
              <w:pStyle w:val="TableContents"/>
              <w:bidi w:val="0"/>
              <w:spacing w:before="0" w:after="283"/>
              <w:jc w:val="center"/>
              <w:rPr/>
            </w:pPr>
            <w:r>
              <w:rPr/>
              <w:t>15</w:t>
            </w:r>
          </w:p>
        </w:tc>
      </w:tr>
      <w:tr>
        <w:trPr/>
        <w:tc>
          <w:tcPr>
            <w:tcW w:w="320" w:type="dxa"/>
            <w:tcBorders/>
            <w:vAlign w:val="center"/>
          </w:tcPr>
          <w:p>
            <w:pPr>
              <w:pStyle w:val="TableContents"/>
              <w:bidi w:val="0"/>
              <w:spacing w:before="0" w:after="283"/>
              <w:jc w:val="left"/>
              <w:rPr>
                <w:b/>
              </w:rPr>
            </w:pPr>
            <w:r>
              <w:rPr>
                <w:b/>
              </w:rPr>
              <w:t>13.</w:t>
            </w:r>
          </w:p>
        </w:tc>
        <w:tc>
          <w:tcPr>
            <w:tcW w:w="6994" w:type="dxa"/>
            <w:gridSpan w:val="2"/>
            <w:tcBorders/>
            <w:vAlign w:val="center"/>
          </w:tcPr>
          <w:p>
            <w:pPr>
              <w:pStyle w:val="TableContents"/>
              <w:bidi w:val="0"/>
              <w:spacing w:before="0" w:after="283"/>
              <w:jc w:val="left"/>
              <w:rPr/>
            </w:pPr>
            <w:r>
              <w:rPr/>
              <w:t>Subordination; Attornment; Notice to Landlord’s Mortgagee</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(a)</w:t>
            </w:r>
          </w:p>
        </w:tc>
        <w:tc>
          <w:tcPr>
            <w:tcW w:w="6559" w:type="dxa"/>
            <w:tcBorders/>
            <w:vAlign w:val="center"/>
          </w:tcPr>
          <w:p>
            <w:pPr>
              <w:pStyle w:val="TableContents"/>
              <w:bidi w:val="0"/>
              <w:spacing w:before="0" w:after="283"/>
              <w:jc w:val="left"/>
              <w:rPr/>
            </w:pPr>
            <w:r>
              <w:rPr/>
              <w:t>Subordination</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(b)</w:t>
            </w:r>
          </w:p>
        </w:tc>
        <w:tc>
          <w:tcPr>
            <w:tcW w:w="6559" w:type="dxa"/>
            <w:tcBorders/>
            <w:vAlign w:val="center"/>
          </w:tcPr>
          <w:p>
            <w:pPr>
              <w:pStyle w:val="TableContents"/>
              <w:bidi w:val="0"/>
              <w:spacing w:before="0" w:after="283"/>
              <w:jc w:val="left"/>
              <w:rPr/>
            </w:pPr>
            <w:r>
              <w:rPr/>
              <w:t>Attornment</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(c)</w:t>
            </w:r>
          </w:p>
        </w:tc>
        <w:tc>
          <w:tcPr>
            <w:tcW w:w="6559" w:type="dxa"/>
            <w:tcBorders/>
            <w:vAlign w:val="center"/>
          </w:tcPr>
          <w:p>
            <w:pPr>
              <w:pStyle w:val="TableContents"/>
              <w:bidi w:val="0"/>
              <w:spacing w:before="0" w:after="283"/>
              <w:jc w:val="left"/>
              <w:rPr/>
            </w:pPr>
            <w:r>
              <w:rPr/>
              <w:t>Notice to Landlord’s Mortgagee</w:t>
            </w:r>
          </w:p>
        </w:tc>
        <w:tc>
          <w:tcPr>
            <w:tcW w:w="905" w:type="dxa"/>
            <w:tcBorders/>
            <w:vAlign w:val="center"/>
          </w:tcPr>
          <w:p>
            <w:pPr>
              <w:pStyle w:val="TableContents"/>
              <w:bidi w:val="0"/>
              <w:spacing w:before="0" w:after="283"/>
              <w:jc w:val="center"/>
              <w:rPr/>
            </w:pPr>
            <w:r>
              <w:rPr/>
              <w:t>16</w:t>
            </w:r>
          </w:p>
        </w:tc>
      </w:tr>
      <w:tr>
        <w:trPr/>
        <w:tc>
          <w:tcPr>
            <w:tcW w:w="32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(d)</w:t>
            </w:r>
          </w:p>
        </w:tc>
        <w:tc>
          <w:tcPr>
            <w:tcW w:w="6559" w:type="dxa"/>
            <w:tcBorders/>
            <w:vAlign w:val="center"/>
          </w:tcPr>
          <w:p>
            <w:pPr>
              <w:pStyle w:val="TableContents"/>
              <w:bidi w:val="0"/>
              <w:spacing w:before="0" w:after="283"/>
              <w:jc w:val="left"/>
              <w:rPr/>
            </w:pPr>
            <w:r>
              <w:rPr/>
              <w:t>Landlord’s Mortgagee’s Protection Provisions</w:t>
            </w:r>
          </w:p>
        </w:tc>
        <w:tc>
          <w:tcPr>
            <w:tcW w:w="905"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14" w:type="dxa"/>
        <w:jc w:val="left"/>
        <w:tblInd w:w="0" w:type="dxa"/>
        <w:tblLayout w:type="fixed"/>
        <w:tblCellMar>
          <w:top w:w="0" w:type="dxa"/>
          <w:left w:w="0" w:type="dxa"/>
          <w:bottom w:w="0" w:type="dxa"/>
          <w:right w:w="0" w:type="dxa"/>
        </w:tblCellMar>
      </w:tblPr>
      <w:tblGrid>
        <w:gridCol w:w="320"/>
        <w:gridCol w:w="439"/>
        <w:gridCol w:w="4935"/>
        <w:gridCol w:w="320"/>
      </w:tblGrid>
      <w:tr>
        <w:trPr/>
        <w:tc>
          <w:tcPr>
            <w:tcW w:w="320" w:type="dxa"/>
            <w:tcBorders/>
            <w:vAlign w:val="center"/>
          </w:tcPr>
          <w:p>
            <w:pPr>
              <w:pStyle w:val="TableContents"/>
              <w:bidi w:val="0"/>
              <w:spacing w:before="0" w:after="283"/>
              <w:jc w:val="left"/>
              <w:rPr>
                <w:b/>
              </w:rPr>
            </w:pPr>
            <w:r>
              <w:rPr>
                <w:b/>
              </w:rPr>
              <w:t>14.</w:t>
            </w:r>
          </w:p>
        </w:tc>
        <w:tc>
          <w:tcPr>
            <w:tcW w:w="5374" w:type="dxa"/>
            <w:gridSpan w:val="2"/>
            <w:tcBorders/>
            <w:vAlign w:val="center"/>
          </w:tcPr>
          <w:p>
            <w:pPr>
              <w:pStyle w:val="TableContents"/>
              <w:bidi w:val="0"/>
              <w:spacing w:before="0" w:after="283"/>
              <w:jc w:val="left"/>
              <w:rPr/>
            </w:pPr>
            <w:r>
              <w:rPr/>
              <w:t>Rules and Regulations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b/>
              </w:rPr>
            </w:pPr>
            <w:r>
              <w:rPr>
                <w:b/>
              </w:rPr>
              <w:t>15.</w:t>
            </w:r>
          </w:p>
        </w:tc>
        <w:tc>
          <w:tcPr>
            <w:tcW w:w="5374" w:type="dxa"/>
            <w:gridSpan w:val="2"/>
            <w:tcBorders/>
            <w:vAlign w:val="center"/>
          </w:tcPr>
          <w:p>
            <w:pPr>
              <w:pStyle w:val="TableContents"/>
              <w:bidi w:val="0"/>
              <w:spacing w:before="0" w:after="283"/>
              <w:jc w:val="left"/>
              <w:rPr/>
            </w:pPr>
            <w:r>
              <w:rPr/>
              <w:t>Condemnation</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Total Taking</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Partial Taking - Tenant’s Rights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Partial Taking - Landlord’s Rights</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Temporary Taking</w:t>
            </w:r>
          </w:p>
        </w:tc>
        <w:tc>
          <w:tcPr>
            <w:tcW w:w="320" w:type="dxa"/>
            <w:tcBorders/>
            <w:vAlign w:val="center"/>
          </w:tcPr>
          <w:p>
            <w:pPr>
              <w:pStyle w:val="TableContents"/>
              <w:bidi w:val="0"/>
              <w:spacing w:before="0" w:after="283"/>
              <w:jc w:val="center"/>
              <w:rPr/>
            </w:pPr>
            <w:r>
              <w:rPr/>
              <w:t>17</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Award</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b/>
              </w:rPr>
            </w:pPr>
            <w:r>
              <w:rPr>
                <w:b/>
              </w:rPr>
              <w:t>16.</w:t>
            </w:r>
          </w:p>
        </w:tc>
        <w:tc>
          <w:tcPr>
            <w:tcW w:w="5374" w:type="dxa"/>
            <w:gridSpan w:val="2"/>
            <w:tcBorders/>
            <w:vAlign w:val="center"/>
          </w:tcPr>
          <w:p>
            <w:pPr>
              <w:pStyle w:val="TableContents"/>
              <w:bidi w:val="0"/>
              <w:spacing w:before="0" w:after="283"/>
              <w:jc w:val="left"/>
              <w:rPr/>
            </w:pPr>
            <w:r>
              <w:rPr/>
              <w:t>Fire or Other Casualty</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Repair Estimate</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Tenant’s Rights</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Landlord’s Rights</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Repair Obligation</w:t>
            </w:r>
          </w:p>
        </w:tc>
        <w:tc>
          <w:tcPr>
            <w:tcW w:w="320" w:type="dxa"/>
            <w:tcBorders/>
            <w:vAlign w:val="center"/>
          </w:tcPr>
          <w:p>
            <w:pPr>
              <w:pStyle w:val="TableContents"/>
              <w:bidi w:val="0"/>
              <w:spacing w:before="0" w:after="283"/>
              <w:jc w:val="center"/>
              <w:rPr/>
            </w:pPr>
            <w:r>
              <w:rPr/>
              <w:t>18</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Abatement of Rent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b/>
              </w:rPr>
            </w:pPr>
            <w:r>
              <w:rPr>
                <w:b/>
              </w:rPr>
              <w:t>17.</w:t>
            </w:r>
          </w:p>
        </w:tc>
        <w:tc>
          <w:tcPr>
            <w:tcW w:w="5374" w:type="dxa"/>
            <w:gridSpan w:val="2"/>
            <w:tcBorders/>
            <w:vAlign w:val="center"/>
          </w:tcPr>
          <w:p>
            <w:pPr>
              <w:pStyle w:val="TableContents"/>
              <w:bidi w:val="0"/>
              <w:spacing w:before="0" w:after="283"/>
              <w:jc w:val="left"/>
              <w:rPr/>
            </w:pPr>
            <w:r>
              <w:rPr/>
              <w:t>Personal Property Taxes</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b/>
              </w:rPr>
            </w:pPr>
            <w:r>
              <w:rPr>
                <w:b/>
              </w:rPr>
              <w:t>18.</w:t>
            </w:r>
          </w:p>
        </w:tc>
        <w:tc>
          <w:tcPr>
            <w:tcW w:w="5374" w:type="dxa"/>
            <w:gridSpan w:val="2"/>
            <w:tcBorders/>
            <w:vAlign w:val="center"/>
          </w:tcPr>
          <w:p>
            <w:pPr>
              <w:pStyle w:val="TableContents"/>
              <w:bidi w:val="0"/>
              <w:spacing w:before="0" w:after="283"/>
              <w:jc w:val="left"/>
              <w:rPr/>
            </w:pPr>
            <w:r>
              <w:rPr/>
              <w:t>Events of Default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Payment Default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Abandonment</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Estoppel</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Insurance</w:t>
            </w:r>
          </w:p>
        </w:tc>
        <w:tc>
          <w:tcPr>
            <w:tcW w:w="320" w:type="dxa"/>
            <w:tcBorders/>
            <w:vAlign w:val="center"/>
          </w:tcPr>
          <w:p>
            <w:pPr>
              <w:pStyle w:val="TableContents"/>
              <w:bidi w:val="0"/>
              <w:spacing w:before="0" w:after="283"/>
              <w:jc w:val="center"/>
              <w:rPr/>
            </w:pPr>
            <w:r>
              <w:rPr/>
              <w:t>19</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Mechanic’s Liens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(f)</w:t>
            </w:r>
          </w:p>
        </w:tc>
        <w:tc>
          <w:tcPr>
            <w:tcW w:w="4935" w:type="dxa"/>
            <w:tcBorders/>
            <w:vAlign w:val="center"/>
          </w:tcPr>
          <w:p>
            <w:pPr>
              <w:pStyle w:val="TableContents"/>
              <w:bidi w:val="0"/>
              <w:spacing w:before="0" w:after="283"/>
              <w:jc w:val="left"/>
              <w:rPr/>
            </w:pPr>
            <w:r>
              <w:rPr/>
              <w:t>Other Defaults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(g)</w:t>
            </w:r>
          </w:p>
        </w:tc>
        <w:tc>
          <w:tcPr>
            <w:tcW w:w="4935" w:type="dxa"/>
            <w:tcBorders/>
            <w:vAlign w:val="center"/>
          </w:tcPr>
          <w:p>
            <w:pPr>
              <w:pStyle w:val="TableContents"/>
              <w:bidi w:val="0"/>
              <w:spacing w:before="0" w:after="283"/>
              <w:jc w:val="left"/>
              <w:rPr/>
            </w:pPr>
            <w:r>
              <w:rPr/>
              <w:t>Insolvency</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b/>
              </w:rPr>
            </w:pPr>
            <w:r>
              <w:rPr>
                <w:b/>
              </w:rPr>
              <w:t>19.</w:t>
            </w:r>
          </w:p>
        </w:tc>
        <w:tc>
          <w:tcPr>
            <w:tcW w:w="5374" w:type="dxa"/>
            <w:gridSpan w:val="2"/>
            <w:tcBorders/>
            <w:vAlign w:val="center"/>
          </w:tcPr>
          <w:p>
            <w:pPr>
              <w:pStyle w:val="TableContents"/>
              <w:bidi w:val="0"/>
              <w:spacing w:before="0" w:after="283"/>
              <w:jc w:val="left"/>
              <w:rPr/>
            </w:pPr>
            <w:r>
              <w:rPr/>
              <w:t>Remedies</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Termination of Lease</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Termination of Possession</w:t>
            </w:r>
          </w:p>
        </w:tc>
        <w:tc>
          <w:tcPr>
            <w:tcW w:w="320" w:type="dxa"/>
            <w:tcBorders/>
            <w:vAlign w:val="center"/>
          </w:tcPr>
          <w:p>
            <w:pPr>
              <w:pStyle w:val="TableContents"/>
              <w:bidi w:val="0"/>
              <w:spacing w:before="0" w:after="283"/>
              <w:jc w:val="center"/>
              <w:rPr/>
            </w:pPr>
            <w:r>
              <w:rPr/>
              <w:t>20</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Perform Acts on Behalf of Tenant</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(d)</w:t>
            </w:r>
          </w:p>
        </w:tc>
        <w:tc>
          <w:tcPr>
            <w:tcW w:w="4935" w:type="dxa"/>
            <w:tcBorders/>
            <w:vAlign w:val="center"/>
          </w:tcPr>
          <w:p>
            <w:pPr>
              <w:pStyle w:val="TableContents"/>
              <w:bidi w:val="0"/>
              <w:spacing w:before="0" w:after="283"/>
              <w:jc w:val="left"/>
              <w:rPr/>
            </w:pPr>
            <w:r>
              <w:rPr/>
              <w:t>Suspension of Services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(e)</w:t>
            </w:r>
          </w:p>
        </w:tc>
        <w:tc>
          <w:tcPr>
            <w:tcW w:w="4935" w:type="dxa"/>
            <w:tcBorders/>
            <w:vAlign w:val="center"/>
          </w:tcPr>
          <w:p>
            <w:pPr>
              <w:pStyle w:val="TableContents"/>
              <w:bidi w:val="0"/>
              <w:spacing w:before="0" w:after="283"/>
              <w:jc w:val="left"/>
              <w:rPr/>
            </w:pPr>
            <w:r>
              <w:rPr/>
              <w:t>Alteration of Locks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b/>
              </w:rPr>
            </w:pPr>
            <w:r>
              <w:rPr>
                <w:b/>
              </w:rPr>
              <w:t>20.</w:t>
            </w:r>
          </w:p>
        </w:tc>
        <w:tc>
          <w:tcPr>
            <w:tcW w:w="5374" w:type="dxa"/>
            <w:gridSpan w:val="2"/>
            <w:tcBorders/>
            <w:vAlign w:val="center"/>
          </w:tcPr>
          <w:p>
            <w:pPr>
              <w:pStyle w:val="TableContents"/>
              <w:bidi w:val="0"/>
              <w:spacing w:before="0" w:after="283"/>
              <w:jc w:val="left"/>
              <w:rPr/>
            </w:pPr>
            <w:r>
              <w:rPr/>
              <w:t>Payment by Tenant; Non-Waiver; Cumulative Remedies</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(a)</w:t>
            </w:r>
          </w:p>
        </w:tc>
        <w:tc>
          <w:tcPr>
            <w:tcW w:w="4935" w:type="dxa"/>
            <w:tcBorders/>
            <w:vAlign w:val="center"/>
          </w:tcPr>
          <w:p>
            <w:pPr>
              <w:pStyle w:val="TableContents"/>
              <w:bidi w:val="0"/>
              <w:spacing w:before="0" w:after="283"/>
              <w:jc w:val="left"/>
              <w:rPr/>
            </w:pPr>
            <w:r>
              <w:rPr/>
              <w:t>Payment by Tenant</w:t>
            </w:r>
          </w:p>
        </w:tc>
        <w:tc>
          <w:tcPr>
            <w:tcW w:w="320" w:type="dxa"/>
            <w:tcBorders/>
            <w:vAlign w:val="center"/>
          </w:tcPr>
          <w:p>
            <w:pPr>
              <w:pStyle w:val="TableContents"/>
              <w:bidi w:val="0"/>
              <w:spacing w:before="0" w:after="283"/>
              <w:jc w:val="center"/>
              <w:rPr/>
            </w:pPr>
            <w:r>
              <w:rPr/>
              <w:t>21</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w:t>
            </w:r>
          </w:p>
        </w:tc>
        <w:tc>
          <w:tcPr>
            <w:tcW w:w="4935" w:type="dxa"/>
            <w:tcBorders/>
            <w:vAlign w:val="center"/>
          </w:tcPr>
          <w:p>
            <w:pPr>
              <w:pStyle w:val="TableContents"/>
              <w:bidi w:val="0"/>
              <w:spacing w:before="0" w:after="283"/>
              <w:jc w:val="left"/>
              <w:rPr/>
            </w:pPr>
            <w:r>
              <w:rPr/>
              <w:t>No Waiver</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(c)</w:t>
            </w:r>
          </w:p>
        </w:tc>
        <w:tc>
          <w:tcPr>
            <w:tcW w:w="4935" w:type="dxa"/>
            <w:tcBorders/>
            <w:vAlign w:val="center"/>
          </w:tcPr>
          <w:p>
            <w:pPr>
              <w:pStyle w:val="TableContents"/>
              <w:bidi w:val="0"/>
              <w:spacing w:before="0" w:after="283"/>
              <w:jc w:val="left"/>
              <w:rPr/>
            </w:pPr>
            <w:r>
              <w:rPr/>
              <w:t>Cumulative Remedies</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b/>
              </w:rPr>
            </w:pPr>
            <w:r>
              <w:rPr>
                <w:b/>
              </w:rPr>
              <w:t>21.</w:t>
            </w:r>
          </w:p>
        </w:tc>
        <w:tc>
          <w:tcPr>
            <w:tcW w:w="5374" w:type="dxa"/>
            <w:gridSpan w:val="2"/>
            <w:tcBorders/>
            <w:vAlign w:val="center"/>
          </w:tcPr>
          <w:p>
            <w:pPr>
              <w:pStyle w:val="TableContents"/>
              <w:bidi w:val="0"/>
              <w:spacing w:before="0" w:after="283"/>
              <w:jc w:val="left"/>
              <w:rPr/>
            </w:pPr>
            <w:r>
              <w:rPr/>
              <w:t>Landlord’s Lien</w:t>
            </w:r>
          </w:p>
        </w:tc>
        <w:tc>
          <w:tcPr>
            <w:tcW w:w="320" w:type="dxa"/>
            <w:tcBorders/>
            <w:vAlign w:val="center"/>
          </w:tcPr>
          <w:p>
            <w:pPr>
              <w:pStyle w:val="TableContents"/>
              <w:bidi w:val="0"/>
              <w:spacing w:before="0" w:after="283"/>
              <w:jc w:val="center"/>
              <w:rPr/>
            </w:pPr>
            <w:r>
              <w:rPr/>
              <w:t>22</w:t>
            </w:r>
          </w:p>
        </w:tc>
      </w:tr>
      <w:tr>
        <w:trPr/>
        <w:tc>
          <w:tcPr>
            <w:tcW w:w="320" w:type="dxa"/>
            <w:tcBorders/>
            <w:vAlign w:val="center"/>
          </w:tcPr>
          <w:p>
            <w:pPr>
              <w:pStyle w:val="TableContents"/>
              <w:bidi w:val="0"/>
              <w:spacing w:before="0" w:after="283"/>
              <w:jc w:val="left"/>
              <w:rPr>
                <w:b/>
              </w:rPr>
            </w:pPr>
            <w:r>
              <w:rPr>
                <w:b/>
              </w:rPr>
              <w:t>22.</w:t>
            </w:r>
          </w:p>
        </w:tc>
        <w:tc>
          <w:tcPr>
            <w:tcW w:w="5374" w:type="dxa"/>
            <w:gridSpan w:val="2"/>
            <w:tcBorders/>
            <w:vAlign w:val="center"/>
          </w:tcPr>
          <w:p>
            <w:pPr>
              <w:pStyle w:val="TableContents"/>
              <w:bidi w:val="0"/>
              <w:spacing w:before="0" w:after="283"/>
              <w:jc w:val="left"/>
              <w:rPr/>
            </w:pPr>
            <w:r>
              <w:rPr/>
              <w:t>Surrender of Premises</w:t>
            </w:r>
          </w:p>
        </w:tc>
        <w:tc>
          <w:tcPr>
            <w:tcW w:w="32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320"/>
        <w:gridCol w:w="350"/>
        <w:gridCol w:w="5075"/>
        <w:gridCol w:w="260"/>
      </w:tblGrid>
      <w:tr>
        <w:trPr/>
        <w:tc>
          <w:tcPr>
            <w:tcW w:w="320" w:type="dxa"/>
            <w:tcBorders/>
            <w:vAlign w:val="center"/>
          </w:tcPr>
          <w:p>
            <w:pPr>
              <w:pStyle w:val="TableContents"/>
              <w:bidi w:val="0"/>
              <w:spacing w:before="0" w:after="283"/>
              <w:jc w:val="left"/>
              <w:rPr>
                <w:b/>
              </w:rPr>
            </w:pPr>
            <w:r>
              <w:rPr>
                <w:b/>
              </w:rPr>
              <w:t>23.</w:t>
            </w:r>
          </w:p>
        </w:tc>
        <w:tc>
          <w:tcPr>
            <w:tcW w:w="5425" w:type="dxa"/>
            <w:gridSpan w:val="2"/>
            <w:tcBorders/>
            <w:vAlign w:val="center"/>
          </w:tcPr>
          <w:p>
            <w:pPr>
              <w:pStyle w:val="TableContents"/>
              <w:bidi w:val="0"/>
              <w:spacing w:before="0" w:after="283"/>
              <w:jc w:val="left"/>
              <w:rPr/>
            </w:pPr>
            <w:r>
              <w:rPr/>
              <w:t>Holding Over</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b/>
              </w:rPr>
            </w:pPr>
            <w:r>
              <w:rPr>
                <w:b/>
              </w:rPr>
              <w:t>24.</w:t>
            </w:r>
          </w:p>
        </w:tc>
        <w:tc>
          <w:tcPr>
            <w:tcW w:w="5425" w:type="dxa"/>
            <w:gridSpan w:val="2"/>
            <w:tcBorders/>
            <w:vAlign w:val="center"/>
          </w:tcPr>
          <w:p>
            <w:pPr>
              <w:pStyle w:val="TableContents"/>
              <w:bidi w:val="0"/>
              <w:spacing w:before="0" w:after="283"/>
              <w:jc w:val="left"/>
              <w:rPr/>
            </w:pPr>
            <w:r>
              <w:rPr/>
              <w:t>Certain Rights Reserved by Landlord</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Building Operations</w:t>
            </w:r>
          </w:p>
        </w:tc>
        <w:tc>
          <w:tcPr>
            <w:tcW w:w="260" w:type="dxa"/>
            <w:tcBorders/>
            <w:vAlign w:val="center"/>
          </w:tcPr>
          <w:p>
            <w:pPr>
              <w:pStyle w:val="TableContents"/>
              <w:bidi w:val="0"/>
              <w:spacing w:before="0" w:after="283"/>
              <w:jc w:val="center"/>
              <w:rPr/>
            </w:pPr>
            <w:r>
              <w:rPr/>
              <w:t>23</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Security</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Prospective Purchasers and Lenders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Prospective Tenants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b/>
              </w:rPr>
            </w:pPr>
            <w:r>
              <w:rPr>
                <w:b/>
              </w:rPr>
              <w:t>25.</w:t>
            </w:r>
          </w:p>
        </w:tc>
        <w:tc>
          <w:tcPr>
            <w:tcW w:w="5425" w:type="dxa"/>
            <w:gridSpan w:val="2"/>
            <w:tcBorders/>
            <w:vAlign w:val="center"/>
          </w:tcPr>
          <w:p>
            <w:pPr>
              <w:pStyle w:val="TableContents"/>
              <w:bidi w:val="0"/>
              <w:spacing w:before="0" w:after="283"/>
              <w:jc w:val="left"/>
              <w:rPr/>
            </w:pPr>
            <w:r>
              <w:rPr/>
              <w:t>Intentionally Omitted</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b/>
              </w:rPr>
            </w:pPr>
            <w:r>
              <w:rPr>
                <w:b/>
              </w:rPr>
              <w:t>26.</w:t>
            </w:r>
          </w:p>
        </w:tc>
        <w:tc>
          <w:tcPr>
            <w:tcW w:w="5425" w:type="dxa"/>
            <w:gridSpan w:val="2"/>
            <w:tcBorders/>
            <w:vAlign w:val="center"/>
          </w:tcPr>
          <w:p>
            <w:pPr>
              <w:pStyle w:val="TableContents"/>
              <w:bidi w:val="0"/>
              <w:spacing w:before="0" w:after="283"/>
              <w:jc w:val="left"/>
              <w:rPr/>
            </w:pPr>
            <w:r>
              <w:rPr/>
              <w:t>Miscellaneous</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Landlord Transfer</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Landlord’s Liability</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Force Majeure</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Brokerage</w:t>
            </w:r>
          </w:p>
        </w:tc>
        <w:tc>
          <w:tcPr>
            <w:tcW w:w="260" w:type="dxa"/>
            <w:tcBorders/>
            <w:vAlign w:val="center"/>
          </w:tcPr>
          <w:p>
            <w:pPr>
              <w:pStyle w:val="TableContents"/>
              <w:bidi w:val="0"/>
              <w:spacing w:before="0" w:after="283"/>
              <w:jc w:val="center"/>
              <w:rPr/>
            </w:pPr>
            <w:r>
              <w:rPr/>
              <w:t>24</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(e)</w:t>
            </w:r>
          </w:p>
        </w:tc>
        <w:tc>
          <w:tcPr>
            <w:tcW w:w="5075" w:type="dxa"/>
            <w:tcBorders/>
            <w:vAlign w:val="center"/>
          </w:tcPr>
          <w:p>
            <w:pPr>
              <w:pStyle w:val="TableContents"/>
              <w:bidi w:val="0"/>
              <w:spacing w:before="0" w:after="283"/>
              <w:jc w:val="left"/>
              <w:rPr/>
            </w:pPr>
            <w:r>
              <w:rPr/>
              <w:t>Estoppel Certificates</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(f)</w:t>
            </w:r>
          </w:p>
        </w:tc>
        <w:tc>
          <w:tcPr>
            <w:tcW w:w="5075" w:type="dxa"/>
            <w:tcBorders/>
            <w:vAlign w:val="center"/>
          </w:tcPr>
          <w:p>
            <w:pPr>
              <w:pStyle w:val="TableContents"/>
              <w:bidi w:val="0"/>
              <w:spacing w:before="0" w:after="283"/>
              <w:jc w:val="left"/>
              <w:rPr/>
            </w:pPr>
            <w:r>
              <w:rPr/>
              <w:t>Notices</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(g)</w:t>
            </w:r>
          </w:p>
        </w:tc>
        <w:tc>
          <w:tcPr>
            <w:tcW w:w="5075" w:type="dxa"/>
            <w:tcBorders/>
            <w:vAlign w:val="center"/>
          </w:tcPr>
          <w:p>
            <w:pPr>
              <w:pStyle w:val="TableContents"/>
              <w:bidi w:val="0"/>
              <w:spacing w:before="0" w:after="283"/>
              <w:jc w:val="left"/>
              <w:rPr/>
            </w:pPr>
            <w:r>
              <w:rPr/>
              <w:t>Separability</w:t>
            </w:r>
          </w:p>
        </w:tc>
        <w:tc>
          <w:tcPr>
            <w:tcW w:w="260" w:type="dxa"/>
            <w:tcBorders/>
            <w:vAlign w:val="center"/>
          </w:tcPr>
          <w:p>
            <w:pPr>
              <w:pStyle w:val="TableContents"/>
              <w:bidi w:val="0"/>
              <w:spacing w:before="0" w:after="283"/>
              <w:jc w:val="center"/>
              <w:rPr/>
            </w:pPr>
            <w:r>
              <w:rPr/>
              <w:t>25</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(h)</w:t>
            </w:r>
          </w:p>
        </w:tc>
        <w:tc>
          <w:tcPr>
            <w:tcW w:w="5075" w:type="dxa"/>
            <w:tcBorders/>
            <w:vAlign w:val="center"/>
          </w:tcPr>
          <w:p>
            <w:pPr>
              <w:pStyle w:val="TableContents"/>
              <w:bidi w:val="0"/>
              <w:spacing w:before="0" w:after="283"/>
              <w:jc w:val="left"/>
              <w:rPr/>
            </w:pPr>
            <w:r>
              <w:rPr/>
              <w:t>Amendments; Binding Effect; No Electronic Records</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w:t>
            </w:r>
          </w:p>
        </w:tc>
        <w:tc>
          <w:tcPr>
            <w:tcW w:w="5075" w:type="dxa"/>
            <w:tcBorders/>
            <w:vAlign w:val="center"/>
          </w:tcPr>
          <w:p>
            <w:pPr>
              <w:pStyle w:val="TableContents"/>
              <w:bidi w:val="0"/>
              <w:spacing w:before="0" w:after="283"/>
              <w:jc w:val="left"/>
              <w:rPr/>
            </w:pPr>
            <w:r>
              <w:rPr/>
              <w:t>Quiet Enjoyment</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(j)</w:t>
            </w:r>
          </w:p>
        </w:tc>
        <w:tc>
          <w:tcPr>
            <w:tcW w:w="5075" w:type="dxa"/>
            <w:tcBorders/>
            <w:vAlign w:val="center"/>
          </w:tcPr>
          <w:p>
            <w:pPr>
              <w:pStyle w:val="TableContents"/>
              <w:bidi w:val="0"/>
              <w:spacing w:before="0" w:after="283"/>
              <w:jc w:val="left"/>
              <w:rPr/>
            </w:pPr>
            <w:r>
              <w:rPr/>
              <w:t>Entire Agreement</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(k)</w:t>
            </w:r>
          </w:p>
        </w:tc>
        <w:tc>
          <w:tcPr>
            <w:tcW w:w="5075" w:type="dxa"/>
            <w:tcBorders/>
            <w:vAlign w:val="center"/>
          </w:tcPr>
          <w:p>
            <w:pPr>
              <w:pStyle w:val="TableContents"/>
              <w:bidi w:val="0"/>
              <w:spacing w:before="0" w:after="283"/>
              <w:jc w:val="left"/>
              <w:rPr/>
            </w:pPr>
            <w:r>
              <w:rPr/>
              <w:t>Waiver of Jury Trial</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(l)</w:t>
            </w:r>
          </w:p>
        </w:tc>
        <w:tc>
          <w:tcPr>
            <w:tcW w:w="5075" w:type="dxa"/>
            <w:tcBorders/>
            <w:vAlign w:val="center"/>
          </w:tcPr>
          <w:p>
            <w:pPr>
              <w:pStyle w:val="TableContents"/>
              <w:bidi w:val="0"/>
              <w:spacing w:before="0" w:after="283"/>
              <w:jc w:val="left"/>
              <w:rPr/>
            </w:pPr>
            <w:r>
              <w:rPr/>
              <w:t>Governing Law</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(m)</w:t>
            </w:r>
          </w:p>
        </w:tc>
        <w:tc>
          <w:tcPr>
            <w:tcW w:w="5075" w:type="dxa"/>
            <w:tcBorders/>
            <w:vAlign w:val="center"/>
          </w:tcPr>
          <w:p>
            <w:pPr>
              <w:pStyle w:val="TableContents"/>
              <w:bidi w:val="0"/>
              <w:spacing w:before="0" w:after="283"/>
              <w:jc w:val="left"/>
              <w:rPr/>
            </w:pPr>
            <w:r>
              <w:rPr/>
              <w:t>Recording</w:t>
            </w:r>
          </w:p>
        </w:tc>
        <w:tc>
          <w:tcPr>
            <w:tcW w:w="260" w:type="dxa"/>
            <w:tcBorders/>
            <w:vAlign w:val="center"/>
          </w:tcPr>
          <w:p>
            <w:pPr>
              <w:pStyle w:val="TableContents"/>
              <w:bidi w:val="0"/>
              <w:spacing w:before="0" w:after="283"/>
              <w:jc w:val="center"/>
              <w:rPr/>
            </w:pPr>
            <w:r>
              <w:rPr/>
              <w:t>26</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(n)</w:t>
            </w:r>
          </w:p>
        </w:tc>
        <w:tc>
          <w:tcPr>
            <w:tcW w:w="5075" w:type="dxa"/>
            <w:tcBorders/>
            <w:vAlign w:val="center"/>
          </w:tcPr>
          <w:p>
            <w:pPr>
              <w:pStyle w:val="TableContents"/>
              <w:bidi w:val="0"/>
              <w:spacing w:before="0" w:after="283"/>
              <w:jc w:val="left"/>
              <w:rPr/>
            </w:pPr>
            <w:r>
              <w:rPr/>
              <w:t>Water or Mold Notification</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(o)</w:t>
            </w:r>
          </w:p>
        </w:tc>
        <w:tc>
          <w:tcPr>
            <w:tcW w:w="5075" w:type="dxa"/>
            <w:tcBorders/>
            <w:vAlign w:val="center"/>
          </w:tcPr>
          <w:p>
            <w:pPr>
              <w:pStyle w:val="TableContents"/>
              <w:bidi w:val="0"/>
              <w:spacing w:before="0" w:after="283"/>
              <w:jc w:val="left"/>
              <w:rPr/>
            </w:pPr>
            <w:r>
              <w:rPr/>
              <w:t>Joint and Several Liability</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(p)</w:t>
            </w:r>
          </w:p>
        </w:tc>
        <w:tc>
          <w:tcPr>
            <w:tcW w:w="5075" w:type="dxa"/>
            <w:tcBorders/>
            <w:vAlign w:val="center"/>
          </w:tcPr>
          <w:p>
            <w:pPr>
              <w:pStyle w:val="TableContents"/>
              <w:bidi w:val="0"/>
              <w:spacing w:before="0" w:after="283"/>
              <w:jc w:val="left"/>
              <w:rPr/>
            </w:pPr>
            <w:r>
              <w:rPr/>
              <w:t>Financial Reports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(q)</w:t>
            </w:r>
          </w:p>
        </w:tc>
        <w:tc>
          <w:tcPr>
            <w:tcW w:w="5075" w:type="dxa"/>
            <w:tcBorders/>
            <w:vAlign w:val="center"/>
          </w:tcPr>
          <w:p>
            <w:pPr>
              <w:pStyle w:val="TableContents"/>
              <w:bidi w:val="0"/>
              <w:spacing w:before="0" w:after="283"/>
              <w:jc w:val="left"/>
              <w:rPr/>
            </w:pPr>
            <w:r>
              <w:rPr/>
              <w:t>Landlord’s Fees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(r)</w:t>
            </w:r>
          </w:p>
        </w:tc>
        <w:tc>
          <w:tcPr>
            <w:tcW w:w="5075" w:type="dxa"/>
            <w:tcBorders/>
            <w:vAlign w:val="center"/>
          </w:tcPr>
          <w:p>
            <w:pPr>
              <w:pStyle w:val="TableContents"/>
              <w:bidi w:val="0"/>
              <w:spacing w:before="0" w:after="283"/>
              <w:jc w:val="left"/>
              <w:rPr/>
            </w:pPr>
            <w:r>
              <w:rPr/>
              <w:t>Telecommunications</w:t>
            </w:r>
          </w:p>
        </w:tc>
        <w:tc>
          <w:tcPr>
            <w:tcW w:w="260" w:type="dxa"/>
            <w:tcBorders/>
            <w:vAlign w:val="center"/>
          </w:tcPr>
          <w:p>
            <w:pPr>
              <w:pStyle w:val="TableContents"/>
              <w:bidi w:val="0"/>
              <w:spacing w:before="0" w:after="283"/>
              <w:jc w:val="center"/>
              <w:rPr/>
            </w:pPr>
            <w:r>
              <w:rPr/>
              <w:t>27</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(s)</w:t>
            </w:r>
          </w:p>
        </w:tc>
        <w:tc>
          <w:tcPr>
            <w:tcW w:w="5075" w:type="dxa"/>
            <w:tcBorders/>
            <w:vAlign w:val="center"/>
          </w:tcPr>
          <w:p>
            <w:pPr>
              <w:pStyle w:val="TableContents"/>
              <w:bidi w:val="0"/>
              <w:spacing w:before="0" w:after="283"/>
              <w:jc w:val="left"/>
              <w:rPr/>
            </w:pPr>
            <w:r>
              <w:rPr/>
              <w:t>Confidentiality</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(t)</w:t>
            </w:r>
          </w:p>
        </w:tc>
        <w:tc>
          <w:tcPr>
            <w:tcW w:w="5075" w:type="dxa"/>
            <w:tcBorders/>
            <w:vAlign w:val="center"/>
          </w:tcPr>
          <w:p>
            <w:pPr>
              <w:pStyle w:val="TableContents"/>
              <w:bidi w:val="0"/>
              <w:spacing w:before="0" w:after="283"/>
              <w:jc w:val="left"/>
              <w:rPr/>
            </w:pPr>
            <w:r>
              <w:rPr/>
              <w:t>Authority</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(u)</w:t>
            </w:r>
          </w:p>
        </w:tc>
        <w:tc>
          <w:tcPr>
            <w:tcW w:w="5075" w:type="dxa"/>
            <w:tcBorders/>
            <w:vAlign w:val="center"/>
          </w:tcPr>
          <w:p>
            <w:pPr>
              <w:pStyle w:val="TableContents"/>
              <w:bidi w:val="0"/>
              <w:spacing w:before="0" w:after="283"/>
              <w:jc w:val="left"/>
              <w:rPr/>
            </w:pPr>
            <w:r>
              <w:rPr/>
              <w:t>Security Service</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w:t>
            </w:r>
          </w:p>
        </w:tc>
        <w:tc>
          <w:tcPr>
            <w:tcW w:w="5075" w:type="dxa"/>
            <w:tcBorders/>
            <w:vAlign w:val="center"/>
          </w:tcPr>
          <w:p>
            <w:pPr>
              <w:pStyle w:val="TableContents"/>
              <w:bidi w:val="0"/>
              <w:spacing w:before="0" w:after="283"/>
              <w:jc w:val="left"/>
              <w:rPr/>
            </w:pPr>
            <w:r>
              <w:rPr/>
              <w:t>List of Exhibits</w:t>
            </w:r>
          </w:p>
        </w:tc>
        <w:tc>
          <w:tcPr>
            <w:tcW w:w="260" w:type="dxa"/>
            <w:tcBorders/>
            <w:vAlign w:val="center"/>
          </w:tcPr>
          <w:p>
            <w:pPr>
              <w:pStyle w:val="TableContents"/>
              <w:bidi w:val="0"/>
              <w:spacing w:before="0" w:after="283"/>
              <w:jc w:val="center"/>
              <w:rPr/>
            </w:pPr>
            <w:r>
              <w:rPr/>
              <w:t>28</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(w)</w:t>
            </w:r>
          </w:p>
        </w:tc>
        <w:tc>
          <w:tcPr>
            <w:tcW w:w="5075" w:type="dxa"/>
            <w:tcBorders/>
            <w:vAlign w:val="center"/>
          </w:tcPr>
          <w:p>
            <w:pPr>
              <w:pStyle w:val="TableContents"/>
              <w:bidi w:val="0"/>
              <w:spacing w:before="0" w:after="283"/>
              <w:jc w:val="left"/>
              <w:rPr/>
            </w:pPr>
            <w:r>
              <w:rPr/>
              <w:t>Prohibited Persons and Transactions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(x)</w:t>
            </w:r>
          </w:p>
        </w:tc>
        <w:tc>
          <w:tcPr>
            <w:tcW w:w="5075" w:type="dxa"/>
            <w:tcBorders/>
            <w:vAlign w:val="center"/>
          </w:tcPr>
          <w:p>
            <w:pPr>
              <w:pStyle w:val="TableContents"/>
              <w:bidi w:val="0"/>
              <w:spacing w:before="0" w:after="283"/>
              <w:jc w:val="left"/>
              <w:rPr/>
            </w:pPr>
            <w:r>
              <w:rPr/>
              <w:t>Determination of Charges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(y)</w:t>
            </w:r>
          </w:p>
        </w:tc>
        <w:tc>
          <w:tcPr>
            <w:tcW w:w="5075" w:type="dxa"/>
            <w:tcBorders/>
            <w:vAlign w:val="center"/>
          </w:tcPr>
          <w:p>
            <w:pPr>
              <w:pStyle w:val="TableContents"/>
              <w:bidi w:val="0"/>
              <w:spacing w:before="0" w:after="283"/>
              <w:jc w:val="left"/>
              <w:rPr/>
            </w:pPr>
            <w:r>
              <w:rPr/>
              <w:t>No Invasive Testing</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(z)</w:t>
            </w:r>
          </w:p>
        </w:tc>
        <w:tc>
          <w:tcPr>
            <w:tcW w:w="5075" w:type="dxa"/>
            <w:tcBorders/>
            <w:vAlign w:val="center"/>
          </w:tcPr>
          <w:p>
            <w:pPr>
              <w:pStyle w:val="TableContents"/>
              <w:bidi w:val="0"/>
              <w:spacing w:before="0" w:after="283"/>
              <w:jc w:val="left"/>
              <w:rPr/>
            </w:pPr>
            <w:r>
              <w:rPr/>
              <w:t>Counterparts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b/>
              </w:rPr>
            </w:pPr>
            <w:r>
              <w:rPr>
                <w:b/>
              </w:rPr>
              <w:t>27.</w:t>
            </w:r>
          </w:p>
        </w:tc>
        <w:tc>
          <w:tcPr>
            <w:tcW w:w="5425" w:type="dxa"/>
            <w:gridSpan w:val="2"/>
            <w:tcBorders/>
            <w:vAlign w:val="center"/>
          </w:tcPr>
          <w:p>
            <w:pPr>
              <w:pStyle w:val="TableContents"/>
              <w:bidi w:val="0"/>
              <w:spacing w:before="0" w:after="283"/>
              <w:jc w:val="left"/>
              <w:rPr/>
            </w:pPr>
            <w:r>
              <w:rPr/>
              <w:t>Environmental Requirements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5075" w:type="dxa"/>
            <w:tcBorders/>
            <w:vAlign w:val="center"/>
          </w:tcPr>
          <w:p>
            <w:pPr>
              <w:pStyle w:val="TableContents"/>
              <w:bidi w:val="0"/>
              <w:spacing w:before="0" w:after="283"/>
              <w:jc w:val="left"/>
              <w:rPr/>
            </w:pPr>
            <w:r>
              <w:rPr/>
              <w:t>Prohibition against Hazardous Materials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left"/>
              <w:rPr/>
            </w:pPr>
            <w:r>
              <w:rPr/>
              <w:t>Environmental Requirements</w:t>
            </w:r>
          </w:p>
        </w:tc>
        <w:tc>
          <w:tcPr>
            <w:tcW w:w="260" w:type="dxa"/>
            <w:tcBorders/>
            <w:vAlign w:val="center"/>
          </w:tcPr>
          <w:p>
            <w:pPr>
              <w:pStyle w:val="TableContents"/>
              <w:bidi w:val="0"/>
              <w:spacing w:before="0" w:after="283"/>
              <w:jc w:val="center"/>
              <w:rPr/>
            </w:pPr>
            <w:r>
              <w:rPr/>
              <w:t>29</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(c)</w:t>
            </w:r>
          </w:p>
        </w:tc>
        <w:tc>
          <w:tcPr>
            <w:tcW w:w="5075" w:type="dxa"/>
            <w:tcBorders/>
            <w:vAlign w:val="center"/>
          </w:tcPr>
          <w:p>
            <w:pPr>
              <w:pStyle w:val="TableContents"/>
              <w:bidi w:val="0"/>
              <w:spacing w:before="0" w:after="283"/>
              <w:jc w:val="left"/>
              <w:rPr/>
            </w:pPr>
            <w:r>
              <w:rPr/>
              <w:t>Removal of Hazardous Materials</w:t>
            </w:r>
          </w:p>
        </w:tc>
        <w:tc>
          <w:tcPr>
            <w:tcW w:w="260" w:type="dxa"/>
            <w:tcBorders/>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075" w:type="dxa"/>
            <w:tcBorders/>
            <w:vAlign w:val="center"/>
          </w:tcPr>
          <w:p>
            <w:pPr>
              <w:pStyle w:val="TableContents"/>
              <w:bidi w:val="0"/>
              <w:spacing w:before="0" w:after="283"/>
              <w:jc w:val="left"/>
              <w:rPr/>
            </w:pPr>
            <w:r>
              <w:rPr/>
              <w:t>Tenant’s Indemnity</w:t>
            </w:r>
          </w:p>
        </w:tc>
        <w:tc>
          <w:tcPr>
            <w:tcW w:w="260" w:type="dxa"/>
            <w:tcBorders/>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(e)</w:t>
            </w:r>
          </w:p>
        </w:tc>
        <w:tc>
          <w:tcPr>
            <w:tcW w:w="5075" w:type="dxa"/>
            <w:tcBorders/>
            <w:vAlign w:val="center"/>
          </w:tcPr>
          <w:p>
            <w:pPr>
              <w:pStyle w:val="TableContents"/>
              <w:bidi w:val="0"/>
              <w:spacing w:before="0" w:after="283"/>
              <w:jc w:val="left"/>
              <w:rPr/>
            </w:pPr>
            <w:r>
              <w:rPr/>
              <w:t>Inspections and Tests</w:t>
            </w:r>
          </w:p>
        </w:tc>
        <w:tc>
          <w:tcPr>
            <w:tcW w:w="260" w:type="dxa"/>
            <w:tcBorders/>
            <w:vAlign w:val="center"/>
          </w:tcPr>
          <w:p>
            <w:pPr>
              <w:pStyle w:val="TableContents"/>
              <w:bidi w:val="0"/>
              <w:spacing w:before="0" w:after="283"/>
              <w:jc w:val="center"/>
              <w:rPr/>
            </w:pPr>
            <w:r>
              <w:rPr/>
              <w:t>31</w:t>
            </w:r>
          </w:p>
        </w:tc>
      </w:tr>
      <w:tr>
        <w:trPr/>
        <w:tc>
          <w:tcPr>
            <w:tcW w:w="320" w:type="dxa"/>
            <w:tcBorders/>
            <w:vAlign w:val="center"/>
          </w:tcPr>
          <w:p>
            <w:pPr>
              <w:pStyle w:val="TableContents"/>
              <w:bidi w:val="0"/>
              <w:spacing w:before="0" w:after="283"/>
              <w:jc w:val="left"/>
              <w:rPr>
                <w:b/>
              </w:rPr>
            </w:pPr>
            <w:r>
              <w:rPr>
                <w:b/>
              </w:rPr>
              <w:t>28.</w:t>
            </w:r>
          </w:p>
        </w:tc>
        <w:tc>
          <w:tcPr>
            <w:tcW w:w="5425" w:type="dxa"/>
            <w:gridSpan w:val="2"/>
            <w:tcBorders/>
            <w:vAlign w:val="center"/>
          </w:tcPr>
          <w:p>
            <w:pPr>
              <w:pStyle w:val="TableContents"/>
              <w:bidi w:val="0"/>
              <w:spacing w:before="0" w:after="283"/>
              <w:jc w:val="left"/>
              <w:rPr/>
            </w:pPr>
            <w:r>
              <w:rPr/>
              <w:t>Parking</w:t>
            </w:r>
          </w:p>
        </w:tc>
        <w:tc>
          <w:tcPr>
            <w:tcW w:w="26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vi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DEFINED TERMS</w:t>
      </w:r>
    </w:p>
    <w:p>
      <w:pPr>
        <w:pStyle w:val="TextBody"/>
        <w:bidi w:val="0"/>
        <w:spacing w:before="0" w:after="283"/>
        <w:jc w:val="left"/>
        <w:rPr/>
      </w:pPr>
      <w:r>
        <w:rPr/>
        <w:t> </w:t>
      </w:r>
    </w:p>
    <w:tbl>
      <w:tblPr>
        <w:tblW w:w="4345" w:type="dxa"/>
        <w:jc w:val="left"/>
        <w:tblInd w:w="0" w:type="dxa"/>
        <w:tblLayout w:type="fixed"/>
        <w:tblCellMar>
          <w:top w:w="0" w:type="dxa"/>
          <w:left w:w="0" w:type="dxa"/>
          <w:bottom w:w="0" w:type="dxa"/>
          <w:right w:w="0" w:type="dxa"/>
        </w:tblCellMar>
      </w:tblPr>
      <w:tblGrid>
        <w:gridCol w:w="3380"/>
        <w:gridCol w:w="965"/>
      </w:tblGrid>
      <w:tr>
        <w:trPr/>
        <w:tc>
          <w:tcPr>
            <w:tcW w:w="3380" w:type="dxa"/>
            <w:tcBorders/>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before="0" w:after="283"/>
              <w:jc w:val="center"/>
              <w:rPr/>
            </w:pPr>
            <w:r>
              <w:rPr/>
              <w:t xml:space="preserve">Page No. </w:t>
            </w:r>
          </w:p>
        </w:tc>
      </w:tr>
      <w:tr>
        <w:trPr/>
        <w:tc>
          <w:tcPr>
            <w:tcW w:w="3380" w:type="dxa"/>
            <w:tcBorders/>
            <w:vAlign w:val="center"/>
          </w:tcPr>
          <w:p>
            <w:pPr>
              <w:pStyle w:val="TableContents"/>
              <w:bidi w:val="0"/>
              <w:spacing w:before="0" w:after="283"/>
              <w:jc w:val="left"/>
              <w:rPr/>
            </w:pPr>
            <w:r>
              <w:rPr/>
              <w:t>Additional Rent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Affiliate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Basic Lease Information</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Basic Rent</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Building</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Building’s Structure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Building’s Systems</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Casualty</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Code Modification</w:t>
            </w:r>
          </w:p>
        </w:tc>
        <w:tc>
          <w:tcPr>
            <w:tcW w:w="965" w:type="dxa"/>
            <w:tcBorders/>
            <w:vAlign w:val="center"/>
          </w:tcPr>
          <w:p>
            <w:pPr>
              <w:pStyle w:val="TableContents"/>
              <w:bidi w:val="0"/>
              <w:spacing w:before="0" w:after="283"/>
              <w:jc w:val="center"/>
              <w:rPr/>
            </w:pPr>
            <w:r>
              <w:rPr/>
              <w:t>9</w:t>
            </w:r>
          </w:p>
        </w:tc>
      </w:tr>
      <w:tr>
        <w:trPr/>
        <w:tc>
          <w:tcPr>
            <w:tcW w:w="3380" w:type="dxa"/>
            <w:tcBorders/>
            <w:vAlign w:val="center"/>
          </w:tcPr>
          <w:p>
            <w:pPr>
              <w:pStyle w:val="TableContents"/>
              <w:bidi w:val="0"/>
              <w:spacing w:before="0" w:after="283"/>
              <w:jc w:val="left"/>
              <w:rPr/>
            </w:pPr>
            <w:r>
              <w:rPr/>
              <w:t>Collateral</w:t>
            </w:r>
          </w:p>
        </w:tc>
        <w:tc>
          <w:tcPr>
            <w:tcW w:w="965" w:type="dxa"/>
            <w:tcBorders/>
            <w:vAlign w:val="center"/>
          </w:tcPr>
          <w:p>
            <w:pPr>
              <w:pStyle w:val="TableContents"/>
              <w:bidi w:val="0"/>
              <w:spacing w:before="0" w:after="283"/>
              <w:jc w:val="center"/>
              <w:rPr/>
            </w:pPr>
            <w:r>
              <w:rPr/>
              <w:t>22</w:t>
            </w:r>
          </w:p>
        </w:tc>
      </w:tr>
      <w:tr>
        <w:trPr/>
        <w:tc>
          <w:tcPr>
            <w:tcW w:w="3380" w:type="dxa"/>
            <w:tcBorders/>
            <w:vAlign w:val="center"/>
          </w:tcPr>
          <w:p>
            <w:pPr>
              <w:pStyle w:val="TableContents"/>
              <w:bidi w:val="0"/>
              <w:spacing w:before="0" w:after="283"/>
              <w:jc w:val="left"/>
              <w:rPr/>
            </w:pPr>
            <w:r>
              <w:rPr/>
              <w:t>Commencement Date</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Complex</w:t>
            </w:r>
          </w:p>
        </w:tc>
        <w:tc>
          <w:tcPr>
            <w:tcW w:w="965" w:type="dxa"/>
            <w:tcBorders/>
            <w:vAlign w:val="center"/>
          </w:tcPr>
          <w:p>
            <w:pPr>
              <w:pStyle w:val="TableContents"/>
              <w:bidi w:val="0"/>
              <w:spacing w:before="0" w:after="283"/>
              <w:jc w:val="center"/>
              <w:rPr/>
            </w:pPr>
            <w:r>
              <w:rPr/>
              <w:t>3</w:t>
            </w:r>
          </w:p>
        </w:tc>
      </w:tr>
      <w:tr>
        <w:trPr/>
        <w:tc>
          <w:tcPr>
            <w:tcW w:w="3380" w:type="dxa"/>
            <w:tcBorders/>
            <w:vAlign w:val="center"/>
          </w:tcPr>
          <w:p>
            <w:pPr>
              <w:pStyle w:val="TableContents"/>
              <w:bidi w:val="0"/>
              <w:spacing w:before="0" w:after="283"/>
              <w:jc w:val="left"/>
              <w:rPr/>
            </w:pPr>
            <w:r>
              <w:rPr/>
              <w:t>Damage Notice</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Default Rate</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Environmental Requirements</w:t>
            </w:r>
          </w:p>
        </w:tc>
        <w:tc>
          <w:tcPr>
            <w:tcW w:w="965" w:type="dxa"/>
            <w:tcBorders/>
            <w:vAlign w:val="center"/>
          </w:tcPr>
          <w:p>
            <w:pPr>
              <w:pStyle w:val="TableContents"/>
              <w:bidi w:val="0"/>
              <w:spacing w:before="0" w:after="283"/>
              <w:jc w:val="center"/>
              <w:rPr/>
            </w:pPr>
            <w:r>
              <w:rPr/>
              <w:t>29</w:t>
            </w:r>
          </w:p>
        </w:tc>
      </w:tr>
      <w:tr>
        <w:trPr/>
        <w:tc>
          <w:tcPr>
            <w:tcW w:w="3380" w:type="dxa"/>
            <w:tcBorders/>
            <w:vAlign w:val="center"/>
          </w:tcPr>
          <w:p>
            <w:pPr>
              <w:pStyle w:val="TableContents"/>
              <w:bidi w:val="0"/>
              <w:spacing w:before="0" w:after="283"/>
              <w:jc w:val="left"/>
              <w:rPr/>
            </w:pPr>
            <w:r>
              <w:rPr/>
              <w:t>Estimated Delivery Date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Event of Default</w:t>
            </w:r>
          </w:p>
        </w:tc>
        <w:tc>
          <w:tcPr>
            <w:tcW w:w="965" w:type="dxa"/>
            <w:tcBorders/>
            <w:vAlign w:val="center"/>
          </w:tcPr>
          <w:p>
            <w:pPr>
              <w:pStyle w:val="TableContents"/>
              <w:bidi w:val="0"/>
              <w:spacing w:before="0" w:after="283"/>
              <w:jc w:val="center"/>
              <w:rPr/>
            </w:pPr>
            <w:r>
              <w:rPr/>
              <w:t>19</w:t>
            </w:r>
          </w:p>
        </w:tc>
      </w:tr>
      <w:tr>
        <w:trPr/>
        <w:tc>
          <w:tcPr>
            <w:tcW w:w="3380" w:type="dxa"/>
            <w:tcBorders/>
            <w:vAlign w:val="center"/>
          </w:tcPr>
          <w:p>
            <w:pPr>
              <w:pStyle w:val="TableContents"/>
              <w:bidi w:val="0"/>
              <w:spacing w:before="0" w:after="283"/>
              <w:jc w:val="left"/>
              <w:rPr/>
            </w:pPr>
            <w:r>
              <w:rPr/>
              <w:t>GAAP</w:t>
            </w:r>
          </w:p>
        </w:tc>
        <w:tc>
          <w:tcPr>
            <w:tcW w:w="965" w:type="dxa"/>
            <w:tcBorders/>
            <w:vAlign w:val="center"/>
          </w:tcPr>
          <w:p>
            <w:pPr>
              <w:pStyle w:val="TableContents"/>
              <w:bidi w:val="0"/>
              <w:spacing w:before="0" w:after="283"/>
              <w:jc w:val="center"/>
              <w:rPr/>
            </w:pPr>
            <w:r>
              <w:rPr/>
              <w:t>13</w:t>
            </w:r>
          </w:p>
        </w:tc>
      </w:tr>
      <w:tr>
        <w:trPr/>
        <w:tc>
          <w:tcPr>
            <w:tcW w:w="3380" w:type="dxa"/>
            <w:tcBorders/>
            <w:vAlign w:val="center"/>
          </w:tcPr>
          <w:p>
            <w:pPr>
              <w:pStyle w:val="TableContents"/>
              <w:bidi w:val="0"/>
              <w:spacing w:before="0" w:after="283"/>
              <w:jc w:val="left"/>
              <w:rPr/>
            </w:pPr>
            <w:r>
              <w:rPr/>
              <w:t>Governmental Requirements</w:t>
            </w:r>
          </w:p>
        </w:tc>
        <w:tc>
          <w:tcPr>
            <w:tcW w:w="965" w:type="dxa"/>
            <w:tcBorders/>
            <w:vAlign w:val="center"/>
          </w:tcPr>
          <w:p>
            <w:pPr>
              <w:pStyle w:val="TableContents"/>
              <w:bidi w:val="0"/>
              <w:spacing w:before="0" w:after="283"/>
              <w:jc w:val="center"/>
              <w:rPr/>
            </w:pPr>
            <w:r>
              <w:rPr/>
              <w:t>9</w:t>
            </w:r>
          </w:p>
        </w:tc>
      </w:tr>
      <w:tr>
        <w:trPr/>
        <w:tc>
          <w:tcPr>
            <w:tcW w:w="3380" w:type="dxa"/>
            <w:tcBorders/>
            <w:vAlign w:val="center"/>
          </w:tcPr>
          <w:p>
            <w:pPr>
              <w:pStyle w:val="TableContents"/>
              <w:bidi w:val="0"/>
              <w:spacing w:before="0" w:after="283"/>
              <w:jc w:val="left"/>
              <w:rPr/>
            </w:pPr>
            <w:r>
              <w:rPr/>
              <w:t>Hazardous Materials</w:t>
            </w:r>
          </w:p>
        </w:tc>
        <w:tc>
          <w:tcPr>
            <w:tcW w:w="965" w:type="dxa"/>
            <w:tcBorders/>
            <w:vAlign w:val="center"/>
          </w:tcPr>
          <w:p>
            <w:pPr>
              <w:pStyle w:val="TableContents"/>
              <w:bidi w:val="0"/>
              <w:spacing w:before="0" w:after="283"/>
              <w:jc w:val="center"/>
              <w:rPr/>
            </w:pPr>
            <w:r>
              <w:rPr/>
              <w:t>30</w:t>
            </w:r>
          </w:p>
        </w:tc>
      </w:tr>
      <w:tr>
        <w:trPr/>
        <w:tc>
          <w:tcPr>
            <w:tcW w:w="3380" w:type="dxa"/>
            <w:tcBorders/>
            <w:vAlign w:val="center"/>
          </w:tcPr>
          <w:p>
            <w:pPr>
              <w:pStyle w:val="TableContents"/>
              <w:bidi w:val="0"/>
              <w:spacing w:before="0" w:after="283"/>
              <w:jc w:val="left"/>
              <w:rPr/>
            </w:pPr>
            <w:r>
              <w:rPr/>
              <w:t>including</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Insurance Costs</w:t>
            </w:r>
          </w:p>
        </w:tc>
        <w:tc>
          <w:tcPr>
            <w:tcW w:w="965" w:type="dxa"/>
            <w:tcBorders/>
            <w:vAlign w:val="center"/>
          </w:tcPr>
          <w:p>
            <w:pPr>
              <w:pStyle w:val="TableContents"/>
              <w:bidi w:val="0"/>
              <w:spacing w:before="0" w:after="283"/>
              <w:jc w:val="center"/>
              <w:rPr/>
            </w:pPr>
            <w:r>
              <w:rPr/>
              <w:t>15</w:t>
            </w:r>
          </w:p>
        </w:tc>
      </w:tr>
      <w:tr>
        <w:trPr/>
        <w:tc>
          <w:tcPr>
            <w:tcW w:w="3380" w:type="dxa"/>
            <w:tcBorders/>
            <w:vAlign w:val="center"/>
          </w:tcPr>
          <w:p>
            <w:pPr>
              <w:pStyle w:val="TableContents"/>
              <w:bidi w:val="0"/>
              <w:spacing w:before="0" w:after="283"/>
              <w:jc w:val="left"/>
              <w:rPr/>
            </w:pPr>
            <w:r>
              <w:rPr/>
              <w:t>Land</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Landlord</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Landlord’s Mortgagee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Law</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Laws</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Lease</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Lease Month</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Loss</w:t>
            </w:r>
          </w:p>
        </w:tc>
        <w:tc>
          <w:tcPr>
            <w:tcW w:w="965" w:type="dxa"/>
            <w:tcBorders/>
            <w:vAlign w:val="center"/>
          </w:tcPr>
          <w:p>
            <w:pPr>
              <w:pStyle w:val="TableContents"/>
              <w:bidi w:val="0"/>
              <w:spacing w:before="0" w:after="283"/>
              <w:jc w:val="center"/>
              <w:rPr/>
            </w:pPr>
            <w:r>
              <w:rPr/>
              <w:t>15</w:t>
            </w:r>
          </w:p>
        </w:tc>
      </w:tr>
      <w:tr>
        <w:trPr/>
        <w:tc>
          <w:tcPr>
            <w:tcW w:w="3380" w:type="dxa"/>
            <w:tcBorders/>
            <w:vAlign w:val="center"/>
          </w:tcPr>
          <w:p>
            <w:pPr>
              <w:pStyle w:val="TableContents"/>
              <w:bidi w:val="0"/>
              <w:spacing w:before="0" w:after="283"/>
              <w:jc w:val="left"/>
              <w:rPr/>
            </w:pPr>
            <w:r>
              <w:rPr/>
              <w:t>Mortgage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OFAC</w:t>
            </w:r>
          </w:p>
        </w:tc>
        <w:tc>
          <w:tcPr>
            <w:tcW w:w="965" w:type="dxa"/>
            <w:tcBorders/>
            <w:vAlign w:val="center"/>
          </w:tcPr>
          <w:p>
            <w:pPr>
              <w:pStyle w:val="TableContents"/>
              <w:bidi w:val="0"/>
              <w:spacing w:before="0" w:after="283"/>
              <w:jc w:val="center"/>
              <w:rPr/>
            </w:pPr>
            <w:r>
              <w:rPr/>
              <w:t>10</w:t>
            </w:r>
          </w:p>
        </w:tc>
      </w:tr>
      <w:tr>
        <w:trPr/>
        <w:tc>
          <w:tcPr>
            <w:tcW w:w="3380" w:type="dxa"/>
            <w:tcBorders/>
            <w:vAlign w:val="center"/>
          </w:tcPr>
          <w:p>
            <w:pPr>
              <w:pStyle w:val="TableContents"/>
              <w:bidi w:val="0"/>
              <w:spacing w:before="0" w:after="283"/>
              <w:jc w:val="left"/>
              <w:rPr/>
            </w:pPr>
            <w:r>
              <w:rPr/>
              <w:t>Operating Costs</w:t>
            </w:r>
          </w:p>
        </w:tc>
        <w:tc>
          <w:tcPr>
            <w:tcW w:w="965" w:type="dxa"/>
            <w:tcBorders/>
            <w:vAlign w:val="center"/>
          </w:tcPr>
          <w:p>
            <w:pPr>
              <w:pStyle w:val="TableContents"/>
              <w:bidi w:val="0"/>
              <w:spacing w:before="0" w:after="283"/>
              <w:jc w:val="center"/>
              <w:rPr/>
            </w:pPr>
            <w:r>
              <w:rPr/>
              <w:t>2</w:t>
            </w:r>
          </w:p>
        </w:tc>
      </w:tr>
      <w:tr>
        <w:trPr/>
        <w:tc>
          <w:tcPr>
            <w:tcW w:w="3380" w:type="dxa"/>
            <w:tcBorders/>
            <w:vAlign w:val="center"/>
          </w:tcPr>
          <w:p>
            <w:pPr>
              <w:pStyle w:val="TableContents"/>
              <w:bidi w:val="0"/>
              <w:spacing w:before="0" w:after="283"/>
              <w:jc w:val="left"/>
              <w:rPr/>
            </w:pPr>
            <w:r>
              <w:rPr/>
              <w:t>Operating Costs and Tax Statement</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Permitted Transfer</w:t>
            </w:r>
          </w:p>
        </w:tc>
        <w:tc>
          <w:tcPr>
            <w:tcW w:w="965" w:type="dxa"/>
            <w:tcBorders/>
            <w:vAlign w:val="center"/>
          </w:tcPr>
          <w:p>
            <w:pPr>
              <w:pStyle w:val="TableContents"/>
              <w:bidi w:val="0"/>
              <w:spacing w:before="0" w:after="283"/>
              <w:jc w:val="center"/>
              <w:rPr/>
            </w:pPr>
            <w:r>
              <w:rPr/>
              <w:t>12</w:t>
            </w:r>
          </w:p>
        </w:tc>
      </w:tr>
      <w:tr>
        <w:trPr/>
        <w:tc>
          <w:tcPr>
            <w:tcW w:w="3380" w:type="dxa"/>
            <w:tcBorders/>
            <w:vAlign w:val="center"/>
          </w:tcPr>
          <w:p>
            <w:pPr>
              <w:pStyle w:val="TableContents"/>
              <w:bidi w:val="0"/>
              <w:spacing w:before="0" w:after="283"/>
              <w:jc w:val="left"/>
              <w:rPr/>
            </w:pPr>
            <w:r>
              <w:rPr/>
              <w:t>Permitted Transferee</w:t>
            </w:r>
          </w:p>
        </w:tc>
        <w:tc>
          <w:tcPr>
            <w:tcW w:w="965" w:type="dxa"/>
            <w:tcBorders/>
            <w:vAlign w:val="center"/>
          </w:tcPr>
          <w:p>
            <w:pPr>
              <w:pStyle w:val="TableContents"/>
              <w:bidi w:val="0"/>
              <w:spacing w:before="0" w:after="283"/>
              <w:jc w:val="center"/>
              <w:rPr/>
            </w:pPr>
            <w:r>
              <w:rPr/>
              <w:t>12</w:t>
            </w:r>
          </w:p>
        </w:tc>
      </w:tr>
      <w:tr>
        <w:trPr/>
        <w:tc>
          <w:tcPr>
            <w:tcW w:w="3380" w:type="dxa"/>
            <w:tcBorders/>
            <w:vAlign w:val="center"/>
          </w:tcPr>
          <w:p>
            <w:pPr>
              <w:pStyle w:val="TableContents"/>
              <w:bidi w:val="0"/>
              <w:spacing w:before="0" w:after="283"/>
              <w:jc w:val="left"/>
              <w:rPr/>
            </w:pPr>
            <w:r>
              <w:rPr/>
              <w:t>Permitted Use</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Premises</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Primary Lease</w:t>
            </w:r>
          </w:p>
        </w:tc>
        <w:tc>
          <w:tcPr>
            <w:tcW w:w="965" w:type="dxa"/>
            <w:tcBorders/>
            <w:vAlign w:val="center"/>
          </w:tcPr>
          <w:p>
            <w:pPr>
              <w:pStyle w:val="TableContents"/>
              <w:bidi w:val="0"/>
              <w:spacing w:before="0" w:after="283"/>
              <w:jc w:val="center"/>
              <w:rPr/>
            </w:pPr>
            <w:r>
              <w:rPr/>
              <w:t>16</w:t>
            </w:r>
          </w:p>
        </w:tc>
      </w:tr>
      <w:tr>
        <w:trPr/>
        <w:tc>
          <w:tcPr>
            <w:tcW w:w="3380" w:type="dxa"/>
            <w:tcBorders/>
            <w:vAlign w:val="center"/>
          </w:tcPr>
          <w:p>
            <w:pPr>
              <w:pStyle w:val="TableContents"/>
              <w:bidi w:val="0"/>
              <w:spacing w:before="0" w:after="283"/>
              <w:jc w:val="left"/>
              <w:rPr/>
            </w:pPr>
            <w:r>
              <w:rPr/>
              <w:t>Project</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PSA</w:t>
            </w:r>
          </w:p>
        </w:tc>
        <w:tc>
          <w:tcPr>
            <w:tcW w:w="965" w:type="dxa"/>
            <w:tcBorders/>
            <w:vAlign w:val="center"/>
          </w:tcPr>
          <w:p>
            <w:pPr>
              <w:pStyle w:val="TableContents"/>
              <w:bidi w:val="0"/>
              <w:spacing w:before="0" w:after="283"/>
              <w:jc w:val="center"/>
              <w:rPr/>
            </w:pPr>
            <w:r>
              <w:rPr/>
              <w:t>5</w:t>
            </w:r>
          </w:p>
        </w:tc>
      </w:tr>
      <w:tr>
        <w:trPr/>
        <w:tc>
          <w:tcPr>
            <w:tcW w:w="3380" w:type="dxa"/>
            <w:tcBorders/>
            <w:vAlign w:val="center"/>
          </w:tcPr>
          <w:p>
            <w:pPr>
              <w:pStyle w:val="TableContents"/>
              <w:bidi w:val="0"/>
              <w:spacing w:before="0" w:after="283"/>
              <w:jc w:val="left"/>
              <w:rPr/>
            </w:pPr>
            <w:r>
              <w:rPr/>
              <w:t>Punchlist Items</w:t>
            </w:r>
          </w:p>
        </w:tc>
        <w:tc>
          <w:tcPr>
            <w:tcW w:w="965" w:type="dxa"/>
            <w:tcBorders/>
            <w:vAlign w:val="center"/>
          </w:tcPr>
          <w:p>
            <w:pPr>
              <w:pStyle w:val="TableContents"/>
              <w:bidi w:val="0"/>
              <w:spacing w:before="0" w:after="283"/>
              <w:jc w:val="center"/>
              <w:rPr/>
            </w:pPr>
            <w:r>
              <w:rPr/>
              <w:t>E-3</w:t>
            </w:r>
          </w:p>
        </w:tc>
      </w:tr>
      <w:tr>
        <w:trPr/>
        <w:tc>
          <w:tcPr>
            <w:tcW w:w="3380" w:type="dxa"/>
            <w:tcBorders/>
            <w:vAlign w:val="center"/>
          </w:tcPr>
          <w:p>
            <w:pPr>
              <w:pStyle w:val="TableContents"/>
              <w:bidi w:val="0"/>
              <w:spacing w:before="0" w:after="283"/>
              <w:jc w:val="left"/>
              <w:rPr/>
            </w:pPr>
            <w:r>
              <w:rPr/>
              <w:t>Rent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Repair Period</w:t>
            </w:r>
          </w:p>
        </w:tc>
        <w:tc>
          <w:tcPr>
            <w:tcW w:w="965" w:type="dxa"/>
            <w:tcBorders/>
            <w:vAlign w:val="center"/>
          </w:tcPr>
          <w:p>
            <w:pPr>
              <w:pStyle w:val="TableContents"/>
              <w:bidi w:val="0"/>
              <w:spacing w:before="0" w:after="283"/>
              <w:jc w:val="center"/>
              <w:rPr/>
            </w:pPr>
            <w:r>
              <w:rPr/>
              <w:t>18</w:t>
            </w:r>
          </w:p>
        </w:tc>
      </w:tr>
      <w:tr>
        <w:trPr/>
        <w:tc>
          <w:tcPr>
            <w:tcW w:w="3380" w:type="dxa"/>
            <w:tcBorders/>
            <w:vAlign w:val="center"/>
          </w:tcPr>
          <w:p>
            <w:pPr>
              <w:pStyle w:val="TableContents"/>
              <w:bidi w:val="0"/>
              <w:spacing w:before="0" w:after="283"/>
              <w:jc w:val="left"/>
              <w:rPr/>
            </w:pPr>
            <w:r>
              <w:rPr/>
              <w:t>Security Deposit</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Substantial Completion</w:t>
            </w:r>
          </w:p>
        </w:tc>
        <w:tc>
          <w:tcPr>
            <w:tcW w:w="965" w:type="dxa"/>
            <w:tcBorders/>
            <w:vAlign w:val="center"/>
          </w:tcPr>
          <w:p>
            <w:pPr>
              <w:pStyle w:val="TableContents"/>
              <w:bidi w:val="0"/>
              <w:spacing w:before="0" w:after="283"/>
              <w:jc w:val="center"/>
              <w:rPr/>
            </w:pPr>
            <w:r>
              <w:rPr/>
              <w:t>D-1</w:t>
            </w:r>
          </w:p>
        </w:tc>
      </w:tr>
      <w:tr>
        <w:trPr/>
        <w:tc>
          <w:tcPr>
            <w:tcW w:w="3380" w:type="dxa"/>
            <w:tcBorders/>
            <w:vAlign w:val="center"/>
          </w:tcPr>
          <w:p>
            <w:pPr>
              <w:pStyle w:val="TableContents"/>
              <w:bidi w:val="0"/>
              <w:spacing w:before="0" w:after="283"/>
              <w:jc w:val="left"/>
              <w:rPr/>
            </w:pPr>
            <w:r>
              <w:rPr/>
              <w:t>Substantially Completed</w:t>
            </w:r>
          </w:p>
        </w:tc>
        <w:tc>
          <w:tcPr>
            <w:tcW w:w="965" w:type="dxa"/>
            <w:tcBorders/>
            <w:vAlign w:val="center"/>
          </w:tcPr>
          <w:p>
            <w:pPr>
              <w:pStyle w:val="TableContents"/>
              <w:bidi w:val="0"/>
              <w:spacing w:before="0" w:after="283"/>
              <w:jc w:val="center"/>
              <w:rPr/>
            </w:pPr>
            <w:r>
              <w:rPr/>
              <w:t>D-1</w:t>
            </w:r>
          </w:p>
        </w:tc>
      </w:tr>
      <w:tr>
        <w:trPr/>
        <w:tc>
          <w:tcPr>
            <w:tcW w:w="3380" w:type="dxa"/>
            <w:tcBorders/>
            <w:vAlign w:val="center"/>
          </w:tcPr>
          <w:p>
            <w:pPr>
              <w:pStyle w:val="TableContents"/>
              <w:bidi w:val="0"/>
              <w:spacing w:before="0" w:after="283"/>
              <w:jc w:val="left"/>
              <w:rPr/>
            </w:pPr>
            <w:r>
              <w:rPr/>
              <w:t>Taking</w:t>
            </w:r>
          </w:p>
        </w:tc>
        <w:tc>
          <w:tcPr>
            <w:tcW w:w="965" w:type="dxa"/>
            <w:tcBorders/>
            <w:vAlign w:val="center"/>
          </w:tcPr>
          <w:p>
            <w:pPr>
              <w:pStyle w:val="TableContents"/>
              <w:bidi w:val="0"/>
              <w:spacing w:before="0" w:after="283"/>
              <w:jc w:val="center"/>
              <w:rPr/>
            </w:pPr>
            <w:r>
              <w:rPr/>
              <w:t>17</w:t>
            </w:r>
          </w:p>
        </w:tc>
      </w:tr>
      <w:tr>
        <w:trPr/>
        <w:tc>
          <w:tcPr>
            <w:tcW w:w="3380" w:type="dxa"/>
            <w:tcBorders/>
            <w:vAlign w:val="center"/>
          </w:tcPr>
          <w:p>
            <w:pPr>
              <w:pStyle w:val="TableContents"/>
              <w:bidi w:val="0"/>
              <w:spacing w:before="0" w:after="283"/>
              <w:jc w:val="left"/>
              <w:rPr/>
            </w:pPr>
            <w:r>
              <w:rPr/>
              <w:t>Tangible Net Worth</w:t>
            </w:r>
          </w:p>
        </w:tc>
        <w:tc>
          <w:tcPr>
            <w:tcW w:w="965" w:type="dxa"/>
            <w:tcBorders/>
            <w:vAlign w:val="center"/>
          </w:tcPr>
          <w:p>
            <w:pPr>
              <w:pStyle w:val="TableContents"/>
              <w:bidi w:val="0"/>
              <w:spacing w:before="0" w:after="283"/>
              <w:jc w:val="center"/>
              <w:rPr/>
            </w:pPr>
            <w:r>
              <w:rPr/>
              <w:t>13</w:t>
            </w:r>
          </w:p>
        </w:tc>
      </w:tr>
      <w:tr>
        <w:trPr/>
        <w:tc>
          <w:tcPr>
            <w:tcW w:w="3380" w:type="dxa"/>
            <w:tcBorders/>
            <w:vAlign w:val="center"/>
          </w:tcPr>
          <w:p>
            <w:pPr>
              <w:pStyle w:val="TableContents"/>
              <w:bidi w:val="0"/>
              <w:spacing w:before="0" w:after="283"/>
              <w:jc w:val="left"/>
              <w:rPr/>
            </w:pPr>
            <w:r>
              <w:rPr/>
              <w:t>Taxes</w:t>
            </w:r>
          </w:p>
        </w:tc>
        <w:tc>
          <w:tcPr>
            <w:tcW w:w="965" w:type="dxa"/>
            <w:tcBorders/>
            <w:vAlign w:val="center"/>
          </w:tcPr>
          <w:p>
            <w:pPr>
              <w:pStyle w:val="TableContents"/>
              <w:bidi w:val="0"/>
              <w:spacing w:before="0" w:after="283"/>
              <w:jc w:val="center"/>
              <w:rPr/>
            </w:pPr>
            <w:r>
              <w:rPr/>
              <w:t>4</w:t>
            </w:r>
          </w:p>
        </w:tc>
      </w:tr>
      <w:tr>
        <w:trPr/>
        <w:tc>
          <w:tcPr>
            <w:tcW w:w="3380" w:type="dxa"/>
            <w:tcBorders/>
            <w:vAlign w:val="center"/>
          </w:tcPr>
          <w:p>
            <w:pPr>
              <w:pStyle w:val="TableContents"/>
              <w:bidi w:val="0"/>
              <w:spacing w:before="0" w:after="283"/>
              <w:jc w:val="left"/>
              <w:rPr/>
            </w:pPr>
            <w:r>
              <w:rPr/>
              <w:t>Telecommunications Services</w:t>
            </w:r>
          </w:p>
        </w:tc>
        <w:tc>
          <w:tcPr>
            <w:tcW w:w="965" w:type="dxa"/>
            <w:tcBorders/>
            <w:vAlign w:val="center"/>
          </w:tcPr>
          <w:p>
            <w:pPr>
              <w:pStyle w:val="TableContents"/>
              <w:bidi w:val="0"/>
              <w:spacing w:before="0" w:after="283"/>
              <w:jc w:val="center"/>
              <w:rPr/>
            </w:pPr>
            <w:r>
              <w:rPr/>
              <w:t>27</w:t>
            </w:r>
          </w:p>
        </w:tc>
      </w:tr>
      <w:tr>
        <w:trPr/>
        <w:tc>
          <w:tcPr>
            <w:tcW w:w="3380" w:type="dxa"/>
            <w:tcBorders/>
            <w:vAlign w:val="center"/>
          </w:tcPr>
          <w:p>
            <w:pPr>
              <w:pStyle w:val="TableContents"/>
              <w:bidi w:val="0"/>
              <w:spacing w:before="0" w:after="283"/>
              <w:jc w:val="left"/>
              <w:rPr/>
            </w:pPr>
            <w:r>
              <w:rPr/>
              <w:t>Tenant</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 Party</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Tenant’s Off-Premises Equipment</w:t>
            </w:r>
          </w:p>
        </w:tc>
        <w:tc>
          <w:tcPr>
            <w:tcW w:w="965" w:type="dxa"/>
            <w:tcBorders/>
            <w:vAlign w:val="center"/>
          </w:tcPr>
          <w:p>
            <w:pPr>
              <w:pStyle w:val="TableContents"/>
              <w:bidi w:val="0"/>
              <w:spacing w:before="0" w:after="283"/>
              <w:jc w:val="center"/>
              <w:rPr/>
            </w:pPr>
            <w:r>
              <w:rPr/>
              <w:t>1</w:t>
            </w:r>
          </w:p>
        </w:tc>
      </w:tr>
      <w:tr>
        <w:trPr/>
        <w:tc>
          <w:tcPr>
            <w:tcW w:w="3380" w:type="dxa"/>
            <w:tcBorders/>
            <w:vAlign w:val="center"/>
          </w:tcPr>
          <w:p>
            <w:pPr>
              <w:pStyle w:val="TableContents"/>
              <w:bidi w:val="0"/>
              <w:spacing w:before="0" w:after="283"/>
              <w:jc w:val="left"/>
              <w:rPr/>
            </w:pPr>
            <w:r>
              <w:rPr/>
              <w:t>Tenant’s Proportionate Share</w:t>
            </w:r>
          </w:p>
        </w:tc>
        <w:tc>
          <w:tcPr>
            <w:tcW w:w="965" w:type="dxa"/>
            <w:tcBorders/>
            <w:vAlign w:val="center"/>
          </w:tcPr>
          <w:p>
            <w:pPr>
              <w:pStyle w:val="TableContents"/>
              <w:bidi w:val="0"/>
              <w:spacing w:before="0" w:after="283"/>
              <w:jc w:val="center"/>
              <w:rPr/>
            </w:pPr>
            <w:r>
              <w:rPr/>
              <w:t>ii</w:t>
            </w:r>
          </w:p>
        </w:tc>
      </w:tr>
      <w:tr>
        <w:trPr/>
        <w:tc>
          <w:tcPr>
            <w:tcW w:w="3380" w:type="dxa"/>
            <w:tcBorders/>
            <w:vAlign w:val="center"/>
          </w:tcPr>
          <w:p>
            <w:pPr>
              <w:pStyle w:val="TableContents"/>
              <w:bidi w:val="0"/>
              <w:spacing w:before="0" w:after="283"/>
              <w:jc w:val="left"/>
              <w:rPr/>
            </w:pPr>
            <w:r>
              <w:rPr/>
              <w:t>Term</w:t>
            </w:r>
          </w:p>
        </w:tc>
        <w:tc>
          <w:tcPr>
            <w:tcW w:w="965" w:type="dxa"/>
            <w:tcBorders/>
            <w:vAlign w:val="center"/>
          </w:tcPr>
          <w:p>
            <w:pPr>
              <w:pStyle w:val="TableContents"/>
              <w:bidi w:val="0"/>
              <w:spacing w:before="0" w:after="283"/>
              <w:jc w:val="center"/>
              <w:rPr/>
            </w:pPr>
            <w:r>
              <w:rPr/>
              <w:t>i</w:t>
            </w:r>
          </w:p>
        </w:tc>
      </w:tr>
      <w:tr>
        <w:trPr/>
        <w:tc>
          <w:tcPr>
            <w:tcW w:w="3380" w:type="dxa"/>
            <w:tcBorders/>
            <w:vAlign w:val="center"/>
          </w:tcPr>
          <w:p>
            <w:pPr>
              <w:pStyle w:val="TableContents"/>
              <w:bidi w:val="0"/>
              <w:spacing w:before="0" w:after="283"/>
              <w:jc w:val="left"/>
              <w:rPr/>
            </w:pPr>
            <w:r>
              <w:rPr/>
              <w:t>Transfer</w:t>
            </w:r>
          </w:p>
        </w:tc>
        <w:tc>
          <w:tcPr>
            <w:tcW w:w="965" w:type="dxa"/>
            <w:tcBorders/>
            <w:vAlign w:val="center"/>
          </w:tcPr>
          <w:p>
            <w:pPr>
              <w:pStyle w:val="TableContents"/>
              <w:bidi w:val="0"/>
              <w:spacing w:before="0" w:after="283"/>
              <w:jc w:val="center"/>
              <w:rPr/>
            </w:pPr>
            <w:r>
              <w:rPr/>
              <w:t>10</w:t>
            </w:r>
          </w:p>
        </w:tc>
      </w:tr>
      <w:tr>
        <w:trPr/>
        <w:tc>
          <w:tcPr>
            <w:tcW w:w="3380" w:type="dxa"/>
            <w:tcBorders/>
            <w:vAlign w:val="center"/>
          </w:tcPr>
          <w:p>
            <w:pPr>
              <w:pStyle w:val="TableContents"/>
              <w:bidi w:val="0"/>
              <w:spacing w:before="0" w:after="283"/>
              <w:jc w:val="left"/>
              <w:rPr/>
            </w:pPr>
            <w:r>
              <w:rPr/>
              <w:t>UCC</w:t>
            </w:r>
          </w:p>
        </w:tc>
        <w:tc>
          <w:tcPr>
            <w:tcW w:w="965"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vii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Agreement (this “</w:t>
      </w:r>
      <w:r>
        <w:rPr>
          <w:rFonts w:ascii="Times New Roman;Times;Serif" w:hAnsi="Times New Roman;Times;Serif"/>
          <w:b/>
          <w:i w:val="false"/>
          <w:caps w:val="false"/>
          <w:smallCaps w:val="false"/>
          <w:sz w:val="20"/>
          <w:u w:val="single"/>
        </w:rPr>
        <w:t>Lease</w:t>
      </w:r>
      <w:r>
        <w:rPr>
          <w:rFonts w:ascii="Times New Roman;Times;Serif" w:hAnsi="Times New Roman;Times;Serif"/>
          <w:b w:val="false"/>
          <w:i w:val="false"/>
          <w:caps w:val="false"/>
          <w:smallCaps w:val="false"/>
          <w:sz w:val="20"/>
        </w:rPr>
        <w:t>”) is entered into as of May _</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_, 2026, between Hightower Phase I Owner, LLC, a Delaware limited liability company (“</w:t>
      </w:r>
      <w:r>
        <w:rPr>
          <w:rFonts w:ascii="Times New Roman;Times;Serif" w:hAnsi="Times New Roman;Times;Serif"/>
          <w:b/>
          <w:i w:val="false"/>
          <w:caps w:val="false"/>
          <w:smallCaps w:val="false"/>
          <w:sz w:val="20"/>
          <w:u w:val="single"/>
        </w:rPr>
        <w:t>Landlord</w:t>
      </w:r>
      <w:r>
        <w:rPr>
          <w:rFonts w:ascii="Times New Roman;Times;Serif" w:hAnsi="Times New Roman;Times;Serif"/>
          <w:b w:val="false"/>
          <w:i w:val="false"/>
          <w:caps w:val="false"/>
          <w:smallCaps w:val="false"/>
          <w:sz w:val="20"/>
        </w:rPr>
        <w:t>”), and Applied Optoelectronics, Inc., a Delaware corporation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 and Basic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definitions and basic provisions set forth in the Basic Lease Information (the “</w:t>
      </w:r>
      <w:r>
        <w:rPr>
          <w:rFonts w:ascii="Times New Roman;Times;Serif" w:hAnsi="Times New Roman;Times;Serif"/>
          <w:b/>
          <w:i w:val="false"/>
          <w:caps w:val="false"/>
          <w:smallCaps w:val="false"/>
          <w:sz w:val="20"/>
          <w:u w:val="single"/>
        </w:rPr>
        <w:t>Basic Lease Information</w:t>
      </w:r>
      <w:r>
        <w:rPr>
          <w:rFonts w:ascii="Times New Roman;Times;Serif" w:hAnsi="Times New Roman;Times;Serif"/>
          <w:b w:val="false"/>
          <w:i w:val="false"/>
          <w:caps w:val="false"/>
          <w:smallCaps w:val="false"/>
          <w:sz w:val="20"/>
        </w:rPr>
        <w:t>”) set forth above are incorporated herein by reference for all purposes. Additionally, the following terms shall have the following meanings when used in this Lease: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or entity which, directly or indirectly controls, is controlled by, or is under common control with the party in question; “</w:t>
      </w:r>
      <w:r>
        <w:rPr>
          <w:rFonts w:ascii="Times New Roman;Times;Serif" w:hAnsi="Times New Roman;Times;Serif"/>
          <w:b/>
          <w:i w:val="false"/>
          <w:caps w:val="false"/>
          <w:smallCaps w:val="false"/>
          <w:sz w:val="20"/>
          <w:u w:val="single"/>
        </w:rPr>
        <w:t>Building’s Structure</w:t>
      </w:r>
      <w:r>
        <w:rPr>
          <w:rFonts w:ascii="Times New Roman;Times;Serif" w:hAnsi="Times New Roman;Times;Serif"/>
          <w:b w:val="false"/>
          <w:i w:val="false"/>
          <w:caps w:val="false"/>
          <w:smallCaps w:val="false"/>
          <w:sz w:val="20"/>
        </w:rPr>
        <w:t>” means the Building’s exterior walls, roof, elevator shafts, footings, foundations, structural portions of load-bearing walls, structural floors and subfloors, and structural columns and beams; “</w:t>
      </w:r>
      <w:r>
        <w:rPr>
          <w:rFonts w:ascii="Times New Roman;Times;Serif" w:hAnsi="Times New Roman;Times;Serif"/>
          <w:b/>
          <w:i w:val="false"/>
          <w:caps w:val="false"/>
          <w:smallCaps w:val="false"/>
          <w:sz w:val="20"/>
          <w:u w:val="single"/>
        </w:rPr>
        <w:t>Building’s Systems</w:t>
      </w:r>
      <w:r>
        <w:rPr>
          <w:rFonts w:ascii="Times New Roman;Times;Serif" w:hAnsi="Times New Roman;Times;Serif"/>
          <w:b w:val="false"/>
          <w:i w:val="false"/>
          <w:caps w:val="false"/>
          <w:smallCaps w:val="false"/>
          <w:sz w:val="20"/>
        </w:rPr>
        <w:t>” means the Building’s HVAC, life-safety, plumbing, electrical, and mechanical systems; “</w:t>
      </w:r>
      <w:r>
        <w:rPr>
          <w:rFonts w:ascii="Times New Roman;Times;Serif" w:hAnsi="Times New Roman;Times;Serif"/>
          <w:b/>
          <w:i w:val="false"/>
          <w:caps w:val="false"/>
          <w:smallCaps w:val="false"/>
          <w:sz w:val="20"/>
          <w:u w:val="single"/>
        </w:rPr>
        <w:t>including</w:t>
      </w:r>
      <w:r>
        <w:rPr>
          <w:rFonts w:ascii="Times New Roman;Times;Serif" w:hAnsi="Times New Roman;Times;Serif"/>
          <w:b w:val="false"/>
          <w:i w:val="false"/>
          <w:caps w:val="false"/>
          <w:smallCaps w:val="false"/>
          <w:sz w:val="20"/>
        </w:rPr>
        <w:t>” means including, without limitation; “</w:t>
      </w:r>
      <w:r>
        <w:rPr>
          <w:rFonts w:ascii="Times New Roman;Times;Serif" w:hAnsi="Times New Roman;Times;Serif"/>
          <w:b/>
          <w:i w:val="false"/>
          <w:caps w:val="false"/>
          <w:smallCaps w:val="false"/>
          <w:sz w:val="20"/>
          <w:u w:val="single"/>
        </w:rPr>
        <w:t>Laws</w:t>
      </w:r>
      <w:r>
        <w:rPr>
          <w:rFonts w:ascii="Times New Roman;Times;Serif" w:hAnsi="Times New Roman;Times;Serif"/>
          <w:b w:val="false"/>
          <w:i w:val="false"/>
          <w:caps w:val="false"/>
          <w:smallCaps w:val="false"/>
          <w:sz w:val="20"/>
        </w:rPr>
        <w:t>” means all federal, state, and local laws, ordinances, rules and regulations, all court orders, governmental directives, and governmental orders, and all interpretations of the foregoing, and all restrictive covenants affecting this Lease or the Project, and “</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of the foregoing; “</w:t>
      </w:r>
      <w:r>
        <w:rPr>
          <w:rFonts w:ascii="Times New Roman;Times;Serif" w:hAnsi="Times New Roman;Times;Serif"/>
          <w:b/>
          <w:i w:val="false"/>
          <w:caps w:val="false"/>
          <w:smallCaps w:val="false"/>
          <w:sz w:val="20"/>
          <w:u w:val="single"/>
        </w:rPr>
        <w:t>Tenant’s Off-Premises Equipment</w:t>
      </w:r>
      <w:r>
        <w:rPr>
          <w:rFonts w:ascii="Times New Roman;Times;Serif" w:hAnsi="Times New Roman;Times;Serif"/>
          <w:b w:val="false"/>
          <w:i w:val="false"/>
          <w:caps w:val="false"/>
          <w:smallCaps w:val="false"/>
          <w:sz w:val="20"/>
        </w:rPr>
        <w:t>” means any of Tenant’s equipment or other property that may be located on or about the Project (other than inside the Premises); and “</w:t>
      </w:r>
      <w:r>
        <w:rPr>
          <w:rFonts w:ascii="Times New Roman;Times;Serif" w:hAnsi="Times New Roman;Times;Serif"/>
          <w:b/>
          <w:i w:val="false"/>
          <w:caps w:val="false"/>
          <w:smallCaps w:val="false"/>
          <w:sz w:val="20"/>
          <w:u w:val="single"/>
        </w:rPr>
        <w:t>Tenant Party</w:t>
      </w:r>
      <w:r>
        <w:rPr>
          <w:rFonts w:ascii="Times New Roman;Times;Serif" w:hAnsi="Times New Roman;Times;Serif"/>
          <w:b w:val="false"/>
          <w:i w:val="false"/>
          <w:caps w:val="false"/>
          <w:smallCaps w:val="false"/>
          <w:sz w:val="20"/>
        </w:rPr>
        <w:t>” means any of the following persons: Tenant; any assignees claiming by, through, or under Tenant; any subtenants claiming by, through, or under Tenant; and any of their respective agents, contractors, employees, licensees, guests and invitees.</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457200" cy="175260"/>
                <wp:effectExtent l="0" t="0" r="0" b="0"/>
                <wp:wrapSquare wrapText="right"/>
                <wp:docPr id="271" name="Frame2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 Grant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Subject to the terms of this Lease, Landlord leases to Tenant, and Tenant leases from Landlord, the Premises. Additionally, subject to the terms of this Lease and Landlord’s rules and regulations therefor, Tenant and its employees and invitees shall have a non-exclusive license to use any applicable driveways, loading dock areas, roadways, rail tracks and other similar improvements designated by Landlord from time to time as common areas for the common use and enjoyment of all tenants and occupants of the Complex. In addition, notwithstanding anything in this Lease to the contrary, Tenant shall have the exclusive right to use, on a “24 hour a day”, “365 days a year” basis and without any additional charge, the following: (a) the loading facilities and areas exclusively serving the Premises, (b) the trash removal area labeled and shown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the “Tenant Trash Removal Area”, and (c) the parking areas (including trailer parking stalls) within the Project labeled and shown on Exhibit “A” attached hereto as the “Tenant Exclusive Parking Area” (so called herein).</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457200" cy="175260"/>
                <wp:effectExtent l="0" t="0" r="0" b="0"/>
                <wp:wrapSquare wrapText="right"/>
                <wp:docPr id="272" name="Frame2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Tender of Possession</w:t>
      </w:r>
      <w:r>
        <w:rPr>
          <w:rFonts w:ascii="Times New Roman;Times;Serif" w:hAnsi="Times New Roman;Times;Serif"/>
          <w:b/>
          <w:i w:val="false"/>
          <w:caps w:val="false"/>
          <w:smallCaps w:val="false"/>
          <w:sz w:val="20"/>
        </w:rPr>
        <w:t xml:space="preserve">.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457200" cy="175260"/>
                <wp:effectExtent l="0" t="0" r="0" b="0"/>
                <wp:wrapSquare wrapText="right"/>
                <wp:docPr id="273" name="Frame2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Landlord and Tenant anticipate the Work to be Substantially Complete on or about November 1, 2026 (the “</w:t>
      </w:r>
      <w:r>
        <w:rPr>
          <w:rFonts w:ascii="Times New Roman;Times;Serif" w:hAnsi="Times New Roman;Times;Serif"/>
          <w:b/>
          <w:i w:val="false"/>
          <w:caps w:val="false"/>
          <w:smallCaps w:val="false"/>
          <w:sz w:val="20"/>
          <w:u w:val="single"/>
        </w:rPr>
        <w:t>Estimated Delivery Date</w:t>
      </w:r>
      <w:r>
        <w:rPr>
          <w:rFonts w:ascii="Times New Roman;Times;Serif" w:hAnsi="Times New Roman;Times;Serif"/>
          <w:b w:val="false"/>
          <w:i w:val="false"/>
          <w:caps w:val="false"/>
          <w:smallCaps w:val="false"/>
          <w:sz w:val="20"/>
        </w:rPr>
        <w:t>”). If the Work is not Substantially Complete by the Estimated Delivery Date, then (1) the validity of this Lease shall not be affected or impaired thereby, (2) Landlord shall not be in default hereunder or be liable for damages therefor, and (3) Tenant shall accept possession of the Premises when the Work is Substantially Complete. Notwithstanding the foregoing, if the Work is not Substantially Complete by January 1, 2027, as extended one day for each Tenant Delay Day or day of Force Majeure (the “</w:t>
      </w:r>
      <w:r>
        <w:rPr>
          <w:rFonts w:ascii="Times New Roman;Times;Serif" w:hAnsi="Times New Roman;Times;Serif"/>
          <w:b/>
          <w:i w:val="false"/>
          <w:caps w:val="false"/>
          <w:smallCaps w:val="false"/>
          <w:sz w:val="20"/>
          <w:u w:val="single"/>
        </w:rPr>
        <w:t>Outside Delivery Date</w:t>
      </w:r>
      <w:r>
        <w:rPr>
          <w:rFonts w:ascii="Times New Roman;Times;Serif" w:hAnsi="Times New Roman;Times;Serif"/>
          <w:b w:val="false"/>
          <w:i w:val="false"/>
          <w:caps w:val="false"/>
          <w:smallCaps w:val="false"/>
          <w:sz w:val="20"/>
        </w:rPr>
        <w:t>”), Basic Rent will be abated, commencing with Lease Month 4, one (1) day for each day after the Outside Delivery Date that occurs before the date the Work is Substantially Complete (the “</w:t>
      </w:r>
      <w:r>
        <w:rPr>
          <w:rFonts w:ascii="Times New Roman;Times;Serif" w:hAnsi="Times New Roman;Times;Serif"/>
          <w:b/>
          <w:i w:val="false"/>
          <w:caps w:val="false"/>
          <w:smallCaps w:val="false"/>
          <w:sz w:val="20"/>
          <w:u w:val="single"/>
        </w:rPr>
        <w:t>Actual Delivery Date</w:t>
      </w:r>
      <w:r>
        <w:rPr>
          <w:rFonts w:ascii="Times New Roman;Times;Serif" w:hAnsi="Times New Roman;Times;Serif"/>
          <w:b w:val="false"/>
          <w:i w:val="false"/>
          <w:caps w:val="false"/>
          <w:smallCaps w:val="false"/>
          <w:sz w:val="20"/>
        </w:rPr>
        <w:t xml:space="preserve">”), and if the Actual Delivery Date has not occurred by July 1, 2027, then Tenant may terminate this Lease upon thirty (30) days’ advance written notice to Landlord but prior to the date on which Landlord Substantially Completes the Work; provided, however, that if the Actual Delivery Date occurs during such 30-day period, such termination shall be deemed rescinded and this Lease will continue in full force and effect. In the event of such termination, Landlord shall return to Tenant the Security Deposit and the Prepaid Rent within ten (10) days after the date of such termination, which obligation shall survive termination of this Lease. By occupying the Premises, Tenant shall be deemed to have accepted the Premises in their condition as of the date of such occupancy, subject to the performance of punch-list items that remain to be performed by Landlord, if any, and Landlord’s repair of latent defects of which Tenant provides Landlord written notice within one (1) year after the Actual Delivery Date. Prior to occupying the Premises, Tenant shall execute and deliver to Landlord a letter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confirming (1) the Commencement Date and the expiration date of the initial Term, (2) that Tenant has accepted the Premises, and (3) that Landlord has performed all of its obligations with respect to the Premises (except for punch-list items specified in such letter and Landlord’s repair of latent defects of which Tenant provides Landlord written notice within one (1) year after the Actual Delivery Date);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and Additional 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Remeasurement</w:t>
      </w:r>
      <w:r>
        <w:rPr>
          <w:rFonts w:ascii="Times New Roman;Times;Serif" w:hAnsi="Times New Roman;Times;Serif"/>
          <w:b w:val="false"/>
          <w:i w:val="false"/>
          <w:caps w:val="false"/>
          <w:smallCaps w:val="false"/>
          <w:sz w:val="20"/>
        </w:rPr>
        <w:t>. Within thirty (30) days after Substantial Completion of the Work, Landlord shall cause (at Landlord’s sole cost) its architect to measure the area of the Building in accordance with BOMA International and the Society of Industrial and Office Realtors Industrial Buildings: Standard Methods of Measurement (ANSI Z65.2-2025), using Exterior Wall Methodology (Method A), and provide a written certification of such measurement to Landlord and Tenant. The area stipulated therein (absent manifest error of which a party notifies the other in writing within ten (10) days following receipt of the initial written certification) shall be fully applicable and binding on the parties until after such time, if ever, as any such measurement is effected, following which event the new measurements, if they differ from those herein set forth, shall be applicable to future obligations only. Upon such measurement(s), the square footage of the Premises and all other provisions in this Lease which are based on the square footage of the Premises and/or Building shall be adjusted accordingly. Landlord shall provide Tenant ten (10) days advance notice of the date of such measurement and Tenant shall be permitted to have one or more representatives present during such measurement.</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457200" cy="175260"/>
                <wp:effectExtent l="0" t="0" r="0" b="0"/>
                <wp:wrapSquare wrapText="right"/>
                <wp:docPr id="274" name="Frame2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Rent</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457200" cy="175260"/>
                <wp:effectExtent l="0" t="0" r="0" b="0"/>
                <wp:wrapSquare wrapText="right"/>
                <wp:docPr id="275" name="Frame2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Tenant shall timely pay to Landlord Rent, without notice, demand, deduction or set 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Rent to Landlord and the obligations of Landlord under this Lease are independent obligations. Rent shall be payable monthly in advance. The first monthly installment of Basic Rent shall be payable contemporaneously with the execution of this Lease (the “</w:t>
      </w:r>
      <w:r>
        <w:rPr>
          <w:rFonts w:ascii="Times New Roman;Times;Serif" w:hAnsi="Times New Roman;Times;Serif"/>
          <w:b/>
          <w:i w:val="false"/>
          <w:caps w:val="false"/>
          <w:smallCaps w:val="false"/>
          <w:sz w:val="20"/>
          <w:u w:val="single"/>
        </w:rPr>
        <w:t>Prepaid Rent</w:t>
      </w:r>
      <w:r>
        <w:rPr>
          <w:rFonts w:ascii="Times New Roman;Times;Serif" w:hAnsi="Times New Roman;Times;Serif"/>
          <w:b w:val="false"/>
          <w:i w:val="false"/>
          <w:caps w:val="false"/>
          <w:smallCaps w:val="false"/>
          <w:sz w:val="20"/>
        </w:rPr>
        <w:t>”); thereafter, Basic Rent shall be payable on the first day of each month beginning on the first day of the fourth Lease Month. The monthly Rent for any partial month at the beginning of the Term shall equal the product of 1/365 of the annual Basic Rent (and Additional Rent) in effect during the partial month and the number of days in the partial month, and shall be due on the Commencement Date. Payments of Rent for any fractional calendar month at the end of the Term shall be similarly prorated.</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457200" cy="175260"/>
                <wp:effectExtent l="0" t="0" r="0" b="0"/>
                <wp:wrapSquare wrapText="right"/>
                <wp:docPr id="276" name="Frame2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Costs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457200" cy="175260"/>
                <wp:effectExtent l="0" t="0" r="0" b="0"/>
                <wp:wrapSquare wrapText="right"/>
                <wp:docPr id="277" name="Frame2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pay to Landlord Tenant’s Proportionate Share of the annual Operating Costs (defined below). Prior to each calendar year of the Term, Landlord shall make a good faith estimate of Tenant’s Proportionate Share of Operating Costs for the following calendar year or part thereof during the Term. During each calendar year or partial calendar year of the Term, Tenant shall pay to Landlord, in advance concurrently with each monthly installment of Basic Rent, an amount equal to the estimated Tenant’s Proportionate Share of Operating Costs for such calendar year or part thereof divided by the number of months therein. From time to time, but not more than once a calendar year, Landlord may re-estimate the amount of Tenant’s Proportionate Share of Operating Costs to be due by Tenant and deliver a copy of the re-estimate to Tenant. Thereafter, the monthly installments of Tenant’s Proportionate Share of Operating Costs shall be adjusted in accordance with the estimations so that, by the end of the calendar year in question, Tenant shall have paid all of Tenant’s Proportionate Share of Operating Costs as estimated by Landlord. Any amounts paid based on such an estimate shall be subject to adjustment as herein provided when actual Operating Costs are available for each calendar year.</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457200" cy="175260"/>
                <wp:effectExtent l="0" t="0" r="0" b="0"/>
                <wp:wrapSquare wrapText="right"/>
                <wp:docPr id="278" name="Frame2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u w:val="single"/>
        </w:rPr>
        <w:t>Operating Costs</w:t>
      </w:r>
      <w:r>
        <w:rPr>
          <w:rFonts w:ascii="Times New Roman;Times;Serif" w:hAnsi="Times New Roman;Times;Serif"/>
          <w:b w:val="false"/>
          <w:i w:val="false"/>
          <w:caps w:val="false"/>
          <w:smallCaps w:val="false"/>
          <w:sz w:val="20"/>
        </w:rPr>
        <w:t>” means all expenses and disbursements (subject to the limitations set forth below) that Landlord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relating thereto; (B) all supplies and materials used in the operation, maintenance, repair, replacement, and security of the Project; (C) cost of all utilities (including fuel, gas, electricity, water, sewer, and other services) for the common areas and other non-tenant areas of the Project (e.g., mechanical, electrical and telecommunications rooms) as reasonably determined by Landlord; (D) repairs, replacements, and general maintenance of the Project including paving and parking areas, roads, roof repairs (Landlord is responsible for replacement of the roof as provided in Section 7), alleys and driveways, trash collection, sweeping and removal of trash for the common areas, mowing and snow removal, landscaping and exterior painting, the cost of maintaining utility lines, fire sprinklers and fire protection systems, exterior lighting, and mechanical and plumbing systems serving the Project and, to the extent the following items serve more than one tenant in the Project, dock doors, drains and sump pumps; (E) fair market rental and other costs with respect to the management office for the Project; (F) service, maintenance and management contracts with independent contractors for the operation, maintenance, management, repair, replacement, and security of the Project (including alarm service, window cleaning, and elevator maintenance); (G) reasonable costs of professional services rendered for the general benefit of the Project; (H) environmental insurance or environmental management fees; (I) the cost of any insurance deductibles for insurance required to be maintained by Landlord; and (J)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new interpretations of any Law hereafter rendered with respect to any existing Law, as amortized using a commercially reasonable interest rate over the useful economic life of such improvements as determined by Landlord in its reasonable discretion. The parties acknowledge the Project is part of an industrial park complex (the “</w:t>
      </w:r>
      <w:r>
        <w:rPr>
          <w:rFonts w:ascii="Times New Roman;Times;Serif" w:hAnsi="Times New Roman;Times;Serif"/>
          <w:b/>
          <w:i w:val="false"/>
          <w:caps w:val="false"/>
          <w:smallCaps w:val="false"/>
          <w:sz w:val="20"/>
          <w:u w:val="single"/>
        </w:rPr>
        <w:t>Complex</w:t>
      </w:r>
      <w:r>
        <w:rPr>
          <w:rFonts w:ascii="Times New Roman;Times;Serif" w:hAnsi="Times New Roman;Times;Serif"/>
          <w:b w:val="false"/>
          <w:i w:val="false"/>
          <w:caps w:val="false"/>
          <w:smallCaps w:val="false"/>
          <w:sz w:val="20"/>
        </w:rPr>
        <w:t>”), Operating Costs, Taxes (defined below) and Insurance Costs (defined below) for the Complex may be prorated among the Project and the other buildings of the Complex, as reasonably determined by Landlord.</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457200" cy="175260"/>
                <wp:effectExtent l="0" t="0" r="0" b="0"/>
                <wp:wrapSquare wrapText="right"/>
                <wp:docPr id="279"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shall not include costs for (i) capital improvements made to the Project or the Complex, other than capital improvements described in Section 4(b)(2)(J) and except for items which are generally considered maintenance and repair items, such as painting of common areas, replacement of carpet in elevator lobbies (if any), and the like; (ii) repair, replacements and general maintenance paid by proceeds of insurance or by Tenant or other third parties; (iii) interest, amortization or other payments on loans to Landlord; (iv) depreciation; (v) leasing commissions; (vi) legal expenses for services, other than those that benefit the Project tenants generally (e.g., tax disputes); (vii) Taxes; (viii) Insurance Costs; (ix) renovating or otherwise improving space for occupants of the Project or the Complex or vacant space in the Project or the Complex; (x) [intentionally omitted]; (xi) overhead and profit increment paid to Landlord or to subsidiaries or affiliates of Landlord for goods and/or services in or to the Complex to the extent the same exceeds the costs of such goods and/or services rendered by unaffiliated third parties on a competitive basis; (xii) costs of any impact or tap fees or any sewer or water connection fees for the benefit of any particular tenant in the Complex; (xiii) any costs incurred in the removal, containment encapsulation or disposal of or repair or cleaning or monitoring of areas affected by any Hazardous Materials unless same arise due to the acts or omissions of Tenant; (xiv) any costs incurred in connection with the original design, construction, and landscaping of the Complex; (xv) Landlord’s general corporate overhead and general administrative expenses; (xvi) wages, salaries, benefits, or other costs of employees above the grade of “building manager” or similar title; (xvii) any administrative or management fee(s) in excess of three percent (3%) of the gross revenue of the Complex; (xviii) reserves of any kind; or (xix) any costs necessitated by or resulting from the gross negligence or willful misconduct of Landlord, or its agents, contractors, or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also pay Tenant’s Proportionate Share of the Taxes for each year and partial year falling within the Term. Tenant shall pay Tenant’s Proportionate Share of Taxes in the same manner as provided above for Tenant’s Proportionate Share of Operating Costs.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(including the franchise tax set forth in V.T.C.A. Tax Code section 171.0001 et seq., as the same may be amended or recorded from time to time), excluding, however, penalties and interest thereon and federal and state taxes on income (if the present method of taxation changes so that in lieu of or in addition to the whole or any part of any Taxes, there is levied on Landlord a capital tax, sales tax, or use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costs of consultants retained in an effort to lower taxes and all costs incurred in disputing any taxes or in seeking to lower the tax valuation of the Project. Notwithstanding the foregoing, (i) Taxes will exclude income, margin, franchise inheritance, transfer, gift and “roll-back” or similar taxes, penalties or interest other than those attributable to Tenant’s failure to comply timely with its obligations under this Lease, (ii) in the event that any Taxes may be paid in installments, Tenant shall have the option to pay such Taxes in installments; and in such event, Tenant shall be liable only for those installments that are allocable to periods during the Term and become due and payable during the Term, and (iii) the Fort Bend County Municipal Utility District No. 168 (the “</w:t>
      </w:r>
      <w:r>
        <w:rPr>
          <w:rFonts w:ascii="Times New Roman;Times;Serif" w:hAnsi="Times New Roman;Times;Serif"/>
          <w:b/>
          <w:i w:val="false"/>
          <w:caps w:val="false"/>
          <w:smallCaps w:val="false"/>
          <w:sz w:val="20"/>
          <w:u w:val="single"/>
        </w:rPr>
        <w:t>MUD</w:t>
      </w:r>
      <w:r>
        <w:rPr>
          <w:rFonts w:ascii="Times New Roman;Times;Serif" w:hAnsi="Times New Roman;Times;Serif"/>
          <w:b w:val="false"/>
          <w:i w:val="false"/>
          <w:caps w:val="false"/>
          <w:smallCaps w:val="false"/>
          <w:sz w:val="20"/>
        </w:rPr>
        <w:t>”) tax rate for the Real Property shall not exceed $1.00 per $100.00 of taxable value.</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457200" cy="175260"/>
                <wp:effectExtent l="0" t="0" r="0" b="0"/>
                <wp:wrapSquare wrapText="right"/>
                <wp:docPr id="280"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property tax purposes, Tenant waives all rights to protest or appeal the appraised value of the Premises, as well as the Project, and all rights to receive notices of reappraisement, as set forth in Sections 41.413 and 42.015 of the Texas Tax Code. Landlord agrees to consult with a real estate tax consultant or advisor engaged by it from time to time and in the exercise of reasonable and prudent ownership judgment contest any unreasonable tax assessment to the extent such tax counsel advises Landlord that a reasonable basis exists therefor. Upon at least 10 days’ written request from Tenant, Landlord will confirm to Tenant by April 30 of any calendar year during the Term, whether it will protest or appeal the appraised value of the Project. If Landlord fails to respond to such inquiry by April 30 of any calendar year or responds to Tenant that it will not protest or appeal the appraised value of the Project, then notwithstanding the terms of this Section 2(b)(4), Tenant may protest or appeal the appraised value of the Project.</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81" name="Frame2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April 1 of each calendar year, or as soon thereafter as practicable, Landlord shall furnish to Tenant a statement of Operating Costs and Taxes for the previous year (the “</w:t>
      </w:r>
      <w:r>
        <w:rPr>
          <w:rFonts w:ascii="Times New Roman;Times;Serif" w:hAnsi="Times New Roman;Times;Serif"/>
          <w:b/>
          <w:i w:val="false"/>
          <w:caps w:val="false"/>
          <w:smallCaps w:val="false"/>
          <w:sz w:val="20"/>
          <w:u w:val="single"/>
        </w:rPr>
        <w:t>Operating Costs and Tax Statement</w:t>
      </w:r>
      <w:r>
        <w:rPr>
          <w:rFonts w:ascii="Times New Roman;Times;Serif" w:hAnsi="Times New Roman;Times;Serif"/>
          <w:b w:val="false"/>
          <w:i w:val="false"/>
          <w:caps w:val="false"/>
          <w:smallCaps w:val="false"/>
          <w:sz w:val="20"/>
        </w:rPr>
        <w:t>”). If Tenant’s estimated payments of Operating Costs or Taxes under this Section 4(b) for the year covered by the Operating Costs and Tax Statement exceed Tenant’s Proportionate Share of such items as indicated in the Operating Costs and Tax Statement, then Landlord shall promptly credit or reimburse Tenant for such excess; likewise, if Tenant’s estimated payments of Operating Costs or Taxes under this Section 4(b) for such year are less than Tenant’s Proportionate Share of such items as indicated in the Operating Costs and Tax Statement, then Tenant shall promptly pay Landlord such deficiency.</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457200" cy="175260"/>
                <wp:effectExtent l="0" t="0" r="0" b="0"/>
                <wp:wrapSquare wrapText="right"/>
                <wp:docPr id="282" name="Frame2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commencing with the first full calendar year after the first anniversary of the Commencement Date, the amount of Controllable Expenses (defined below) for purposes of calculating Tenant’s Proportionate Share of Operating Costs under Section 4(b) shall not increase by more than seven percent (7%) over Tenant’s Proportionate Share of Controllable Expenses in the previous calendar year, cumulative and compounded. The term “Controllable Expenses” means all Operating Costs but excludes all expenses relating to the cost of utilities, security expenses, insurance, real estate taxes and assessments, and other expenses that are deemed by industry standards to be uncontrollable to the extent same constitute Operating Costs.</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457200" cy="175260"/>
                <wp:effectExtent l="0" t="0" r="0" b="0"/>
                <wp:wrapSquare wrapText="right"/>
                <wp:docPr id="283" name="Frame2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Audit Rights.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457200" cy="175260"/>
                <wp:effectExtent l="0" t="0" r="0" b="0"/>
                <wp:wrapSquare wrapText="right"/>
                <wp:docPr id="284" name="Frame2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Event of Default is then outstanding, Tenant shall have the right to inspect, at reasonable times and in a reasonable manner, during the sixty (60) day period following the delivery of the Operating Costs and Tax Statement (the “</w:t>
      </w:r>
      <w:r>
        <w:rPr>
          <w:rFonts w:ascii="Times New Roman;Times;Serif" w:hAnsi="Times New Roman;Times;Serif"/>
          <w:b/>
          <w:i w:val="false"/>
          <w:caps w:val="false"/>
          <w:smallCaps w:val="false"/>
          <w:sz w:val="20"/>
          <w:u w:val="single"/>
        </w:rPr>
        <w:t>Inspection Period</w:t>
      </w:r>
      <w:r>
        <w:rPr>
          <w:rFonts w:ascii="Times New Roman;Times;Serif" w:hAnsi="Times New Roman;Times;Serif"/>
          <w:b w:val="false"/>
          <w:i w:val="false"/>
          <w:caps w:val="false"/>
          <w:smallCaps w:val="false"/>
          <w:sz w:val="20"/>
        </w:rPr>
        <w:t>”), such of Landlord’s books of account and records as pertain to and contain information concerning the Operating Costs and Taxes for the prior calendar year in order to verify the amounts thereof. Such inspection shall take place at Landlord’s office upon at least fifteen (15) days prior written notice from Tenant to Landlord. Tenant shall also agree to follow Landlord’s reasonable procedures for auditing such books and records. Landlord and Tenant shall act reasonably in assessing the other party’s calculation of the Operating Costs and Taxes. Tenant shall provide Landlord with a copy of its findings within thirty (30) days after completion of the audit. Tenant’s failure to exercise its rights hereunder within the Inspection Period shall be deemed a waiver of its right to inspect or contest the method, accuracy or amount of such Operating Costs and Taxes.</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457200" cy="175260"/>
                <wp:effectExtent l="0" t="0" r="0" b="0"/>
                <wp:wrapSquare wrapText="right"/>
                <wp:docPr id="285" name="Frame2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Landlord’s calculation of the Operating Costs and Taxes or Tenant’s Proportionate Share thereof for the inspected calendar year was incorrect, the parties shall enter into a written agreement confirming such undisputed error and then Landlord shall make a correcting payment in full to Tenant within thirty (30) days after the determination of the amount of such error or credit such amount against future Additional Rent if Tenant overpaid such amount, and Tenant shall pay Landlord within thirty (30) days after the determination of such error if Tenant underpaid such amount. In the event of any errors on the part of Landlord that cost Tenant in excess of $5,000, Landlord will also reimburse Tenant for the costs of an audit reasonably incurred by Tenant (not to exceed $5,000) within the above thirty (30) day period. If Tenant provides Landlord with written notice disputing the correctness of Landlord’s statement, and if such dispute shall have not been settled by agreement within thirty (30) days after Tenant provides Landlord with such written notice, Tenant may submit the dispute to a reputable firm of independent certified public accountants selected by Tenant and reasonably approved by Landlord, and the decision of such accountants shall be conclusive and binding upon the parties. If such accountant decides that there was an error, Landlord will make correcting payment if Tenant overpaid such amount, and Tenant shall pay Landlord if Tenant underpaid such amount. The fees and expenses involved in such decision shall be borne by the party required to pay for the audit.</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457200" cy="175260"/>
                <wp:effectExtent l="0" t="0" r="0" b="0"/>
                <wp:wrapSquare wrapText="right"/>
                <wp:docPr id="286"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maintain the results of each such audit or inspection confidential and shall not be permitted to use any third party to perform such audit or inspection, other than an independent firm of certified public accountants (1) reasonably acceptable to Landlord, (2) which is not compensated on a contingency fee basis or in any other manner which is dependent upon the results of such audit or inspection (and Tenant shall deliver the fee agreement or other similar evidence of such fee arrangement to Landlord upon request), and (3) which agrees with Landlord in writing to maintain the results of such audit or inspection confidential. Nothing in this Section 4(c) shall be construed to limit, suspend or abate Tenant’s obligation to pay Rent when due, including Additional Rent.</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457200" cy="175260"/>
                <wp:effectExtent l="0" t="0" r="0" b="0"/>
                <wp:wrapSquare wrapText="right"/>
                <wp:docPr id="287" name="Frame2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Delinquent Payment; Handling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payments required of Tenant hereunder not received within three (3) business days of the date due shall bear interest from the date due until paid at the lesser of eighteen percent per annum or the maximum lawful rate of interest (such lesser amount is referred to herein as the “</w:t>
      </w:r>
      <w:r>
        <w:rPr>
          <w:rFonts w:ascii="Times New Roman;Times;Serif" w:hAnsi="Times New Roman;Times;Serif"/>
          <w:b/>
          <w:i w:val="false"/>
          <w:caps w:val="false"/>
          <w:smallCaps w:val="false"/>
          <w:sz w:val="20"/>
          <w:u w:val="single"/>
        </w:rPr>
        <w:t>Default Rate</w:t>
      </w:r>
      <w:r>
        <w:rPr>
          <w:rFonts w:ascii="Times New Roman;Times;Serif" w:hAnsi="Times New Roman;Times;Serif"/>
          <w:b w:val="false"/>
          <w:i w:val="false"/>
          <w:caps w:val="false"/>
          <w:smallCaps w:val="false"/>
          <w:sz w:val="20"/>
        </w:rPr>
        <w:t>”); additionally, Landlord, in addition to all other rights and remedies available to it, may charge Tenant a fee equal to the greater of (a) $50.00 or (b) five percent of the delinquent payment to reimburse Landlord for its cost and inconvenience incurred as a consequence of Tenant’s delinquency. In no event, however, shall the charges permitted under this Section 5 or elsewhere in this Lease, to the extent they are considered to be interest under applicable Law, exceed the maximum lawful rate of interest. Notwithstanding the foregoing, the interest and late fee referenced above shall not be charged with respect to the first occurrence (but not any subsequent occurrence) during any 12-month period that Tenant fails to make payment within three (3) business days of the date due, until five days after Landlord delivers written notice of such delinquency to Tenant.</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457200" cy="175260"/>
                <wp:effectExtent l="0" t="0" r="0" b="0"/>
                <wp:wrapSquare wrapText="right"/>
                <wp:docPr id="288" name="Frame2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Deposit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Contemporaneously with the execution of this Lease, Tenant shall pay to Landlord the Security Deposit, which shall be held 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Landlord and Tenant agree that such deductions shall include, without limitation, all damages and losses that Landlord has suffered or that Landlord reasonably estimates that it will suffer as a result of any breach of this Lease by Tenant. The Security Deposit may be commingled with other funds, and no interest shall be paid thereon. If Landlord transfers its interest in the Premises, Landlord will assign the Security Deposit to the transferee and, upon such transfer and the delivery to Tenant of an acknowledgement of the transferee’s responsibility for the Security Deposit as provided by Law, Landlord thereafter shall have no further liability for the return of the Security Deposit. Notwithstanding anything to the contrary set forth herein, (i) if no Event of Default occurs during the first fifteen (15) Lease Months (i.e., the first twelve Lease Months during which Tenant is obligated to pay Basic Rent), then upon written request of Tenant, Landlord will reduce the Security Deposit by $155,493,77 and (ii) if no Event of Default occurs during Lease Months sixteen through twenty-seven, then upon written request of Tenant, Landlord will further reduce the Security Deposit by an additional $155,493.77, leaving a Security Deposit balance of $235,961.79. Each reduction in the Security Deposit will be applied by Landlord to Tenant’s next accruing installments of Basic Rent hereunder.</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457200" cy="175260"/>
                <wp:effectExtent l="0" t="0" r="0" b="0"/>
                <wp:wrapSquare wrapText="right"/>
                <wp:docPr id="289" name="Frame2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Maintenance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Lease is intended to be a net lease; accordingly, Landlord’s maintenance obligations are limited to the replacement of the Building’s Structure; Landlord shall not be responsible for any such work until Tenant notifies Landlord of the need therefor in writing. The Building’s Structure does not include skylights, windows, glass or plate glass, doors or overhead doors, special fronts, or office entries, dock bumpers, dock plates or levelers, loading areas and docks, and loading dock equipment, all of which shall be maintained by Tenant. Landlord’s liability for any defects, repairs, replacement or maintenance for which Landlord is specifically responsible for under this Lease shall be limited to the cost of performing the work. Additionally, Landlord shall maintain the parking areas, and other common areas of the Building, including driveways, alleys, landscape and grounds surrounding the Premises and utility lines in a good condition, consistent with the operation of a bulk warehouse/industrial or service center facility, including maintenance, repair, and replacement of any rail tracks serving the Premises, the exterior of the Building (including painting), landscaping sprinkler systems, and any items normally associated with the foregoing. All costs in performing the work described in the foregoing sentence shall be included in Operating Costs. Tenant shall promptly notify Landlord in writing of any work required to be performed under this Section 7, and Landlord shall not be responsible for performing such work until Tenant delivers to Landlord such notice. Notwithstanding anything to the contrary contained herein, Landlord shall, in its commercially reasonable discretion, determine the appropriate remedial action required of it to satisfy its maintenance obligations hereunder (e.g., Landlord shall, in its commercially reasonable discretion, determine whether, and to the extent, repairs or replacements are the appropriate remedial action).</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457200" cy="175260"/>
                <wp:effectExtent l="0" t="0" r="0" b="0"/>
                <wp:wrapSquare wrapText="right"/>
                <wp:docPr id="290" name="Frame2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Improvements; Alterations; Tenant’s Maintenance and Repair Obligations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457200" cy="175260"/>
                <wp:effectExtent l="0" t="0" r="0" b="0"/>
                <wp:wrapSquare wrapText="right"/>
                <wp:docPr id="291" name="Frame2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Improvements; Alterations</w:t>
      </w:r>
      <w:r>
        <w:rPr>
          <w:rFonts w:ascii="Times New Roman;Times;Serif" w:hAnsi="Times New Roman;Times;Serif"/>
          <w:b w:val="false"/>
          <w:i w:val="false"/>
          <w:caps w:val="false"/>
          <w:smallCaps w:val="false"/>
          <w:sz w:val="20"/>
        </w:rPr>
        <w:t xml:space="preserve">. Except for the Work to be performed pursuant to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all alterations and improvements to the Premises shall be installed at Tenant’s expense only in accordance with plans and specifications which have been previously approved in writing by Landlord, which approval shall be governed by the provisions set forth in this Section 8(a). No alterations or additions in or to the Premises may be made without Landlord’s prior written consent, which shall not be unreasonably withheld or delayed; however, Landlord may withhold its consent to any alteration or addition that would adversely affect (in the reasonable discretion of Landlord) (1) the Building’s Structure or the Building’s Systems (including the Building’s restrooms or mechanical rooms), (2) the exterior appearance of the Building, (3) the appearance of the Building’s common areas, or (4) the provision of services to other Building occupants.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Notwithstanding the foregoing, Tenant may, without Landlord’s consent, make non-structural alterations to the interior of the Premises (collectively, “</w:t>
      </w:r>
      <w:r>
        <w:rPr>
          <w:rFonts w:ascii="Times New Roman;Times;Serif" w:hAnsi="Times New Roman;Times;Serif"/>
          <w:b/>
          <w:i w:val="false"/>
          <w:caps w:val="false"/>
          <w:smallCaps w:val="false"/>
          <w:sz w:val="20"/>
          <w:u w:val="single"/>
        </w:rPr>
        <w:t>Non-Structural Alterations</w:t>
      </w:r>
      <w:r>
        <w:rPr>
          <w:rFonts w:ascii="Times New Roman;Times;Serif" w:hAnsi="Times New Roman;Times;Serif"/>
          <w:b w:val="false"/>
          <w:i w:val="false"/>
          <w:caps w:val="false"/>
          <w:smallCaps w:val="false"/>
          <w:sz w:val="20"/>
        </w:rPr>
        <w:t>”) provided that (i) the cost does not exceed two hundred thousand dollars ($200,000) for any one project, (ii) such alterations do not affect the Building’s Structure or the Building’s Systems and do not require issuance of a building permit, (iii) Tenant provides Landlord with prior written notice of its intention to make such alterations stating in reasonable detail the nature, extent and estimated cost of such alterations, together with, if applicable, the plans and specifications for the same (collectively, a “</w:t>
      </w:r>
      <w:r>
        <w:rPr>
          <w:rFonts w:ascii="Times New Roman;Times;Serif" w:hAnsi="Times New Roman;Times;Serif"/>
          <w:b/>
          <w:i w:val="false"/>
          <w:caps w:val="false"/>
          <w:smallCaps w:val="false"/>
          <w:sz w:val="20"/>
          <w:u w:val="single"/>
        </w:rPr>
        <w:t>Non-Structural Alterations Notice</w:t>
      </w:r>
      <w:r>
        <w:rPr>
          <w:rFonts w:ascii="Times New Roman;Times;Serif" w:hAnsi="Times New Roman;Times;Serif"/>
          <w:b w:val="false"/>
          <w:i w:val="false"/>
          <w:caps w:val="false"/>
          <w:smallCaps w:val="false"/>
          <w:sz w:val="20"/>
        </w:rPr>
        <w:t>”), and (iv) Tenant’s construction of such alterations otherwise complies with the terms of this Section 8. Notwithstanding the foregoing to the contrary, if requested by Tenant, Landlord shall not unreasonably withhold, condition or delay approval of the construction of building improvements on Reserve Tract 4.</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457200" cy="175260"/>
                <wp:effectExtent l="0" t="0" r="0" b="0"/>
                <wp:wrapSquare wrapText="right"/>
                <wp:docPr id="292" name="Frame2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Repairs; Maintenance</w:t>
      </w:r>
      <w:r>
        <w:rPr>
          <w:rFonts w:ascii="Times New Roman;Times;Serif" w:hAnsi="Times New Roman;Times;Serif"/>
          <w:b w:val="false"/>
          <w:i w:val="false"/>
          <w:caps w:val="false"/>
          <w:smallCaps w:val="false"/>
          <w:sz w:val="20"/>
        </w:rPr>
        <w:t>. Tenant shall maintain the Premises, including the loading areas and dock, and loading dock equipment in connection with the Premises, in a clean, safe, and operable condition, and shall not permit or allow to remain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including loading docks, sump pumps, dock wells, dock equipment and loading areas, dock doors, dock seals, overhead doors, “levellors” and similar leveling equipment, plumbing, water, fire sprinkler system, and sewer lines up to points of common connection, entries, doors, ceilings, windows, interior walls, and the interior side of demising walls, and heating, ventilation and air conditioning systems (including any evaporative units), and other building and mechanical systems serving the Premises. Such repair and replacements include capital expenditures and repairs whose benefit may extend beyond the Term. Upon written request of Tenant, Landlord will enforce for the benefit of Tenant, any warranties received by Landlord which are applicable to the portions of the Premises to be maintained by Tenant hereunder. If Tenant fails to perform any of its maintenance obligations hereunder and such failure continues for five (5) business days after written notice from Landlord (or such longer period as may be reasonably required provided Tenant commences to perform such required maintenance within such five (5) business-day period and proceeds diligently to completion), then Landlord may make the same at Tenant’s cost. Tenant shall repair or replace, subject to Landlord’s direction and supervision, any damage to the Building caused by a Tenant Party. If Tenant fails to make such repairs or replacements within 15 days after the occurrence of such damage (or such longer period as may be reasonably required provided Tenant commences to make such repairs or replacements within such 15-day period and proceeds diligently to completion), then Landlord may make the same at Tenant’s cost. If any such damage occurs outside of the Premises, then Landlord may elect to repair such damage at Tenant’s expense, rather than having Tenant repair such damage. The reasonable costs of all maintenance, repair or replacement work performed by Landlord under this Section 8 shall be paid by Tenant to Landlord within 30 days after Landlord has invoiced Tenant therefor.</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457200" cy="175260"/>
                <wp:effectExtent l="0" t="0" r="0" b="0"/>
                <wp:wrapSquare wrapText="right"/>
                <wp:docPr id="293" name="Frame2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of Work</w:t>
      </w:r>
      <w:r>
        <w:rPr>
          <w:rFonts w:ascii="Times New Roman;Times;Serif" w:hAnsi="Times New Roman;Times;Serif"/>
          <w:b w:val="false"/>
          <w:i w:val="false"/>
          <w:caps w:val="false"/>
          <w:smallCaps w:val="false"/>
          <w:sz w:val="20"/>
        </w:rPr>
        <w:t xml:space="preserve">. All work described in this Section 8 shall be performed only by Landlord or by contractors and subcontractors approved in writing by Landlord, which approval will not be unreasonably withheld for contractors and subcontractors that maintain the insurance coverages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cause all contractors and subcontractors to procure and maintain insurance coverage naming Landlord, Landlord’s property management company and Landlord’s asset management company as additional insureds against such risks, in such amounts, with such companies, and coverage in compliance with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attached hereto.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Building roof must be performed by Landlord’s roofing contractor, and will not be permitted if it would void or reduce the warranty on the roof.</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457200" cy="175260"/>
                <wp:effectExtent l="0" t="0" r="0" b="0"/>
                <wp:wrapSquare wrapText="right"/>
                <wp:docPr id="294" name="Frame2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All work performed, materials furnished, or obligations incurred by or at the request of a Tenant Party shall be deemed authorized and ordered by Tenant only, and Tenant shall not permit any mechanic’s liens to be filed against the Premises or the Project in connection therewith. Promptly following completion of any such work, Tenant shall deliver to Landlord final lien waivers from all contractors, subcontractors and materialmen who performed such work costing in excess of $5,000. If a lien is filed, then Tenant shall, within twenty days after Landlord has delivered notice of the filing thereof to Tenant (or earlier, as necessary to prevent the forfeiture of the Premises, the Project or any interest of Landlord therein or the imposition of any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during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457200" cy="175260"/>
                <wp:effectExtent l="0" t="0" r="0" b="0"/>
                <wp:wrapSquare wrapText="right"/>
                <wp:docPr id="295" name="Frame2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Janitorial Services</w:t>
      </w:r>
      <w:r>
        <w:rPr>
          <w:rFonts w:ascii="Times New Roman;Times;Serif" w:hAnsi="Times New Roman;Times;Serif"/>
          <w:b w:val="false"/>
          <w:i w:val="false"/>
          <w:caps w:val="false"/>
          <w:smallCaps w:val="false"/>
          <w:sz w:val="20"/>
        </w:rPr>
        <w:t>. Tenant, at its sole expense, shall provide janitorial services to the Premises and shall maintain the Premises in a clean and safe condition. Tenant shall store all trash and garbage within the Tenant Trash Removal Area and shall, at its sole expense, arrange for the regular pickup of such trash and garbage pursuant to reasonable regulations established by Landlord from time to time. If Tenant fails to provide janitorial services to the Premises or trash removal services in compliance with the foregoing and such failure continues for more than five (5) days after written notice to Tenant (or more than twice in any 12-month period), Landlord, in addition to any other rights and remedies available to it, may provide such services, and Tenant shall pay to Landlord the cost thereof, plus an administrative fee equal to 15% of such cost, within ten days after Landlord delivers to Tenant an invoice therefor.</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457200" cy="175260"/>
                <wp:effectExtent l="0" t="0" r="0" b="0"/>
                <wp:wrapSquare wrapText="right"/>
                <wp:docPr id="296" name="Frame2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Utilities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pay for all water, gas, electricity, heat, telephone, sewer, sprinkler charges and other utilities and services used at the Premises, together with any taxes, penalties, surcharges, connection charges, maintenance charges, and the like pertaining to Tenant’s use of the Premises. Landlord shall, at Landlord’s expense, submeter water for the Premises and bill Tenant directly for its use of such utility service. To the extent any utility service for the Premises is submetered, the meter shall be read by Landlord or Landlord’s designee, and Tenant shall pay to Landlord, within 30 days after receipt of an invoice therefor, the cost of such service based on rates charged for such service by the utility company furnishing such service, including all fuel adjustment charges, demand charges and taxes. To the extent that any particular utility is not separately metered or submetered as provided above (e.g., water or sewer charges), Landlord shall, using its good-faith, reasonable judgment, allocate the expenses for such utility among the existing tenants of the Project based upon density, usage, and other factors in Landlord’s reasonable judgment. Tenant, at its expense, shall obtain all utility services for the Premises (other than utilities submetered or otherwise provided to the Premises by Landlord). Landlord shall not be liable for any interruption or failure of utility service to the Premises, and such interruption or failure of utility service shall not be a constructive eviction of Tenant, constitute a breach of any implied warranty, or, except as provided in the next sentence, entitle Tenant to any abatement of Tenant’s obligations hereunder. If, however, Tenant is prevented from using the Premises for more than five (5) consecutive business days because of the unavailability of any such service and such unavailability was caused by Landlord, its agents, employees or contractors, and restoration of such service is within the reasonable control of Landlord (a “</w:t>
      </w:r>
      <w:r>
        <w:rPr>
          <w:rFonts w:ascii="Times New Roman;Times;Serif" w:hAnsi="Times New Roman;Times;Serif"/>
          <w:b/>
          <w:i w:val="false"/>
          <w:caps w:val="false"/>
          <w:smallCaps w:val="false"/>
          <w:sz w:val="20"/>
          <w:u w:val="single"/>
        </w:rPr>
        <w:t>Service Interruption</w:t>
      </w:r>
      <w:r>
        <w:rPr>
          <w:rFonts w:ascii="Times New Roman;Times;Serif" w:hAnsi="Times New Roman;Times;Serif"/>
          <w:b w:val="false"/>
          <w:i w:val="false"/>
          <w:caps w:val="false"/>
          <w:smallCaps w:val="false"/>
          <w:sz w:val="20"/>
        </w:rPr>
        <w:t>”), then Tenant, as its exclusive remedy is entitled to a reasonable abatement of Rent for each consecutive day (after such 5 business-day period) that Tenant is so prevented from using the Premises. Notwithstanding anything herein to the contrary, Landlord shall use commercially reasonable efforts to restore the availability of any such service following an interruption, and Landlord shall use commercially reasonable efforts to coordinate any planned interruptions outside of normal business hours. Rent shall not abate by reason of the interruption, insufficiency, unavailability or discontinuance of such service if such unavailability or discontinuance was not caused by Landlord, its agents, employees or contractors and restoration of such service is not within the reasonable control of Landlord.</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457200" cy="175260"/>
                <wp:effectExtent l="0" t="0" r="0" b="0"/>
                <wp:wrapSquare wrapText="right"/>
                <wp:docPr id="297" name="Frame2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and Compliance with Law</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457200" cy="175260"/>
                <wp:effectExtent l="0" t="0" r="0" b="0"/>
                <wp:wrapSquare wrapText="right"/>
                <wp:docPr id="298" name="Frame2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w:t>
      </w:r>
      <w:r>
        <w:rPr>
          <w:rFonts w:ascii="Times New Roman;Times;Serif" w:hAnsi="Times New Roman;Times;Serif"/>
          <w:b w:val="false"/>
          <w:i w:val="false"/>
          <w:caps w:val="false"/>
          <w:smallCaps w:val="false"/>
          <w:sz w:val="20"/>
        </w:rPr>
        <w:t>. Tenant shall use the Premises only for the Permitted Use and shall comply with all Laws relating to this Lease and/or the use and occupancy of the Premises and will not commit waste, overload the Building’s Structure or the Building’s Systems. The Premises shall not be used for any use which is disreputable, or creates extraordinary fire hazards, or for the storage of any Hazardous Materials (except as provided in Section 27 hereto). Outside storage, including storage of trucks or other vehicles, is prohibited without Landlord’s prior written consent. If, because of a Tenant Party’s acts or because Tenant vacates the Premises, the rate of insurance on the Building or its contents increases, then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457200" cy="175260"/>
                <wp:effectExtent l="0" t="0" r="0" b="0"/>
                <wp:wrapSquare wrapText="right"/>
                <wp:docPr id="299" name="Frame2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457200" cy="175260"/>
                <wp:effectExtent l="0" t="0" r="0" b="0"/>
                <wp:wrapSquare wrapText="right"/>
                <wp:docPr id="300" name="Frame3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Existing Governmental Regulations</w:t>
      </w:r>
      <w:r>
        <w:rPr>
          <w:rFonts w:ascii="Times New Roman;Times;Serif" w:hAnsi="Times New Roman;Times;Serif"/>
          <w:b w:val="false"/>
          <w:i w:val="false"/>
          <w:caps w:val="false"/>
          <w:smallCaps w:val="false"/>
          <w:sz w:val="20"/>
        </w:rPr>
        <w:t>. If any federal, state or local laws, ordinances, orders, rules, regulations or requirements (collectively, “</w:t>
      </w:r>
      <w:r>
        <w:rPr>
          <w:rFonts w:ascii="Times New Roman;Times;Serif" w:hAnsi="Times New Roman;Times;Serif"/>
          <w:b/>
          <w:i w:val="false"/>
          <w:caps w:val="false"/>
          <w:smallCaps w:val="false"/>
          <w:sz w:val="20"/>
          <w:u w:val="single"/>
        </w:rPr>
        <w:t>Governmental Requirements</w:t>
      </w:r>
      <w:r>
        <w:rPr>
          <w:rFonts w:ascii="Times New Roman;Times;Serif" w:hAnsi="Times New Roman;Times;Serif"/>
          <w:b w:val="false"/>
          <w:i w:val="false"/>
          <w:caps w:val="false"/>
          <w:smallCaps w:val="false"/>
          <w:sz w:val="20"/>
        </w:rPr>
        <w:t>”) in existence as of the date of the Lease require an alteration or modification of the Premises (a “</w:t>
      </w:r>
      <w:r>
        <w:rPr>
          <w:rFonts w:ascii="Times New Roman;Times;Serif" w:hAnsi="Times New Roman;Times;Serif"/>
          <w:b/>
          <w:i w:val="false"/>
          <w:caps w:val="false"/>
          <w:smallCaps w:val="false"/>
          <w:sz w:val="20"/>
          <w:u w:val="single"/>
        </w:rPr>
        <w:t>Code Modification</w:t>
      </w:r>
      <w:r>
        <w:rPr>
          <w:rFonts w:ascii="Times New Roman;Times;Serif" w:hAnsi="Times New Roman;Times;Serif"/>
          <w:b w:val="false"/>
          <w:i w:val="false"/>
          <w:caps w:val="false"/>
          <w:smallCaps w:val="false"/>
          <w:sz w:val="20"/>
        </w:rPr>
        <w:t>”) and such Code Modification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at Landlord’s sole cost and expense.</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57200" cy="175260"/>
                <wp:effectExtent l="0" t="0" r="0" b="0"/>
                <wp:wrapSquare wrapText="right"/>
                <wp:docPr id="301" name="Frame3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Regulations – Landlord Responsibility</w:t>
      </w:r>
      <w:r>
        <w:rPr>
          <w:rFonts w:ascii="Times New Roman;Times;Serif" w:hAnsi="Times New Roman;Times;Serif"/>
          <w:b w:val="false"/>
          <w:i w:val="false"/>
          <w:caps w:val="false"/>
          <w:smallCaps w:val="false"/>
          <w:sz w:val="20"/>
        </w:rPr>
        <w:t>. If, as a result of one or more Governmental Requirements that are not in existence as of the date of this Lease, it is necessary from time to time during the Lease Term, to perform a Code Modification to the Building or the Project that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and cost thereof shall be included in Operating Costs.</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57200" cy="175260"/>
                <wp:effectExtent l="0" t="0" r="0" b="0"/>
                <wp:wrapSquare wrapText="right"/>
                <wp:docPr id="302" name="Frame3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Regulations – Tenant Responsibility</w:t>
      </w:r>
      <w:r>
        <w:rPr>
          <w:rFonts w:ascii="Times New Roman;Times;Serif" w:hAnsi="Times New Roman;Times;Serif"/>
          <w:b w:val="false"/>
          <w:i w:val="false"/>
          <w:caps w:val="false"/>
          <w:smallCaps w:val="false"/>
          <w:sz w:val="20"/>
        </w:rPr>
        <w:t>. If, as a result of one or more Governmental Requirements, it is necessary from time to time during the Lease Term to perform a Code Modification to the Building or the Project that is made necessary as a result of the specific use being made by Tenant of the Premises or as a result of any alteration of the Premises by Tenant, such Code Modification shall be the sole and exclusive responsibility of Tenant in all respects; provided, however, that Tenant shall have the right to retract its request to perform a proposed alteration in the event that the performance of such alteration would trigger the requirement for a Code Modification.</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457200" cy="175260"/>
                <wp:effectExtent l="0" t="0" r="0" b="0"/>
                <wp:wrapSquare wrapText="right"/>
                <wp:docPr id="303" name="Frame3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 and Subletting</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57200" cy="175260"/>
                <wp:effectExtent l="0" t="0" r="0" b="0"/>
                <wp:wrapSquare wrapText="right"/>
                <wp:docPr id="304" name="Frame3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Except as provided in Section 11(h), Tenant shall not, without the prior written consent of Landlord,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Section 11(a)(1) through 11(a)(6) being a “</w:t>
      </w:r>
      <w:r>
        <w:rPr>
          <w:rFonts w:ascii="Times New Roman;Times;Serif" w:hAnsi="Times New Roman;Times;Serif"/>
          <w:b/>
          <w:i w:val="false"/>
          <w:caps w:val="false"/>
          <w:smallCaps w:val="false"/>
          <w:sz w:val="20"/>
          <w:u w:val="single"/>
        </w:rPr>
        <w:t>Transfer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457200" cy="175260"/>
                <wp:effectExtent l="0" t="0" r="0" b="0"/>
                <wp:wrapSquare wrapText="right"/>
                <wp:docPr id="305" name="Frame3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Consent Standards</w:t>
      </w:r>
      <w:r>
        <w:rPr>
          <w:rFonts w:ascii="Times New Roman;Times;Serif" w:hAnsi="Times New Roman;Times;Serif"/>
          <w:b w:val="false"/>
          <w:i w:val="false"/>
          <w:caps w:val="false"/>
          <w:smallCaps w:val="false"/>
          <w:sz w:val="20"/>
        </w:rPr>
        <w:t>. Landlord shall not unreasonably withhold its consent to any assignment or subletting of the Premises, provided that the proposed transferee (1) is creditworthy, (2) has a good reputation in the business community, (3) will use the Premises for the Permitted Use (thus, excluding, without limitation, uses for credit processing and telemarketing), (4) will not use the Premises, Building or Project in a manner that would materially increase the pedestrian or vehicular traffic to the Premises, Building or Project, (5) is not a governmental entity, or subdivision or agency thereof, (6) is not another occupant of the Building or Complex, (7) is in compliance with the regulations of the Office of Foreign Asset Control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to any proposed Transfer if any Event of Default by Tenant then exists.</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457200" cy="175260"/>
                <wp:effectExtent l="0" t="0" r="0" b="0"/>
                <wp:wrapSquare wrapText="right"/>
                <wp:docPr id="306" name="Frame3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Request for Consent</w:t>
      </w:r>
      <w:r>
        <w:rPr>
          <w:rFonts w:ascii="Times New Roman;Times;Serif" w:hAnsi="Times New Roman;Times;Serif"/>
          <w:b w:val="false"/>
          <w:i w:val="false"/>
          <w:caps w:val="false"/>
          <w:smallCaps w:val="false"/>
          <w:sz w:val="20"/>
        </w:rPr>
        <w:t>.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Within 30 days after written notice from Landlord, Tenant will reimburse Landlord for its reasonable attorneys’ fees incurred in connection with considering any request for consent to a Transfer, not to exceed $2,500.00 per request for consent.</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457200" cy="175260"/>
                <wp:effectExtent l="0" t="0" r="0" b="0"/>
                <wp:wrapSquare wrapText="right"/>
                <wp:docPr id="307" name="Frame3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Consent</w:t>
      </w:r>
      <w:r>
        <w:rPr>
          <w:rFonts w:ascii="Times New Roman;Times;Serif" w:hAnsi="Times New Roman;Times;Serif"/>
          <w:b w:val="false"/>
          <w:i w:val="false"/>
          <w:caps w:val="false"/>
          <w:smallCaps w:val="false"/>
          <w:sz w:val="20"/>
        </w:rPr>
        <w:t>. If Landlord consents to a proposed Transfer, the proposed transferee shall deliver to Landlord a written agreement expressly assuming Tenant’s obligations hereunder; however, any transferee of less than all of the Premises shall be liable only for obligations under this Lease properly allocable to the space subject to the Transfer, for the period of the Transfer. No Transfer shall release Tenant from its obligations under this Lease; Tenant and its transferee shall be jointly and severally liable therefor. Landlord’s consent to any Transfer shall not waive Landlord’s rights as to any subsequent Transfers. If an Event of Default occurs while any part of the Premises or any part thereof are subject to a Transfer, then Landlord, in addition to its other remedies, may collect directly from such transferee all rents becoming due to Tenant, and apply such rents against Rent. Tenant instructs its transferees to make payments of rent directly to Landlord upon receipt of notice from Landlord to do so following the occurrence of an Event of Default. Tenant shall pay for the cost of any demising walls or other improvements necessitated by a proposed subletting or assignment.</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457200" cy="175260"/>
                <wp:effectExtent l="0" t="0" r="0" b="0"/>
                <wp:wrapSquare wrapText="right"/>
                <wp:docPr id="308" name="Frame3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Attornment by Subtenants</w:t>
      </w:r>
      <w:r>
        <w:rPr>
          <w:rFonts w:ascii="Times New Roman;Times;Serif" w:hAnsi="Times New Roman;Times;Serif"/>
          <w:b w:val="false"/>
          <w:i w:val="false"/>
          <w:caps w:val="false"/>
          <w:smallCaps w:val="false"/>
          <w:sz w:val="20"/>
        </w:rPr>
        <w:t>. Each sublease hereunder shall be subject and subordinate to this Lease and to the matters to which this Lease is or shall be subordinate, and each subtenant is deemed to have agreed that in the event of termination, re-entry or dispossession by Landlord under this Lease, Landlord may, at its option, take over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of such subtenant against Tenant, (3) bound by any previous modification of such sublease not approved by Landlord in writing or by any rent or additional rent or advance rent which such subtenant has paid for more than the current month to Tenant, and all such rent shall remain due and owing, notwithstanding such advance payment, (4) bound by any security or advance rental deposit made by such subtenant which is not delivered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as a condition of its occupying or using any part of the Premises, to have agreed to be bound by the terms of this Section 11(e).</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457200" cy="175260"/>
                <wp:effectExtent l="0" t="0" r="0" b="0"/>
                <wp:wrapSquare wrapText="right"/>
                <wp:docPr id="309" name="Frame3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Landlord may, within 30 days after receipt of Tenant’s written request for Landlord’s consent to an assignment of the entire Premises for all or substantially of the remaining Term, cancel this Lease as to the portion of the Premises proposed to be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such portion of the Premises. Thereafter, Landlord may lease such portion of the Premises to the prospective transferee (or to any other person) without liability to Tenant. Notwithstanding the foregoing, if Landlord provides written notification to Tenant of its election to cancel this Lease as to any portion of the Premises as provided above, Tenant may rescind its proposed assignment of all or any portion of the Premises by notifying Landlord in writing within ten business days following Landlord’s written cancellation notice.</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457200" cy="175260"/>
                <wp:effectExtent l="0" t="0" r="0" b="0"/>
                <wp:wrapSquare wrapText="right"/>
                <wp:docPr id="310" name="Frame3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Tenant shall pay to Landlord, immediately upon receipt thereof, the excess of (1) all rental 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(2) the Rent allocable to the portion of the Premises covered thereby.</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457200" cy="175260"/>
                <wp:effectExtent l="0" t="0" r="0" b="0"/>
                <wp:wrapSquare wrapText="right"/>
                <wp:docPr id="311" name="Frame3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Notwithstanding Section 11(a), Tenant may Transfer all or part of its interest in this Lease or all or part of the Premises (a “</w:t>
      </w:r>
      <w:r>
        <w:rPr>
          <w:rFonts w:ascii="Times New Roman;Times;Serif" w:hAnsi="Times New Roman;Times;Serif"/>
          <w:b/>
          <w:i w:val="false"/>
          <w:caps w:val="false"/>
          <w:smallCaps w:val="false"/>
          <w:sz w:val="20"/>
          <w:u w:val="single"/>
        </w:rPr>
        <w:t>Permitted Transfer</w:t>
      </w:r>
      <w:r>
        <w:rPr>
          <w:rFonts w:ascii="Times New Roman;Times;Serif" w:hAnsi="Times New Roman;Times;Serif"/>
          <w:b w:val="false"/>
          <w:i w:val="false"/>
          <w:caps w:val="false"/>
          <w:smallCaps w:val="false"/>
          <w:sz w:val="20"/>
        </w:rPr>
        <w:t>”) to the following types of entities (a “</w:t>
      </w:r>
      <w:r>
        <w:rPr>
          <w:rFonts w:ascii="Times New Roman;Times;Serif" w:hAnsi="Times New Roman;Times;Serif"/>
          <w:b/>
          <w:i w:val="false"/>
          <w:caps w:val="false"/>
          <w:smallCaps w:val="false"/>
          <w:sz w:val="20"/>
          <w:u w:val="single"/>
        </w:rPr>
        <w:t>Permitted Transferee</w:t>
      </w:r>
      <w:r>
        <w:rPr>
          <w:rFonts w:ascii="Times New Roman;Times;Serif" w:hAnsi="Times New Roman;Times;Serif"/>
          <w:b w:val="false"/>
          <w:i w:val="false"/>
          <w:caps w:val="false"/>
          <w:smallCaps w:val="false"/>
          <w:sz w:val="20"/>
        </w:rPr>
        <w:t>”) without the written consent of Landlord:</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457200" cy="175260"/>
                <wp:effectExtent l="0" t="0" r="0" b="0"/>
                <wp:wrapSquare wrapText="right"/>
                <wp:docPr id="312" name="Frame3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Tenant;</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457200" cy="175260"/>
                <wp:effectExtent l="0" t="0" r="0" b="0"/>
                <wp:wrapSquare wrapText="right"/>
                <wp:docPr id="313" name="Frame3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457200" cy="175260"/>
                <wp:effectExtent l="0" t="0" r="0" b="0"/>
                <wp:wrapSquare wrapText="right"/>
                <wp:docPr id="314" name="Frame3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457200" cy="175260"/>
                <wp:effectExtent l="0" t="0" r="0" b="0"/>
                <wp:wrapSquare wrapText="right"/>
                <wp:docPr id="315" name="Frame3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No later than 30 days after the effective date of any Permitted Transfer, Tenant shall furnish Landlord with (A) copies of the instrument effecting such Permitted Transfer, (B) documentation establishing Tenant’s satisfaction of the requirements set forth above applicable to such Transfer, (C) evidence of insurance as required under this Lease with respect to the Permitted Transferee, and (D) evidence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Times New Roman;Times;Serif" w:hAnsi="Times New Roman;Times;Serif"/>
          <w:b/>
          <w:i w:val="false"/>
          <w:caps w:val="false"/>
          <w:smallCaps w:val="false"/>
          <w:sz w:val="20"/>
          <w:u w:val="single"/>
        </w:rPr>
        <w:t>Tangible Net Worth</w:t>
      </w:r>
      <w:r>
        <w:rPr>
          <w:rFonts w:ascii="Times New Roman;Times;Serif" w:hAnsi="Times New Roman;Times;Serif"/>
          <w:b w:val="false"/>
          <w:i w:val="false"/>
          <w:caps w:val="false"/>
          <w:smallCaps w:val="false"/>
          <w:sz w:val="20"/>
        </w:rPr>
        <w:t>” means the excess of total assets over total liabilities, in each case as determined in accordance with generally accepted accounting principles consistently applied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 Waivers; Subrogation; Indemnity</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457200" cy="175260"/>
                <wp:effectExtent l="0" t="0" r="0" b="0"/>
                <wp:wrapSquare wrapText="right"/>
                <wp:docPr id="316" name="Frame3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Insurance</w:t>
      </w:r>
      <w:r>
        <w:rPr>
          <w:rFonts w:ascii="Times New Roman;Times;Serif" w:hAnsi="Times New Roman;Times;Serif"/>
          <w:b w:val="false"/>
          <w:i w:val="false"/>
          <w:caps w:val="false"/>
          <w:smallCaps w:val="false"/>
          <w:sz w:val="20"/>
        </w:rPr>
        <w:t>. Effective as of the earlier of (1) the date Tenant enters or occupies the Premises, or (2) the Commencement Date, and continuing throughout the Term, Tenant shall maintain the following insurance policies: (A) commercial general liability insurance in amounts of not less than $1,000,000 per occurrence, $1,000,000 general aggregate, $2,000,000 products/completed operations aggregate, $1,000,000 personal and advertising injury liability, and $100,000 fire legal liability or, following the expiration of the initial Term, such other amounts as Landlord from time to time reasonably requires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on a primary and non-contributory basis and (without implying any consent by Landlord to the installation 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 (E) worker’s compensation insurance in accordance with the laws of the state in which the Premises are located, with Employer’s Liability insurance with limits of $1,000,000 Bodily Injury each Accident, $1,000,000 Disease each Employee, and $1,000,000 Disease– Policy Limit, (F) business interruption insurance in an amount not less than one hundred percent (100%) of all charges payable by Tenant under this lease for a period of twelve (12) months, (G) Automobile Liability insurance covering owned, hired and non-owned vehicles with limits of $1,000,000 combined single limit, (H) Umbrella/Excess Liability insurance, with a limit of $10,000,000 per occurrence and $10,000,000 annual aggregate on a following form basis in excess of the required Commercial General Liability, Automobile Liability, and Employer’s Liability coverages, and (I) Pollution liability insurance, with a limit of $1,000,000 limit is required if Tenant uses or stores any flammable or toxic chemicals or if otherwise requested by Landlord. Tenant shall furnish to Landlord certificates of such insurance least ten (10) days prior to the earlier of the Commencement Date or the date Tenant enters or occupies the Premises, and at least fifteen (15) days prior to each renewal of said insurance, and Tenant shall notify Landlord at least thirty (30) days before cancellation of any such insurance policies. All such insurance policies shall be in form reasonably satisfactory to Landlord and issued by companies with a Best’s rating of A+:VII or better. Tenant’s insurance requirements may be covered under a blanket insurance policy or policies covering other premises or insureds in addition to the Premises. If Tenant fails to comply with the foregoing insurance requirements or to deliver to Landlord the certificates or evidence of coverage required herein, and such failure continues for more than two (2) business days after written notice from Landlord, Landlord, in addition to any other remedy available pursuant to this Lease or otherwise, may, but shall not be obligated to, obtain such insurance and Tenant shall pay to Landlord within thirty (30) days after written notice from Landlord, the premium costs thereof, plus an administrative fee of 15% of such cost.</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457200" cy="175260"/>
                <wp:effectExtent l="0" t="0" r="0" b="0"/>
                <wp:wrapSquare wrapText="right"/>
                <wp:docPr id="317" name="Frame3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Insurance</w:t>
      </w:r>
      <w:r>
        <w:rPr>
          <w:rFonts w:ascii="Times New Roman;Times;Serif" w:hAnsi="Times New Roman;Times;Serif"/>
          <w:b w:val="false"/>
          <w:i w:val="false"/>
          <w:caps w:val="false"/>
          <w:smallCaps w:val="false"/>
          <w:sz w:val="20"/>
        </w:rPr>
        <w:t>. Throughout the Term of this Lease, Landlord shall maintain, as a minimum, the following insurance policies: (1) property insurance for the Building’s replacement value (excluding property required to be insured by Tenant), less a commercially-reasonable deductible if Landlord so chooses, and (2) commercial general liability insurance in an amount of not less than $3,000,000. Landlord may, but is not obligated to, maintain such other insurance and additional coverages as it may deem necessary. The cost of all insurance carried by Landlord with respect to the Project shall be included in Insurance Costs (defined below). The foregoing insurance policies and any other insurance carried by Landlord shall be for the sole benefit of Landlord and under Landlord’s sole control, and Tenant shall have no right or claim to any proceeds thereof or any other rights thereunder.</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457200" cy="175260"/>
                <wp:effectExtent l="0" t="0" r="0" b="0"/>
                <wp:wrapSquare wrapText="right"/>
                <wp:docPr id="318" name="Frame3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Subrogation; Waiver of Property Claims</w:t>
      </w:r>
      <w:r>
        <w:rPr>
          <w:rFonts w:ascii="Times New Roman;Times;Serif" w:hAnsi="Times New Roman;Times;Serif"/>
          <w:b w:val="false"/>
          <w:i w:val="false"/>
          <w:caps w:val="false"/>
          <w:smallCaps w:val="false"/>
          <w:sz w:val="20"/>
        </w:rPr>
        <w:t xml:space="preserve">. Landlord and Tenant each waives any claim it might have against the other for any damage to or theft, destruction, loss, or loss of use of any property, to the extent the same is insured against under any property insurance policy of the types described in this Section 12 that covers the Project, the Premises, Landlord’s or Tenant’s fixtures, personal property, inventory, leasehold improvements, or business, or is required to be insured against under the terms hereof, </w:t>
      </w:r>
      <w:r>
        <w:rPr>
          <w:rFonts w:ascii="Times New Roman;Times;Serif" w:hAnsi="Times New Roman;Times;Serif"/>
          <w:b/>
          <w:i w:val="false"/>
          <w:caps w:val="false"/>
          <w:smallCaps w:val="false"/>
          <w:sz w:val="20"/>
        </w:rPr>
        <w:t>regardless of whether the negligence of the other party caused such Loss</w:t>
      </w:r>
      <w:r>
        <w:rPr>
          <w:rFonts w:ascii="Times New Roman;Times;Serif" w:hAnsi="Times New Roman;Times;Serif"/>
          <w:b w:val="false"/>
          <w:i w:val="false"/>
          <w:caps w:val="false"/>
          <w:smallCaps w:val="false"/>
          <w:sz w:val="20"/>
        </w:rPr>
        <w:t xml:space="preserve"> (defined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Times New Roman;Times;Serif" w:hAnsi="Times New Roman;Times;Serif"/>
          <w:b/>
          <w:i w:val="false"/>
          <w:caps w:val="false"/>
          <w:smallCaps w:val="false"/>
          <w:sz w:val="20"/>
        </w:rPr>
        <w:t>regardless of whether the negligence of any party caused such loss in whole or in part</w:t>
      </w:r>
      <w:r>
        <w:rPr>
          <w:rFonts w:ascii="Times New Roman;Times;Serif" w:hAnsi="Times New Roman;Times;Serif"/>
          <w:b w:val="false"/>
          <w:i w:val="false"/>
          <w:caps w:val="false"/>
          <w:smallCaps w:val="false"/>
          <w:sz w:val="20"/>
        </w:rPr>
        <w:t>. Tenant acknowledges that Landlord shall not carry insurance on, and shall not be responsible for damage to, any property of any Tenant Party located in or about the Project.</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457200" cy="175260"/>
                <wp:effectExtent l="0" t="0" r="0" b="0"/>
                <wp:wrapSquare wrapText="right"/>
                <wp:docPr id="319" name="Frame3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Subject to Section 12(c),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xml:space="preserve">”) occurring in or on the Project. This indemnity is intended to indemnify Landlord and its agents against the consequences of their own negligence or fault, </w:t>
      </w:r>
      <w:r>
        <w:rPr>
          <w:rFonts w:ascii="Times New Roman;Times;Serif" w:hAnsi="Times New Roman;Times;Serif"/>
          <w:b/>
          <w:i w:val="false"/>
          <w:caps w:val="false"/>
          <w:smallCaps w:val="false"/>
          <w:sz w:val="20"/>
        </w:rPr>
        <w:t>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w:t>
      </w:r>
      <w:r>
        <w:rPr>
          <w:rFonts w:ascii="Times New Roman;Times;Serif" w:hAnsi="Times New Roman;Times;Serif"/>
          <w:b w:val="false"/>
          <w:i w:val="false"/>
          <w:caps w:val="false"/>
          <w:smallCaps w:val="false"/>
          <w:sz w:val="20"/>
        </w:rPr>
        <w:t xml:space="preserve">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 Tenant acknowledges that the decision as to whether to include dock locks, dock restraints or other safety-related equipment, fixtures or improvements in the Premises or elsewhere in the Building shall solely be the responsibility of Tenant, and Tenant shall indemnify, defend and hold harmless the Landlord Indemnitees from and against any and all claims, damages, causes of action, demands, penalties, costs, liabilities, losses, and expenses (including reasonable attorneys’ fees and expenses at the trial and appellate levels) resulting from actual or threatened claims by third parties occasioned by injuries to any person and damage to, or theft or loss of, property occurring in or about the Premises or the Building to the extent caused or alleged to be caused by the failure of any such safety-related equipment, fixtures or improvements to be installed or maintained at the Building. This indemnity provision shall survive termination or expiration of this Lease. The furnishing of insurance required hereunder shall not be deemed to limit Tenant’s indemnification obligations.</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457200" cy="175260"/>
                <wp:effectExtent l="0" t="0" r="0" b="0"/>
                <wp:wrapSquare wrapText="right"/>
                <wp:docPr id="320" name="Frame3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Cost of Landlord’s Insurance</w:t>
      </w:r>
      <w:r>
        <w:rPr>
          <w:rFonts w:ascii="Times New Roman;Times;Serif" w:hAnsi="Times New Roman;Times;Serif"/>
          <w:b w:val="false"/>
          <w:i w:val="false"/>
          <w:caps w:val="false"/>
          <w:smallCaps w:val="false"/>
          <w:sz w:val="20"/>
        </w:rPr>
        <w:t>. Tenant shall pay Tenant’s Proportionate Share of the cost of the insurance carried by Landlord from time to time with respect to the Project (including other improvements and Landlord’s personal property used in connection therewith), which may include fire and extended coverage insurance (including extended and broad form coverage risks, mudslide, land subsidence, volcanic eruption, flood, earthquake and rent loss insurance) and comprehensive general public liability insurance and excess liability insurance, in such amounts and containing such terms as Landlord reasonably deems necessary or desirable (collectively, “</w:t>
      </w:r>
      <w:r>
        <w:rPr>
          <w:rFonts w:ascii="Times New Roman;Times;Serif" w:hAnsi="Times New Roman;Times;Serif"/>
          <w:b/>
          <w:i w:val="false"/>
          <w:caps w:val="false"/>
          <w:smallCaps w:val="false"/>
          <w:sz w:val="20"/>
          <w:u w:val="single"/>
        </w:rPr>
        <w:t>Insurance Costs</w:t>
      </w:r>
      <w:r>
        <w:rPr>
          <w:rFonts w:ascii="Times New Roman;Times;Serif" w:hAnsi="Times New Roman;Times;Serif"/>
          <w:b w:val="false"/>
          <w:i w:val="false"/>
          <w:caps w:val="false"/>
          <w:smallCaps w:val="false"/>
          <w:sz w:val="20"/>
        </w:rPr>
        <w:t>”). During each month of the Term, Tenant shall make a monthly payment to Landlord equal to 1/12th of Tenant’s Proportionate Share of Insurance Costs that will be due and payable for that particular year. Each payment of Insurance Costs shall be due and payable at the same time as, and in the same manner as, provided above for Tenant’s Proportionate Share of Operating Costs. The initial monthly payment of Insurance Costs is based upon Landlord’s good faith estimate of Tenant’s Proportionate Share of the estimated Insurance Costs for the remainder of the first calendar year. The monthly payment of Insurance Costs is subject to increase or decrease as determined by Landlord to reflect accurately Tenant’s Proportionate Share of estimated Insurance Costs. If, following Landlord’s receipt of the bill for the insurance premiums for a calendar year, Landlord determines that Tenant’s total payments of Insurance Costs are less than Tenant’s Proportionate Share of actual Insurance Costs, Tenant shall pay to Landlord the difference within thirty (30) days after written notice from Landlord; if Tenant’s total payments of Insurance Costs are more than Tenant’s Proportionate Share of actual Insurance Costs, Landlord shall retain such excess and credit it to Tenant’s future payments of Insurance Costs (unless such adjustment is at the end of the Term, in which event Landlord shall refund such excess to Tenant within thirty (30) days after expiration).</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457200" cy="175260"/>
                <wp:effectExtent l="0" t="0" r="0" b="0"/>
                <wp:wrapSquare wrapText="right"/>
                <wp:docPr id="321" name="Frame3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Subordination; Attornment; Notice to Landlord’s Mortgagee</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457200" cy="175260"/>
                <wp:effectExtent l="0" t="0" r="0" b="0"/>
                <wp:wrapSquare wrapText="right"/>
                <wp:docPr id="322" name="Frame3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This Lease shall be subordinate to any deed of trust, mortgage, or other security instrument (each, a “</w:t>
      </w:r>
      <w:r>
        <w:rPr>
          <w:rFonts w:ascii="Times New Roman;Times;Serif" w:hAnsi="Times New Roman;Times;Serif"/>
          <w:b/>
          <w:i w:val="false"/>
          <w:caps w:val="false"/>
          <w:smallCaps w:val="false"/>
          <w:sz w:val="20"/>
          <w:u w:val="single"/>
        </w:rPr>
        <w:t>Mortgage</w:t>
      </w:r>
      <w:r>
        <w:rPr>
          <w:rFonts w:ascii="Times New Roman;Times;Serif" w:hAnsi="Times New Roman;Times;Serif"/>
          <w:b w:val="false"/>
          <w:i w:val="false"/>
          <w:caps w:val="false"/>
          <w:smallCaps w:val="false"/>
          <w:sz w:val="20"/>
        </w:rPr>
        <w:t>”), or any ground lease, master lease, or primary lease (each, a “</w:t>
      </w:r>
      <w:r>
        <w:rPr>
          <w:rFonts w:ascii="Times New Roman;Times;Serif" w:hAnsi="Times New Roman;Times;Serif"/>
          <w:b/>
          <w:i w:val="false"/>
          <w:caps w:val="false"/>
          <w:smallCaps w:val="false"/>
          <w:sz w:val="20"/>
          <w:u w:val="single"/>
        </w:rPr>
        <w:t>Primary Lease</w:t>
      </w:r>
      <w:r>
        <w:rPr>
          <w:rFonts w:ascii="Times New Roman;Times;Serif" w:hAnsi="Times New Roman;Times;Serif"/>
          <w:b w:val="false"/>
          <w:i w:val="false"/>
          <w:caps w:val="false"/>
          <w:smallCaps w:val="false"/>
          <w:sz w:val="20"/>
        </w:rPr>
        <w:t>”), that now or hereafter covers all or any part of the Premises (the mortgagee under any such Mortgage, beneficiary under any such deed of trust, or the lessor under any such Primary Lease is referred to herein as a “</w:t>
      </w:r>
      <w:r>
        <w:rPr>
          <w:rFonts w:ascii="Times New Roman;Times;Serif" w:hAnsi="Times New Roman;Times;Serif"/>
          <w:b/>
          <w:i w:val="false"/>
          <w:caps w:val="false"/>
          <w:smallCaps w:val="false"/>
          <w:sz w:val="20"/>
          <w:u w:val="single"/>
        </w:rPr>
        <w:t>Landlord’s Mortgagee</w:t>
      </w:r>
      <w:r>
        <w:rPr>
          <w:rFonts w:ascii="Times New Roman;Times;Serif" w:hAnsi="Times New Roman;Times;Serif"/>
          <w:b w:val="false"/>
          <w:i w:val="false"/>
          <w:caps w:val="false"/>
          <w:smallCaps w:val="false"/>
          <w:sz w:val="20"/>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457200" cy="175260"/>
                <wp:effectExtent l="0" t="0" r="0" b="0"/>
                <wp:wrapSquare wrapText="right"/>
                <wp:docPr id="323" name="Frame3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Attornment</w:t>
      </w:r>
      <w:r>
        <w:rPr>
          <w:rFonts w:ascii="Times New Roman;Times;Serif" w:hAnsi="Times New Roman;Times;Serif"/>
          <w:b w:val="false"/>
          <w:i w:val="false"/>
          <w:caps w:val="false"/>
          <w:smallCaps w:val="false"/>
          <w:sz w:val="20"/>
        </w:rPr>
        <w:t>. Tenant shall attorn to any party succeeding to Landlord’s interest in the Premises, whether by purchase, foreclosure, deed in lieu of foreclosure, power of sale, or otherwise, upon such party’s request, and shall execute such agreements confirming such attornment as such party may reasonably request.</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457200" cy="175260"/>
                <wp:effectExtent l="0" t="0" r="0" b="0"/>
                <wp:wrapSquare wrapText="right"/>
                <wp:docPr id="324" name="Frame3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Landlord’s Mortgagee</w:t>
      </w:r>
      <w:r>
        <w:rPr>
          <w:rFonts w:ascii="Times New Roman;Times;Serif" w:hAnsi="Times New Roman;Times;Serif"/>
          <w:b w:val="false"/>
          <w:i w:val="false"/>
          <w:caps w:val="false"/>
          <w:smallCaps w:val="false"/>
          <w:sz w:val="20"/>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457200" cy="175260"/>
                <wp:effectExtent l="0" t="0" r="0" b="0"/>
                <wp:wrapSquare wrapText="right"/>
                <wp:docPr id="325" name="Frame3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Mortgagee’s Protection Provisions</w:t>
      </w:r>
      <w:r>
        <w:rPr>
          <w:rFonts w:ascii="Times New Roman;Times;Serif" w:hAnsi="Times New Roman;Times;Serif"/>
          <w:b w:val="false"/>
          <w:i w:val="false"/>
          <w:caps w:val="false"/>
          <w:smallCaps w:val="false"/>
          <w:sz w:val="20"/>
        </w:rPr>
        <w:t>. If Landlord’s Mortgagee shall succeed to the interest of Landlord under this Lease, Landlord’s Mortgagee shall not be: (1) liable for any act or omission of any prior lessor (including Landlord); (2) bound by any Rent which Tenant has paid for more than the current month to any prior lessor (including Landlord), and all such rent shall remain due and owing;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457200" cy="175260"/>
                <wp:effectExtent l="0" t="0" r="0" b="0"/>
                <wp:wrapSquare wrapText="right"/>
                <wp:docPr id="326" name="Frame3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Non-Disturbance and Recognition</w:t>
      </w:r>
      <w:r>
        <w:rPr>
          <w:rFonts w:ascii="Times New Roman;Times;Serif" w:hAnsi="Times New Roman;Times;Serif"/>
          <w:b w:val="false"/>
          <w:i w:val="false"/>
          <w:caps w:val="false"/>
          <w:smallCaps w:val="false"/>
          <w:sz w:val="20"/>
        </w:rPr>
        <w:t xml:space="preserve">. Landlord shall obtain an SNDA (defined below) in the form attached hereto as </w:t>
      </w:r>
      <w:r>
        <w:rPr>
          <w:rFonts w:ascii="Times New Roman;Times;Serif" w:hAnsi="Times New Roman;Times;Serif"/>
          <w:b/>
          <w:i w:val="false"/>
          <w:caps w:val="false"/>
          <w:smallCaps w:val="false"/>
          <w:sz w:val="20"/>
          <w:u w:val="single"/>
        </w:rPr>
        <w:t>Exhibit G</w:t>
      </w:r>
      <w:r>
        <w:rPr>
          <w:rFonts w:ascii="Times New Roman;Times;Serif" w:hAnsi="Times New Roman;Times;Serif"/>
          <w:b w:val="false"/>
          <w:i w:val="false"/>
          <w:caps w:val="false"/>
          <w:smallCaps w:val="false"/>
          <w:sz w:val="20"/>
        </w:rPr>
        <w:t xml:space="preserve"> from the current Landlord’s Mortgagee, signed and acknowledge by Landlord and Landlord’s mortgagee, within sixty (60) days after the Effective Date; failing which, Tenant may terminate this Lease at any time (but before receiving such SNDA). Notwithstanding Section 13(a) above, any subordination of Tenant’s interest in the Lease to any future Primary Lease or Mortgage is subject to Tenant’s execution of a commercially reasonable Recognition, Non-Disturbance and Attornment Agreement (“</w:t>
      </w:r>
      <w:r>
        <w:rPr>
          <w:rFonts w:ascii="Times New Roman;Times;Serif" w:hAnsi="Times New Roman;Times;Serif"/>
          <w:b/>
          <w:i w:val="false"/>
          <w:caps w:val="false"/>
          <w:smallCaps w:val="false"/>
          <w:sz w:val="20"/>
          <w:u w:val="single"/>
        </w:rPr>
        <w:t>RNDA</w:t>
      </w:r>
      <w:r>
        <w:rPr>
          <w:rFonts w:ascii="Times New Roman;Times;Serif" w:hAnsi="Times New Roman;Times;Serif"/>
          <w:b w:val="false"/>
          <w:i w:val="false"/>
          <w:caps w:val="false"/>
          <w:smallCaps w:val="false"/>
          <w:sz w:val="20"/>
        </w:rPr>
        <w:t>”) and/or a Subordination, Non-Disturbance and Attornment Agreement (“</w:t>
      </w:r>
      <w:r>
        <w:rPr>
          <w:rFonts w:ascii="Times New Roman;Times;Serif" w:hAnsi="Times New Roman;Times;Serif"/>
          <w:b/>
          <w:i w:val="false"/>
          <w:caps w:val="false"/>
          <w:smallCaps w:val="false"/>
          <w:sz w:val="20"/>
          <w:u w:val="single"/>
        </w:rPr>
        <w:t>SNDA</w:t>
      </w:r>
      <w:r>
        <w:rPr>
          <w:rFonts w:ascii="Times New Roman;Times;Serif" w:hAnsi="Times New Roman;Times;Serif"/>
          <w:b w:val="false"/>
          <w:i w:val="false"/>
          <w:caps w:val="false"/>
          <w:smallCaps w:val="false"/>
          <w:sz w:val="20"/>
        </w:rPr>
        <w:t>”) by Tenant, Landlord and the other party(ies) to such Primary Lease or Mortgage, as applicable. Landlord also agrees to provide an RNDA and SNDA from any such parties who later come into existence after the Effective Date during the Term.</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457200" cy="175260"/>
                <wp:effectExtent l="0" t="0" r="0" b="0"/>
                <wp:wrapSquare wrapText="right"/>
                <wp:docPr id="327" name="Frame3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comply with the rules and regulations of the Project which are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Landlord may, from time to time, change such rules and regulations for the safety, care, or cleanliness of the Project and related facilities, provided that such changes are applicable to all tenants of the Complex, will not unreasonably interfere with Tenant’s use of the Premises and are enforced by Landlord in a non-discriminatory manner. Tenant shall be responsible for the compliance with such rules and regulations by each Tenant Party. To the extent of a conflict between the terms of this Lease and such rules and regulations, the terms of this Lease shall control.</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457200" cy="175260"/>
                <wp:effectExtent l="0" t="0" r="0" b="0"/>
                <wp:wrapSquare wrapText="right"/>
                <wp:docPr id="328" name="Frame3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Condemnation</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457200" cy="175260"/>
                <wp:effectExtent l="0" t="0" r="0" b="0"/>
                <wp:wrapSquare wrapText="right"/>
                <wp:docPr id="329" name="Frame3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Total Taking</w:t>
      </w:r>
      <w:r>
        <w:rPr>
          <w:rFonts w:ascii="Times New Roman;Times;Serif" w:hAnsi="Times New Roman;Times;Serif"/>
          <w:b w:val="false"/>
          <w:i w:val="false"/>
          <w:caps w:val="false"/>
          <w:smallCaps w:val="false"/>
          <w:sz w:val="20"/>
        </w:rPr>
        <w:t>. If the entire Building or Premises are taken by right of eminent domain or conveyed in lieu thereof (a “</w:t>
      </w:r>
      <w:r>
        <w:rPr>
          <w:rFonts w:ascii="Times New Roman;Times;Serif" w:hAnsi="Times New Roman;Times;Serif"/>
          <w:b/>
          <w:i w:val="false"/>
          <w:caps w:val="false"/>
          <w:smallCaps w:val="false"/>
          <w:sz w:val="20"/>
          <w:u w:val="single"/>
        </w:rPr>
        <w:t>Taking</w:t>
      </w:r>
      <w:r>
        <w:rPr>
          <w:rFonts w:ascii="Times New Roman;Times;Serif" w:hAnsi="Times New Roman;Times;Serif"/>
          <w:b w:val="false"/>
          <w:i w:val="false"/>
          <w:caps w:val="false"/>
          <w:smallCaps w:val="false"/>
          <w:sz w:val="20"/>
        </w:rPr>
        <w:t>”), this Lease shall terminate as of the date of the Taking. In the event of a termination under Section 15(a) of either or both of the other two lease agreements between Landlord and Tenant for the leasing of space in the Complex (the “</w:t>
      </w:r>
      <w:r>
        <w:rPr>
          <w:rFonts w:ascii="Times New Roman;Times;Serif" w:hAnsi="Times New Roman;Times;Serif"/>
          <w:b/>
          <w:i w:val="false"/>
          <w:caps w:val="false"/>
          <w:smallCaps w:val="false"/>
          <w:sz w:val="20"/>
          <w:u w:val="single"/>
        </w:rPr>
        <w:t>Other Leases</w:t>
      </w:r>
      <w:r>
        <w:rPr>
          <w:rFonts w:ascii="Times New Roman;Times;Serif" w:hAnsi="Times New Roman;Times;Serif"/>
          <w:b w:val="false"/>
          <w:i w:val="false"/>
          <w:caps w:val="false"/>
          <w:smallCaps w:val="false"/>
          <w:sz w:val="20"/>
        </w:rPr>
        <w:t>”), Tenant shall have the option to terminate this Lease by providing Landlord written notice to that effect within sixty (60) days after the date of such termination.</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457200" cy="175260"/>
                <wp:effectExtent l="0" t="0" r="0" b="0"/>
                <wp:wrapSquare wrapText="right"/>
                <wp:docPr id="330" name="Frame3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Partial Taking - Tenant’s Rights</w:t>
      </w:r>
      <w:r>
        <w:rPr>
          <w:rFonts w:ascii="Times New Roman;Times;Serif" w:hAnsi="Times New Roman;Times;Serif"/>
          <w:b w:val="false"/>
          <w:i w:val="false"/>
          <w:caps w:val="false"/>
          <w:smallCaps w:val="false"/>
          <w:sz w:val="20"/>
        </w:rPr>
        <w:t>. If any part of the Building becomes subject to a Taking and such Taking will prevent Tenant from conducting on a permanent basis its business in the Premises in a manner reasonably comparable to that conducted immediately before such Taking, or if Landlord does not commit to repairing within 180 days after the date of the Taking any damage caused by the Taking and adversely affecting Tenant’s conducting business in the Premises,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457200" cy="175260"/>
                <wp:effectExtent l="0" t="0" r="0" b="0"/>
                <wp:wrapSquare wrapText="right"/>
                <wp:docPr id="331" name="Frame3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Partial Taking - Landlord’s Rights</w:t>
      </w:r>
      <w:r>
        <w:rPr>
          <w:rFonts w:ascii="Times New Roman;Times;Serif" w:hAnsi="Times New Roman;Times;Serif"/>
          <w:b w:val="false"/>
          <w:i w:val="false"/>
          <w:caps w:val="false"/>
          <w:smallCaps w:val="false"/>
          <w:sz w:val="20"/>
        </w:rPr>
        <w:t>. If any material portion, but less than all, of the Building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Section 15(b). In the event Landlord exercises its termination right under Section 15(c) of either or both of the Other Leases, Tenant shall have the option to terminate this Lease by providing Landlord written notice to that effect within sixty (60) days after the date of such Landlord termination.</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457200" cy="175260"/>
                <wp:effectExtent l="0" t="0" r="0" b="0"/>
                <wp:wrapSquare wrapText="right"/>
                <wp:docPr id="332" name="Frame3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Temporary Taking</w:t>
      </w:r>
      <w:r>
        <w:rPr>
          <w:rFonts w:ascii="Times New Roman;Times;Serif" w:hAnsi="Times New Roman;Times;Serif"/>
          <w:b w:val="false"/>
          <w:i w:val="false"/>
          <w:caps w:val="false"/>
          <w:smallCaps w:val="false"/>
          <w:sz w:val="20"/>
        </w:rPr>
        <w:t>. If all or any portion of the Premises becomes subject to a Taking for a limited period of time,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 (1) compensates Tenant for its loss of use of the Premises within the Term and (2) reimburses Tenant for the reasonable out-of-pocket costs actually incurred by Tenant to restore the Premises as required by this Section.</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457200" cy="175260"/>
                <wp:effectExtent l="0" t="0" r="0" b="0"/>
                <wp:wrapSquare wrapText="right"/>
                <wp:docPr id="333" name="Frame3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457200" cy="175260"/>
                <wp:effectExtent l="0" t="0" r="0" b="0"/>
                <wp:wrapSquare wrapText="right"/>
                <wp:docPr id="334" name="Frame3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Fire or Other Casualty</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457200" cy="175260"/>
                <wp:effectExtent l="0" t="0" r="0" b="0"/>
                <wp:wrapSquare wrapText="right"/>
                <wp:docPr id="335" name="Frame3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 Estimate</w:t>
      </w:r>
      <w:r>
        <w:rPr>
          <w:rFonts w:ascii="Times New Roman;Times;Serif" w:hAnsi="Times New Roman;Times;Serif"/>
          <w:b w:val="false"/>
          <w:i w:val="false"/>
          <w:caps w:val="false"/>
          <w:smallCaps w:val="false"/>
          <w:sz w:val="20"/>
        </w:rPr>
        <w:t>. If the Premises or the Building are damaged by fire or other casualty (a “</w:t>
      </w:r>
      <w:r>
        <w:rPr>
          <w:rFonts w:ascii="Times New Roman;Times;Serif" w:hAnsi="Times New Roman;Times;Serif"/>
          <w:b/>
          <w:i w:val="false"/>
          <w:caps w:val="false"/>
          <w:smallCaps w:val="false"/>
          <w:sz w:val="20"/>
          <w:u w:val="single"/>
        </w:rPr>
        <w:t>Casualty</w:t>
      </w:r>
      <w:r>
        <w:rPr>
          <w:rFonts w:ascii="Times New Roman;Times;Serif" w:hAnsi="Times New Roman;Times;Serif"/>
          <w:b w:val="false"/>
          <w:i w:val="false"/>
          <w:caps w:val="false"/>
          <w:smallCaps w:val="false"/>
          <w:sz w:val="20"/>
        </w:rPr>
        <w:t>”), Landlord shall, within 90 days after such Casualty, deliver to Tenant a good faith estimate (the “</w:t>
      </w:r>
      <w:r>
        <w:rPr>
          <w:rFonts w:ascii="Times New Roman;Times;Serif" w:hAnsi="Times New Roman;Times;Serif"/>
          <w:b/>
          <w:i w:val="false"/>
          <w:caps w:val="false"/>
          <w:smallCaps w:val="false"/>
          <w:sz w:val="20"/>
          <w:u w:val="single"/>
        </w:rPr>
        <w:t>Damage Notice</w:t>
      </w:r>
      <w:r>
        <w:rPr>
          <w:rFonts w:ascii="Times New Roman;Times;Serif" w:hAnsi="Times New Roman;Times;Serif"/>
          <w:b w:val="false"/>
          <w:i w:val="false"/>
          <w:caps w:val="false"/>
          <w:smallCaps w:val="false"/>
          <w:sz w:val="20"/>
        </w:rPr>
        <w:t>”) of the cost and time needed to repair the damage caused by such Casualty.</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457200" cy="175260"/>
                <wp:effectExtent l="0" t="0" r="0" b="0"/>
                <wp:wrapSquare wrapText="right"/>
                <wp:docPr id="336" name="Frame3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Rights</w:t>
      </w:r>
      <w:r>
        <w:rPr>
          <w:rFonts w:ascii="Times New Roman;Times;Serif" w:hAnsi="Times New Roman;Times;Serif"/>
          <w:b w:val="false"/>
          <w:i w:val="false"/>
          <w:caps w:val="false"/>
          <w:smallCaps w:val="false"/>
          <w:sz w:val="20"/>
        </w:rPr>
        <w:t>. If a material portion of the Premises is damaged by Casualty such that Tenant is prevented from 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Times New Roman;Times;Serif" w:hAnsi="Times New Roman;Times;Serif"/>
          <w:b/>
          <w:i w:val="false"/>
          <w:caps w:val="false"/>
          <w:smallCaps w:val="false"/>
          <w:sz w:val="20"/>
          <w:u w:val="single"/>
        </w:rPr>
        <w:t>Repair Period</w:t>
      </w:r>
      <w:r>
        <w:rPr>
          <w:rFonts w:ascii="Times New Roman;Times;Serif" w:hAnsi="Times New Roman;Times;Serif"/>
          <w:b w:val="false"/>
          <w:i w:val="false"/>
          <w:caps w:val="false"/>
          <w:smallCaps w:val="false"/>
          <w:sz w:val="20"/>
        </w:rPr>
        <w:t>”), then Tenant may terminate this Lease by delivering written notice to Landlord of its election to terminate within 30 days after the Damage Notice has been delivered to Tenant.</w:t>
      </w:r>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457200" cy="175260"/>
                <wp:effectExtent l="0" t="0" r="0" b="0"/>
                <wp:wrapSquare wrapText="right"/>
                <wp:docPr id="337" name="Frame3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Rights</w:t>
      </w:r>
      <w:r>
        <w:rPr>
          <w:rFonts w:ascii="Times New Roman;Times;Serif" w:hAnsi="Times New Roman;Times;Serif"/>
          <w:b w:val="false"/>
          <w:i w:val="false"/>
          <w:caps w:val="false"/>
          <w:smallCaps w:val="false"/>
          <w:sz w:val="20"/>
        </w:rPr>
        <w:t>. If (i) a Casualty damages the Premises or a material portion of the Building, (ii) Tenant does not agree in writing within ten (10) business days after receipt of the Damage Notice to pay for the cost of repair of such damage and restoration of the Premises pursuant to this Section 16, and (iii) either (1) Landlord estimates that the damage to the Premises cannot be repaired within the Repair Period, (2) 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plus applicable deductibles (provided Landlord carries the insurance required hereunder) or Landlord makes a good faith determination that restoring the Building would be uneconomical, or (4) Landlord is required to pay any insurance proceeds arising out of the Casualty to a Landlord’s Mortgagee such that remaining insurance proceeds are insufficient to cover the costs of rebuilding, then Landlord may terminate this Lease by giving written notice of its election to terminate within 30 days after the Damage Notice has been delivered to Tenant. In the event Landlord exercises its termination right under Section 16(c) of either or both of the Other Leases, Tenant shall have the option to terminate this Lease by providing Landlord written notice to that effect within sixty (60) days after the date of such Landlord termination.</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457200" cy="175260"/>
                <wp:effectExtent l="0" t="0" r="0" b="0"/>
                <wp:wrapSquare wrapText="right"/>
                <wp:docPr id="338" name="Frame3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Repair Obligation</w:t>
      </w:r>
      <w:r>
        <w:rPr>
          <w:rFonts w:ascii="Times New Roman;Times;Serif" w:hAnsi="Times New Roman;Times;Serif"/>
          <w:b w:val="false"/>
          <w:i w:val="false"/>
          <w:caps w:val="false"/>
          <w:smallCaps w:val="false"/>
          <w:sz w:val="20"/>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(plus applicable deductible amounts). If this Lease is terminated under the provisions of this Section 16,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If Landlord does not complete the restoration of the Premises within 120 days after the time period estimated by Landlord to repair the damage caused by such Casualty as specified in the Damage Notice, as the same may be extended by force majeure or delays caused by a Tenant Party, Tenant may terminate this Lease by delivering written notice to Landlord and Landlord’s Mortgagee following the expiration of such 120-day period (as the same may be extended as set forth above) and prior to the date upon which Landlord substantially completes such restoration. Such termination shall be effective as of the date specified in Tenant’s termination notice (but not earlier than 30 days nor later than 90 days after the date of such notice) as if such date were the date fixed for the expiration of the Term. If Tenant fails to timely give such termination notice, Tenant shall be deemed to have waived its right to terminate this Lease, time being of the essence with respect thereto. Notwithstanding the foregoing, if upon the receipt of Tenant’s written election to terminate this Lease as provided in this Section 15.(d), Landlord reasonably believes it can complete the restoration of the Premises within 30 days following the receipt of such notice, Landlord may, in its sole discretion, elect to proceed with such restoration and, provided Landlord substantially completes such restoration within such 30-day period, Tenant’s election to terminate shall be null and void.</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457200" cy="175260"/>
                <wp:effectExtent l="0" t="0" r="0" b="0"/>
                <wp:wrapSquare wrapText="right"/>
                <wp:docPr id="339" name="Frame3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Abatement of Rent</w:t>
      </w:r>
      <w:r>
        <w:rPr>
          <w:rFonts w:ascii="Times New Roman;Times;Serif" w:hAnsi="Times New Roman;Times;Serif"/>
          <w:b w:val="false"/>
          <w:i w:val="false"/>
          <w:caps w:val="false"/>
          <w:smallCaps w:val="false"/>
          <w:sz w:val="20"/>
        </w:rPr>
        <w:t>. If the Premises are damaged by Casualty, Rent for the portion of the Premises rendered untenantable by the damage shall be abated on a reasonable basis from the date of damage until the completion of Landlord’s repairs (or until the date of termination of this Lease by Landlord or Tenant as provided above, as the case may be), unless the gross negligence or willful misconduct of a Tenant Party caused such damage, in which case, Tenant shall continue to pay Rent without abatement.</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457200" cy="175260"/>
                <wp:effectExtent l="0" t="0" r="0" b="0"/>
                <wp:wrapSquare wrapText="right"/>
                <wp:docPr id="340" name="Frame3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Personal Property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 shall be liable for all taxes levied or assessed against personal property, furniture, or fixtures 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457200" cy="175260"/>
                <wp:effectExtent l="0" t="0" r="0" b="0"/>
                <wp:wrapSquare wrapText="right"/>
                <wp:docPr id="341" name="Frame3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following occurrences shall be an “</w:t>
      </w:r>
      <w:r>
        <w:rPr>
          <w:rFonts w:ascii="Times New Roman;Times;Serif" w:hAnsi="Times New Roman;Times;Serif"/>
          <w:b/>
          <w:i w:val="false"/>
          <w:caps w:val="false"/>
          <w:smallCaps w:val="false"/>
          <w:sz w:val="20"/>
          <w:u w:val="single"/>
        </w:rPr>
        <w:t>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457200" cy="175260"/>
                <wp:effectExtent l="0" t="0" r="0" b="0"/>
                <wp:wrapSquare wrapText="right"/>
                <wp:docPr id="342" name="Frame3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Default</w:t>
      </w:r>
      <w:r>
        <w:rPr>
          <w:rFonts w:ascii="Times New Roman;Times;Serif" w:hAnsi="Times New Roman;Times;Serif"/>
          <w:b w:val="false"/>
          <w:i w:val="false"/>
          <w:caps w:val="false"/>
          <w:smallCaps w:val="false"/>
          <w:sz w:val="20"/>
        </w:rPr>
        <w:t>. Tenant’s failure to pay Rent within three (3) business days of the date due, which failure continues for five (5) days after Landlord has delivered written notice to Tenant that the same is due; however, an Event of Default shall occur hereunder without any obligation of Landlord to give any notice if Tenant fails to pay any regularly scheduled Rent payment within three (3) business days of the date due and, during the 12 month interval preceding such failure, Landlord has given Tenant written notice of failure to pay any regularly scheduled Rent payment on one or more occasions;</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457200" cy="175260"/>
                <wp:effectExtent l="0" t="0" r="0" b="0"/>
                <wp:wrapSquare wrapText="right"/>
                <wp:docPr id="343" name="Frame3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Abandonment</w:t>
      </w:r>
      <w:r>
        <w:rPr>
          <w:rFonts w:ascii="Times New Roman;Times;Serif" w:hAnsi="Times New Roman;Times;Serif"/>
          <w:b w:val="false"/>
          <w:i w:val="false"/>
          <w:caps w:val="false"/>
          <w:smallCaps w:val="false"/>
          <w:sz w:val="20"/>
        </w:rPr>
        <w:t>. Tenant abandons the Premises or any substantial portion thereof;</w: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457200" cy="175260"/>
                <wp:effectExtent l="0" t="0" r="0" b="0"/>
                <wp:wrapSquare wrapText="right"/>
                <wp:docPr id="344" name="Frame3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Estoppel</w:t>
      </w:r>
      <w:r>
        <w:rPr>
          <w:rFonts w:ascii="Times New Roman;Times;Serif" w:hAnsi="Times New Roman;Times;Serif"/>
          <w:b w:val="false"/>
          <w:i w:val="false"/>
          <w:caps w:val="false"/>
          <w:smallCaps w:val="false"/>
          <w:sz w:val="20"/>
        </w:rPr>
        <w:t>. Tenant fails to provide any estoppel certificate after Landlord’s written request therefor pursuant to Section 26(e) and such failure shall continue for three business days after Landlord’s second written notice thereof to Tenant;</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457200" cy="175260"/>
                <wp:effectExtent l="0" t="0" r="0" b="0"/>
                <wp:wrapSquare wrapText="right"/>
                <wp:docPr id="345" name="Frame3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Tenant fails to procure, maintain and deliver to Landlord evidence of the insurance policies and coverages as required under Section 12(a), and with respect to delivery of evidence of such insurance only, such failure shall continue for five business days after Landlord’s written notice thereof to Tenant;</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457200" cy="175260"/>
                <wp:effectExtent l="0" t="0" r="0" b="0"/>
                <wp:wrapSquare wrapText="right"/>
                <wp:docPr id="346" name="Frame3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Tenant fails to pay and release of record, or diligently contest and bond around, any mechanic’s lien filed against the Premises or the Project for any work performed, materials furnished, or obligation incurred by or at the request of Tenant, within the time and in the manner required by Section 8(d) and such failure shall continue for five business days after Landlord’s written notice thereof to Tenant;</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457200" cy="175260"/>
                <wp:effectExtent l="0" t="0" r="0" b="0"/>
                <wp:wrapSquare wrapText="right"/>
                <wp:docPr id="347" name="Frame3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Tenant’s failure to perform, comply with, or observe any other agreement or obligation of Tenant under this Lease and the continuance of such failure for a period of more than 30 days after Landlord has delivered to Tenant written notice thereof; however, if such failure cannot be cured within such 30-day period (thus excluding, for example, Tenant’s obligation to provide Landlord evidence of Tenant’s insurance coverage) and Tenant commences to cure such failure within such 30-day period and thereafter diligently pursues such cure to completion, then such failure shall not be an Event of Default unless it is not fully cured within an additional 60 days after the expiration of the 30-day period; and</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457200" cy="175260"/>
                <wp:effectExtent l="0" t="0" r="0" b="0"/>
                <wp:wrapSquare wrapText="right"/>
                <wp:docPr id="348" name="Frame3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The filing of a petition by or against Tenant (the term “</w:t>
      </w:r>
      <w:r>
        <w:rPr>
          <w:rFonts w:ascii="Times New Roman;Times;Serif" w:hAnsi="Times New Roman;Times;Serif"/>
          <w:b/>
          <w:i w:val="false"/>
          <w:caps w:val="false"/>
          <w:smallCaps w:val="false"/>
          <w:sz w:val="20"/>
          <w:u w:val="single"/>
        </w:rPr>
        <w:t>Tenant</w:t>
      </w:r>
      <w:r>
        <w:rPr>
          <w:rFonts w:ascii="Times New Roman;Times;Serif" w:hAnsi="Times New Roman;Times;Serif"/>
          <w:b w:val="false"/>
          <w:i w:val="false"/>
          <w:caps w:val="false"/>
          <w:smallCaps w:val="false"/>
          <w:sz w:val="20"/>
        </w:rPr>
        <w:t>” shall include, for the purpose of this Section 18(g),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457200" cy="175260"/>
                <wp:effectExtent l="0" t="0" r="0" b="0"/>
                <wp:wrapSquare wrapText="right"/>
                <wp:docPr id="349" name="Frame3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Landlord’s sole remedy for the Event of Default set forth in Subsection 18(b) above (Abandonment) is termination of this Lease. During the existence of any other Event of Default, Landlord may, in addition to all other rights and remedies afforded Landlord hereunder or by law or equity, take any one or more of the following actions:</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457200" cy="175260"/>
                <wp:effectExtent l="0" t="0" r="0" b="0"/>
                <wp:wrapSquare wrapText="right"/>
                <wp:docPr id="350" name="Frame3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Lease</w:t>
      </w:r>
      <w:r>
        <w:rPr>
          <w:rFonts w:ascii="Times New Roman;Times;Serif" w:hAnsi="Times New Roman;Times;Serif"/>
          <w:b w:val="false"/>
          <w:i w:val="false"/>
          <w:caps w:val="false"/>
          <w:smallCaps w:val="false"/>
          <w:sz w:val="20"/>
        </w:rPr>
        <w:t>. Terminate this Lease by giving Tenant written notice thereof, in which event Tenant shall pay to Landlord the sum of (1) all Rent accrued hereunder through the date of termination, (2) all amounts due under Section 20(a), and (3) an amount equal to (A) 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457200" cy="175260"/>
                <wp:effectExtent l="0" t="0" r="0" b="0"/>
                <wp:wrapSquare wrapText="right"/>
                <wp:docPr id="351" name="Frame3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Possession</w:t>
      </w:r>
      <w:r>
        <w:rPr>
          <w:rFonts w:ascii="Times New Roman;Times;Serif" w:hAnsi="Times New Roman;Times;Serif"/>
          <w:b w:val="false"/>
          <w:i w:val="false"/>
          <w:caps w:val="false"/>
          <w:smallCaps w:val="false"/>
          <w:sz w:val="20"/>
        </w:rPr>
        <w:t>. Terminate Tenant’s right to possess the Premises without terminating this Lease by giving written notice thereof to Tenant, in which event Tenant shall pay to Landlord (1) all Rent and other amounts accrued hereunder to the date of termination of possession, (2) all amounts due from time to time under Section 20(a), and (3) all Rent and other net sums required hereunder to be paid by Tenant during the remainder of the Term, diminished by any net sums thereafter received by Landlord through reletting the Premises during such period, after deducting all reasonable costs incurred by Landlord in reletting the Premises. If Landlord elects to proceed under this Section 19(b),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reasonable discretion may determine (including a term different from the Term, rental concessions, and alterations to, and improvement of, the Premises); however, Landlord shall not be obligated to relet the Premises before leasing other portions of the Building or Complex and Landlord shall not be obligated to accept any prospective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19(b). If Landlord elects to proceed under this Section 19(b), it may at any time elect to terminate this Lease under Section 19(a);</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457200" cy="175260"/>
                <wp:effectExtent l="0" t="0" r="0" b="0"/>
                <wp:wrapSquare wrapText="right"/>
                <wp:docPr id="352" name="Frame3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 Acts on Behalf of Tenant</w:t>
      </w:r>
      <w:r>
        <w:rPr>
          <w:rFonts w:ascii="Times New Roman;Times;Serif" w:hAnsi="Times New Roman;Times;Serif"/>
          <w:b w:val="false"/>
          <w:i w:val="false"/>
          <w:caps w:val="false"/>
          <w:smallCaps w:val="false"/>
          <w:sz w:val="20"/>
        </w:rPr>
        <w:t>. Perform any act Tenant is obligated to perform under the terms of this Lease (and enter upon the Premises in connection therewith if necessary) in Tenant’s name and on Tenant’s behalf, without being liable for any claim for damages therefor, except to the extent due to Landlord’s gross negligence or willful misconduct in performing such obligation, and Tenant shall reimburse Landlord on demand for any reasonable expenses which Landlord may incur in thus effecting compliance with Tenant’s obligations under this Lease (including, but not limited to, collection costs and legal expenses), plus interest thereon at the Default Rate;</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457200" cy="175260"/>
                <wp:effectExtent l="0" t="0" r="0" b="0"/>
                <wp:wrapSquare wrapText="right"/>
                <wp:docPr id="353" name="Frame3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Suspension of Services</w:t>
      </w:r>
      <w:r>
        <w:rPr>
          <w:rFonts w:ascii="Times New Roman;Times;Serif" w:hAnsi="Times New Roman;Times;Serif"/>
          <w:b w:val="false"/>
          <w:i w:val="false"/>
          <w:caps w:val="false"/>
          <w:smallCaps w:val="false"/>
          <w:sz w:val="20"/>
        </w:rPr>
        <w:t>. Suspend any services required to be provided by Landlord hereunder without being liable for any claim for damages therefor; or</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457200" cy="175260"/>
                <wp:effectExtent l="0" t="0" r="0" b="0"/>
                <wp:wrapSquare wrapText="right"/>
                <wp:docPr id="354" name="Frame3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Alteration of Locks</w:t>
      </w:r>
      <w:r>
        <w:rPr>
          <w:rFonts w:ascii="Times New Roman;Times;Serif" w:hAnsi="Times New Roman;Times;Serif"/>
          <w:b w:val="false"/>
          <w:i w:val="false"/>
          <w:caps w:val="false"/>
          <w:smallCaps w:val="false"/>
          <w:sz w:val="20"/>
        </w:rPr>
        <w:t>. Additionally, with or without notice, and to the extent permitted by Law, Landlord may alter locks or other security devices at the Premises to deprive Tenant of access thereto, and Landlord shall not be required to provide a new key or right of access to Tenant.</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457200" cy="175260"/>
                <wp:effectExtent l="0" t="0" r="0" b="0"/>
                <wp:wrapSquare wrapText="right"/>
                <wp:docPr id="355" name="Frame3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by Tenant; Non-Waiver; Cumulative Remedies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457200" cy="175260"/>
                <wp:effectExtent l="0" t="0" r="0" b="0"/>
                <wp:wrapSquare wrapText="right"/>
                <wp:docPr id="356" name="Frame3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by Tenant</w:t>
      </w:r>
      <w:r>
        <w:rPr>
          <w:rFonts w:ascii="Times New Roman;Times;Serif" w:hAnsi="Times New Roman;Times;Serif"/>
          <w:b w:val="false"/>
          <w:i w:val="false"/>
          <w:caps w:val="false"/>
          <w:smallCaps w:val="false"/>
          <w:sz w:val="20"/>
        </w:rPr>
        <w:t>. Upon any Event of Default, Tenant shall pay to Landlord all costs incurred by Landlord (including court costs and reasonable attorneys’ fees and expenses) in (1) obtaining possession of the Premises, (2) removing and storing Tenant’s or any other occupant’s property, (3) repairing, restoring, or otherwise putting the Premises into the condition required at expiration of the Term, (4) if Tenant is dispossessed of the Premises and this Lease is not terminated, reletting all or any part of the Premises (including reasonable brokerage commissions), (5) performing Tenant’s obligations which Tenant failed to perform, and (6) 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457200" cy="175260"/>
                <wp:effectExtent l="0" t="0" r="0" b="0"/>
                <wp:wrapSquare wrapText="right"/>
                <wp:docPr id="357" name="Frame3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457200" cy="175260"/>
                <wp:effectExtent l="0" t="0" r="0" b="0"/>
                <wp:wrapSquare wrapText="right"/>
                <wp:docPr id="358" name="Frame3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Any and all remedies set forth in this Lease: (1) shall be in addition to any and all other 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457200" cy="175260"/>
                <wp:effectExtent l="0" t="0" r="0" b="0"/>
                <wp:wrapSquare wrapText="right"/>
                <wp:docPr id="359" name="Frame3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Lien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Tenant’s property, racking, shelves, wall display systems, bins, machinery, fixtures, security devices (including security gates and security cameras), generators, furnishings, equipment, accounts receivable, inventory, and other personal property (collectively, “</w:t>
      </w:r>
      <w:r>
        <w:rPr>
          <w:rFonts w:ascii="Times New Roman;Times;Serif" w:hAnsi="Times New Roman;Times;Serif"/>
          <w:b/>
          <w:i w:val="false"/>
          <w:caps w:val="false"/>
          <w:smallCaps w:val="false"/>
          <w:sz w:val="20"/>
          <w:u w:val="single"/>
        </w:rPr>
        <w:t>Tenant’s Property</w:t>
      </w:r>
      <w:r>
        <w:rPr>
          <w:rFonts w:ascii="Times New Roman;Times;Serif" w:hAnsi="Times New Roman;Times;Serif"/>
          <w:b w:val="false"/>
          <w:i w:val="false"/>
          <w:caps w:val="false"/>
          <w:smallCaps w:val="false"/>
          <w:sz w:val="20"/>
        </w:rPr>
        <w:t>”), however installed or located on or about the Premises, will be and remain the property of Tenant or its lender, service providers, contractors, or vendors (and their respective lenders or contractors) (collectively, “</w:t>
      </w:r>
      <w:r>
        <w:rPr>
          <w:rFonts w:ascii="Times New Roman;Times;Serif" w:hAnsi="Times New Roman;Times;Serif"/>
          <w:b/>
          <w:i w:val="false"/>
          <w:caps w:val="false"/>
          <w:smallCaps w:val="false"/>
          <w:sz w:val="20"/>
          <w:u w:val="single"/>
        </w:rPr>
        <w:t>Vendors</w:t>
      </w:r>
      <w:r>
        <w:rPr>
          <w:rFonts w:ascii="Times New Roman;Times;Serif" w:hAnsi="Times New Roman;Times;Serif"/>
          <w:b w:val="false"/>
          <w:i w:val="false"/>
          <w:caps w:val="false"/>
          <w:smallCaps w:val="false"/>
          <w:sz w:val="20"/>
        </w:rPr>
        <w:t>”) and may be installed, modified, and removed at any time and from time to time during the Term without Landlord’s consent. In no event (including an Event of Default) will Landlord have any lien or other security interest in any of Tenant’s Property located in the Premises or elsewhere, and Landlord hereby expressly waives and releases any lien or other security interest however created or arising to secure the obligations of Tenant under this Lease until such time as Landlord may obtain an enforceable judgment against Tenant from a court with jurisdiction of Tenant or Tenant’s Property, at which time Landlord shall have such lien rights at law and in equity to enforce and collect such judgment and Tenant’s obligations under this Lease. At Tenant’s request and cost, Landlord will execute a lien waiver and access agreement requested by Vendors, in a form reasonably acceptable to Landlord and such Vendors or other institutional lenders, so long as the applicable Vendor agrees (a) to provide Landlord with at least five (5) business days’ notice before exercising any remedy to remove Tenant’s Property; (b) to allow a representative of Landlord to be present during the exercise of any such remedy; (c) to repair and restore any damage caused by the removal of Tenant’s Property; (d) to carry at least the same level of insurance as required of Tenant during any time that such third party is on the Premises; and (e) to indemnify, defend, and hold harmless Landlord from any claims arising out of or relating to such party’s exercise of its rights.</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457200" cy="175260"/>
                <wp:effectExtent l="0" t="0" r="0" b="0"/>
                <wp:wrapSquare wrapText="right"/>
                <wp:docPr id="360" name="Frame3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Surrender of Premises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457200" cy="175260"/>
                <wp:effectExtent l="0" t="0" r="0" b="0"/>
                <wp:wrapSquare wrapText="right"/>
                <wp:docPr id="361" name="Frame3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Surrender</w:t>
      </w:r>
      <w:r>
        <w:rPr>
          <w:rFonts w:ascii="Times New Roman;Times;Serif" w:hAnsi="Times New Roman;Times;Serif"/>
          <w:b w:val="false"/>
          <w:i w:val="false"/>
          <w:caps w:val="false"/>
          <w:smallCaps w:val="false"/>
          <w:sz w:val="20"/>
        </w:rPr>
        <w:t>.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Sections 15 and 16 shall control) excepted, and shall deliver to Landlord all keys to the Premises.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All alterations, additions or improvements made in or upon the Premises shall, at Landlord’s option, (to be exercised pursuant to following sentences), either be removed by Tenant prior to the end of the Term (and Tenant shall repair all damage caused thereby), or shall remain in the Premises at the end of the Term without compensation to Tenant. If (1) Tenant either (a) submits plans and specifications to Landlord for proposed alterations, additions or improvements to the Premises that require Landlord’s review under this Lease, or (b) provides Landlord a Non-Structural Alterations Notice pursuant to Section 8(a) above, and (2) Tenant delivers a Removal Notice (defined below) to Landlord contemporaneously with such submission by Tenant, then Landlord will notify Tenant whether Tenant will be required to remove such alterations, additions or improvements to the Premises at the expiration of the Term. A “</w:t>
      </w:r>
      <w:r>
        <w:rPr>
          <w:rFonts w:ascii="Times New Roman;Times;Serif" w:hAnsi="Times New Roman;Times;Serif"/>
          <w:b/>
          <w:i w:val="false"/>
          <w:caps w:val="false"/>
          <w:smallCaps w:val="false"/>
          <w:sz w:val="20"/>
          <w:u w:val="single"/>
        </w:rPr>
        <w:t>Removal Notice</w:t>
      </w:r>
      <w:r>
        <w:rPr>
          <w:rFonts w:ascii="Times New Roman;Times;Serif" w:hAnsi="Times New Roman;Times;Serif"/>
          <w:b w:val="false"/>
          <w:i w:val="false"/>
          <w:caps w:val="false"/>
          <w:smallCaps w:val="false"/>
          <w:sz w:val="20"/>
        </w:rPr>
        <w:t>” means a written notice from Tenant to Landlord that conspicuously states in bold, uppercase typeface that Tenant will not be required to remove the alterations, additions or improvements in question at the end of the Term unless Landlord notifies Tenant in writing that Landlord will require Tenant to remove such alterations prior to the expiration of the Term. If Tenant does not deliver a Removal Notice to Landlord with respect to any alterations, additions or improvements to the Premises (whether such approval is required hereunder or otherwise), Tenant shall, at Landlord’s written request, remove all such alterations, additions, improvements, trade fixtures, personal property, equipment, wiring, conduits, cabling, and furniture (including Tenant’s Off-Premises Equipment) as Landlord may request.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under Section 21. The provisions of this Section 22 shall survive the end of the Term.</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457200" cy="175260"/>
                <wp:effectExtent l="0" t="0" r="0" b="0"/>
                <wp:wrapSquare wrapText="right"/>
                <wp:docPr id="362" name="Frame3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Non-Standard Improvements</w:t>
      </w:r>
      <w:r>
        <w:rPr>
          <w:rFonts w:ascii="Times New Roman;Times;Serif" w:hAnsi="Times New Roman;Times;Serif"/>
          <w:b w:val="false"/>
          <w:i w:val="false"/>
          <w:caps w:val="false"/>
          <w:smallCaps w:val="false"/>
          <w:sz w:val="20"/>
        </w:rPr>
        <w:t>. Notwithstanding Section 22(a) above, Tenant shall remove such Non-Standard Improvements (defined below) as Landlord requests; however, Tenant shall not be required to remove any Non-Standard Improvements to the Premises or the Project if Landlord has specifically agreed in writing that the improvement or addition in question need not be removed. As used herein, “</w:t>
      </w:r>
      <w:r>
        <w:rPr>
          <w:rFonts w:ascii="Times New Roman;Times;Serif" w:hAnsi="Times New Roman;Times;Serif"/>
          <w:b/>
          <w:i w:val="false"/>
          <w:caps w:val="false"/>
          <w:smallCaps w:val="false"/>
          <w:sz w:val="20"/>
          <w:u w:val="single"/>
        </w:rPr>
        <w:t>Non-Standard Improvements</w:t>
      </w:r>
      <w:r>
        <w:rPr>
          <w:rFonts w:ascii="Times New Roman;Times;Serif" w:hAnsi="Times New Roman;Times;Serif"/>
          <w:b w:val="false"/>
          <w:i w:val="false"/>
          <w:caps w:val="false"/>
          <w:smallCaps w:val="false"/>
          <w:sz w:val="20"/>
        </w:rPr>
        <w:t>” means, collectively, any cleanroom space installed by Tenant within the Premises, any roof penetrations, alterations, additions, improvements, trade fixtures, personal property, equipment, wiring, conduits, cabling, and furniture related to such cleanroom or that are not typical warehouse improvements (in Landlord’s commercially reasonable judgment). Tenant shall repair all damage caused by removal of Non-Standard Improvements by Tenant pursuant to this Section 22(b), and upon removal of the Non-Standard Improvements, Tenant shall restore the applicable portions of the Premises to substantially the same condition as of the date of this Lease, including the roof. All such restoration work which may affect the Building’s Structure or the Building’s Systems must be approved by the Building’s engineer of record, at Tenant’s expense and, at Landlord’s election, must be performed by Landlord’s usual contractor for such work. All restoration work affecting the Building roof must be performed by Landlord’s roofing contractor, and will not be permitted if it would void or reduce the warranty on the roof.</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457200" cy="175260"/>
                <wp:effectExtent l="0" t="0" r="0" b="0"/>
                <wp:wrapSquare wrapText="right"/>
                <wp:docPr id="363" name="Frame3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Holding Over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Tenant fails to vacate the Premises at the end of the Term, then Tenant shall be a tenant at sufferance and, (a) Tenant shall pay, in addition to the other Rent, Basic Rent equal to 150% of the Rent payable during the last month of the Term, and (b) Tenant shall otherwise continue to be subject to all of Tenant’s obligations under this Lease. The provisions of this Section 23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preceding sentence, Tenant shall not be liable for lost profits or other consequential, punitive or special damages in connection with a holdover after the end of the Term unless Landlord has notified Tenant in writing (“</w:t>
      </w:r>
      <w:r>
        <w:rPr>
          <w:rFonts w:ascii="Times New Roman;Times;Serif" w:hAnsi="Times New Roman;Times;Serif"/>
          <w:b/>
          <w:i w:val="false"/>
          <w:caps w:val="false"/>
          <w:smallCaps w:val="false"/>
          <w:sz w:val="20"/>
          <w:u w:val="single"/>
        </w:rPr>
        <w:t>Notice to Vacate</w:t>
      </w:r>
      <w:r>
        <w:rPr>
          <w:rFonts w:ascii="Times New Roman;Times;Serif" w:hAnsi="Times New Roman;Times;Serif"/>
          <w:b w:val="false"/>
          <w:i w:val="false"/>
          <w:caps w:val="false"/>
          <w:smallCaps w:val="false"/>
          <w:sz w:val="20"/>
        </w:rPr>
        <w:t>”) that Landlord has executed a bona fide letter of intent with another tenant for any portion of the Premises and Tenant fails to vacate the Premises by the later of (i) the date that is thirty (30) days after delivery of the Notice to Vacate, or (ii) the end of the Term.</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457200" cy="175260"/>
                <wp:effectExtent l="0" t="0" r="0" b="0"/>
                <wp:wrapSquare wrapText="right"/>
                <wp:docPr id="364" name="Frame3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Rights Reserved by Landlord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Provided that the exercise of such rights does not unreasonably interfere with Tenant’s occupancy of the Premises, Landlord shall have the following rights:</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457200" cy="175260"/>
                <wp:effectExtent l="0" t="0" r="0" b="0"/>
                <wp:wrapSquare wrapText="right"/>
                <wp:docPr id="365" name="Frame3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Building Operations</w:t>
      </w:r>
      <w:r>
        <w:rPr>
          <w:rFonts w:ascii="Times New Roman;Times;Serif" w:hAnsi="Times New Roman;Times;Serif"/>
          <w:b w:val="false"/>
          <w:i w:val="false"/>
          <w:caps w:val="false"/>
          <w:smallCaps w:val="false"/>
          <w:sz w:val="20"/>
        </w:rPr>
        <w:t>. To make inspections, repairs, and replacements,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and to change the name of the Building;</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457200" cy="175260"/>
                <wp:effectExtent l="0" t="0" r="0" b="0"/>
                <wp:wrapSquare wrapText="right"/>
                <wp:docPr id="366" name="Frame3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To take such reasonable measures as Landlord deems advisable for the security of the Building and its occupants; evacuating the Building for cause, suspected cause, or for drill purposes; and temporarily denying access to the Building;</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457200" cy="175260"/>
                <wp:effectExtent l="0" t="0" r="0" b="0"/>
                <wp:wrapSquare wrapText="right"/>
                <wp:docPr id="367" name="Frame3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Prospective Purchasers and Lenders</w:t>
      </w:r>
      <w:r>
        <w:rPr>
          <w:rFonts w:ascii="Times New Roman;Times;Serif" w:hAnsi="Times New Roman;Times;Serif"/>
          <w:b w:val="false"/>
          <w:i w:val="false"/>
          <w:caps w:val="false"/>
          <w:smallCaps w:val="false"/>
          <w:sz w:val="20"/>
        </w:rPr>
        <w:t>. To enter the Premises at all reasonable hours, upon reasonable prior notice, to show the Premises to prospective purchasers or lenders; and</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457200" cy="175260"/>
                <wp:effectExtent l="0" t="0" r="0" b="0"/>
                <wp:wrapSquare wrapText="right"/>
                <wp:docPr id="368" name="Frame3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Prospective Tenants</w:t>
      </w:r>
      <w:r>
        <w:rPr>
          <w:rFonts w:ascii="Times New Roman;Times;Serif" w:hAnsi="Times New Roman;Times;Serif"/>
          <w:b w:val="false"/>
          <w:i w:val="false"/>
          <w:caps w:val="false"/>
          <w:smallCaps w:val="false"/>
          <w:sz w:val="20"/>
        </w:rPr>
        <w:t>. At any time during the last 12 months of the Term (or earlier if Tenant has notified Landlord in writing that it does not desire to renew the Term) or at any time following the occurrence of an Event of Default which remains uncured, to enter the Premises at all reasonable hours, upon reasonable prior notice, to show the Premises to prospective tenants.</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457200" cy="175260"/>
                <wp:effectExtent l="0" t="0" r="0" b="0"/>
                <wp:wrapSquare wrapText="right"/>
                <wp:docPr id="369" name="Frame3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Landlord’s rights pursuant to this Section 24, (i) Landlord shall use reasonable efforts to not materially and adversely interfere with the operations of Tenant’s business, and (ii) Tenant shall have the right to accompany Tenant during such access to the Premises, and to prevent Landlord from entering into secure areas that are identified to Landlord prior to such entry (except in cases of real or apparent emergency). Prior to permitting a prospective purchaser, prospective tenant or any other party not acting on Landlord’s behalf from entering the Premises, Landlord shall use commercially reasonable efforts to obtain non-disclosure agreements from such prospective purchasers or prospective tenants on Tenant’s then form NDA, subject to reasonable comments from such prospective purchaser or prospective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457200" cy="175260"/>
                <wp:effectExtent l="0" t="0" r="0" b="0"/>
                <wp:wrapSquare wrapText="right"/>
                <wp:docPr id="370" name="Frame3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457200" cy="175260"/>
                <wp:effectExtent l="0" t="0" r="0" b="0"/>
                <wp:wrapSquare wrapText="right"/>
                <wp:docPr id="371" name="Frame3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 Transfer</w:t>
      </w:r>
      <w:r>
        <w:rPr>
          <w:rFonts w:ascii="Times New Roman;Times;Serif" w:hAnsi="Times New Roman;Times;Serif"/>
          <w:b w:val="false"/>
          <w:i w:val="false"/>
          <w:caps w:val="false"/>
          <w:smallCaps w:val="false"/>
          <w:sz w:val="20"/>
        </w:rPr>
        <w:t>. Landlord may transfer any portion of the Project and any of its rights under this Lease. If 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457200" cy="175260"/>
                <wp:effectExtent l="0" t="0" r="0" b="0"/>
                <wp:wrapSquare wrapText="right"/>
                <wp:docPr id="372" name="Frame3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Liability</w:t>
      </w:r>
      <w:r>
        <w:rPr>
          <w:rFonts w:ascii="Times New Roman;Times;Serif" w:hAnsi="Times New Roman;Times;Serif"/>
          <w:b w:val="false"/>
          <w:i w:val="false"/>
          <w:caps w:val="false"/>
          <w:smallCaps w:val="false"/>
          <w:sz w:val="20"/>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and Landlord (and its partners, shareholders or members) shall not be personally liable for any deficiency. The provisions of this Section shall survive any expiration or termination of this Lease. Additionally, Tenant hereby waives its statutory lien under Section 91.004 of the Texas Property Code.</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457200" cy="175260"/>
                <wp:effectExtent l="0" t="0" r="0" b="0"/>
                <wp:wrapSquare wrapText="right"/>
                <wp:docPr id="373" name="Frame3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 (collectively, “</w:t>
      </w:r>
      <w:r>
        <w:rPr>
          <w:rFonts w:ascii="Times New Roman;Times;Serif" w:hAnsi="Times New Roman;Times;Serif"/>
          <w:b/>
          <w:i w:val="false"/>
          <w:caps w:val="false"/>
          <w:smallCaps w:val="false"/>
          <w:sz w:val="20"/>
          <w:u w:val="single"/>
        </w:rPr>
        <w:t>Force Majeure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457200" cy="175260"/>
                <wp:effectExtent l="0" t="0" r="0" b="0"/>
                <wp:wrapSquare wrapText="right"/>
                <wp:docPr id="374" name="Frame3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Neither Landlord nor Tenant has dealt with any broker or agent in connection with the negotiation or execution of this Lease, other than CBRE, Inc., whose commission shall be paid by Landlord pursuant to a separate written agreement. Tenant and Landlord shall each indemnify the other against all costs, expenses, attorneys’ fees, liens and other liability for commissions or other compensation claimed by any broker or agent claiming the same by, through, or under the indemnifying party.</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457200" cy="175260"/>
                <wp:effectExtent l="0" t="0" r="0" b="0"/>
                <wp:wrapSquare wrapText="right"/>
                <wp:docPr id="375" name="Frame3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Estoppel Certificates</w:t>
      </w:r>
      <w:r>
        <w:rPr>
          <w:rFonts w:ascii="Times New Roman;Times;Serif" w:hAnsi="Times New Roman;Times;Serif"/>
          <w:b w:val="false"/>
          <w:i w:val="false"/>
          <w:caps w:val="false"/>
          <w:smallCaps w:val="false"/>
          <w:sz w:val="20"/>
        </w:rPr>
        <w:t xml:space="preserve">. From time to time, Tenant shall furnish to any party designated by Landlord, within ten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If Tenant does not deliver to Landlord the certificate signed by Tenant within such required time period, Landlord, Landlord’s Mortgagee and any prospective purchaser or mortgagee, may conclusively presume and rely upon the following facts: (1) this Lease is in full force and effect; (2) the terms and provisions of this Lease have not been changed except as otherwise represented by Landlord; (3) not more than one monthly installment of Basic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457200" cy="175260"/>
                <wp:effectExtent l="0" t="0" r="0" b="0"/>
                <wp:wrapSquare wrapText="right"/>
                <wp:docPr id="376" name="Frame3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hereunder shall be in writing and shall be served on the parties at the addresses set forth in the Basic Lease Information. Any such notices shall, unless otherwise provided herein, be given or served (i) by depositing the same in the United States mail, postage paid, certified and addressed to the party to be notified, with return receipt requested, (ii) by overnight delivery using a nationally recognized overnight courier, (iii) by personal delivery, or (iv) by electronic mail addressed to the electronic mail address set forth in the Basic Lease Information for the party to be notified with a confirmation copy delivered by another method permitted under this Section 26(f) (i), (ii) or (iii). Notice given in accordance herewith for all permitted forms of notice other than by electronic mail, shall be effective upon the earlier to occur of actual delivery to the address of the addressee or refusal of receipt by the addressee (even if such addressee refuses delivery thereof). Notice given by electronic mail in accordance herewith shall be effective upon the entrance of such electronic mail into the information processing system designated by the recipient’s electronic mail address. Except for electronic mail notices as described above, no notice hereunder shall be effective if sent or delivered by electronic means. In no event shall this Lease be entered into, executed, terminated, altered, amended or modified by electronic mail or electronic record, except for the delivery or transmission of signatures as expressly provided in Section 26(z). A party’s address may be changed by written notice to the other party; provided, however, that no notice of a change of address shall be effective until actual receipt of such notice. Copies of notices are for informational purposes only, and a failure to give or receive copies of any notice shall not be deemed a failure to give notice. Notices given by counsel to the Tenant shall be deemed given by Tenant and notices given by counsel to the Landlord shall be deemed given by Landlord. If Landlord sends a default notice or an invoice to Tenant for payment of any rent due hereunder, an email of such default notice and/or invoice shall be sent to Fred Chang (             ), David Kuo (             ), and Ray Du (             ) regardless of any other method of notice sent to the other Tenant notice parties.</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457200" cy="175260"/>
                <wp:effectExtent l="0" t="0" r="0" b="0"/>
                <wp:wrapSquare wrapText="right"/>
                <wp:docPr id="377" name="Frame3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457200" cy="175260"/>
                <wp:effectExtent l="0" t="0" r="0" b="0"/>
                <wp:wrapSquare wrapText="right"/>
                <wp:docPr id="378" name="Frame3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 Binding Effect; No Electronic Records</w:t>
      </w:r>
      <w:r>
        <w:rPr>
          <w:rFonts w:ascii="Times New Roman;Times;Serif" w:hAnsi="Times New Roman;Times;Serif"/>
          <w:b w:val="false"/>
          <w:i w:val="false"/>
          <w:caps w:val="false"/>
          <w:smallCaps w:val="false"/>
          <w:sz w:val="20"/>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(i) by electronic mail as specifically set forth in Section 26(f) and (ii) for the delivery or transmission of signatures as expressly provided in Section 26(z); nor shall the use of the phrase “in writing” or the word “written” be construed to include electronic communications except by electronic mail as specifically set forth in Section 26(f).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457200" cy="175260"/>
                <wp:effectExtent l="0" t="0" r="0" b="0"/>
                <wp:wrapSquare wrapText="right"/>
                <wp:docPr id="379" name="Frame3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Quiet Enjoyment</w:t>
      </w:r>
      <w:r>
        <w:rPr>
          <w:rFonts w:ascii="Times New Roman;Times;Serif" w:hAnsi="Times New Roman;Times;Serif"/>
          <w:b w:val="false"/>
          <w:i w:val="false"/>
          <w:caps w:val="false"/>
          <w:smallCaps w:val="false"/>
          <w:sz w:val="20"/>
        </w:rPr>
        <w:t>. Provided no Event of Default exists, Tenant shall peaceably and quietly hold and enjoy the Premises for the Term, without hindrance from Landlord or any party claiming by, through, or under Landlord, but not otherwise, subject to the terms and conditions of this Lease.</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457200" cy="175260"/>
                <wp:effectExtent l="0" t="0" r="0" b="0"/>
                <wp:wrapSquare wrapText="right"/>
                <wp:docPr id="380" name="Frame3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457200" cy="175260"/>
                <wp:effectExtent l="0" t="0" r="0" b="0"/>
                <wp:wrapSquare wrapText="right"/>
                <wp:docPr id="381" name="Frame3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457200" cy="175260"/>
                <wp:effectExtent l="0" t="0" r="0" b="0"/>
                <wp:wrapSquare wrapText="right"/>
                <wp:docPr id="382" name="Frame3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Lease shall be governed by and construed in accordance with the laws of the state in which the Premises are located.</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457200" cy="175260"/>
                <wp:effectExtent l="0" t="0" r="0" b="0"/>
                <wp:wrapSquare wrapText="right"/>
                <wp:docPr id="383" name="Frame3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Recording</w:t>
      </w:r>
      <w:r>
        <w:rPr>
          <w:rFonts w:ascii="Times New Roman;Times;Serif" w:hAnsi="Times New Roman;Times;Serif"/>
          <w:b w:val="false"/>
          <w:i w:val="false"/>
          <w:caps w:val="false"/>
          <w:smallCaps w:val="false"/>
          <w:sz w:val="20"/>
        </w:rPr>
        <w:t xml:space="preserve">. Landlord and Tenant shall, contemporaneously with their execution and delivery of this Lease, each execute and acknowledge a memorandum of lease respecting this Lease, substantially in the form of </w:t>
      </w:r>
      <w:r>
        <w:rPr>
          <w:rFonts w:ascii="Times New Roman;Times;Serif" w:hAnsi="Times New Roman;Times;Serif"/>
          <w:b/>
          <w:i w:val="false"/>
          <w:caps w:val="false"/>
          <w:smallCaps w:val="false"/>
          <w:sz w:val="20"/>
          <w:u w:val="single"/>
        </w:rPr>
        <w:t>Exhibit J</w:t>
      </w:r>
      <w:r>
        <w:rPr>
          <w:rFonts w:ascii="Times New Roman;Times;Serif" w:hAnsi="Times New Roman;Times;Serif"/>
          <w:b w:val="false"/>
          <w:i w:val="false"/>
          <w:caps w:val="false"/>
          <w:smallCaps w:val="false"/>
          <w:sz w:val="20"/>
        </w:rPr>
        <w:t xml:space="preserve"> attached hereto, which Tenant shall be permitted to record in the applicable public land records for Fort Bend County, Texas. Within ten (10) days after the end of the Term or if this Lease is earlier terminated, Landlord and Tenant shall enter into such documentation as is reasonably required by Landlord or Tenant to remove the memorandum of record.</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457200" cy="175260"/>
                <wp:effectExtent l="0" t="0" r="0" b="0"/>
                <wp:wrapSquare wrapText="right"/>
                <wp:docPr id="384" name="Frame3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Water or Mold Notification</w:t>
      </w:r>
      <w:r>
        <w:rPr>
          <w:rFonts w:ascii="Times New Roman;Times;Serif" w:hAnsi="Times New Roman;Times;Serif"/>
          <w:b w:val="false"/>
          <w:i w:val="false"/>
          <w:caps w:val="false"/>
          <w:smallCaps w:val="false"/>
          <w:sz w:val="20"/>
        </w:rPr>
        <w:t>. To the extent Tenant or its agents or employees discover any water leakage, water damage or mold in or about the Premises or Project, Tenant shall promptly notify Landlord thereof in writing.</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457200" cy="175260"/>
                <wp:effectExtent l="0" t="0" r="0" b="0"/>
                <wp:wrapSquare wrapText="right"/>
                <wp:docPr id="385" name="Frame3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Joint and Several Liability</w:t>
      </w:r>
      <w:r>
        <w:rPr>
          <w:rFonts w:ascii="Times New Roman;Times;Serif" w:hAnsi="Times New Roman;Times;Serif"/>
          <w:b w:val="false"/>
          <w:i w:val="false"/>
          <w:caps w:val="false"/>
          <w:smallCaps w:val="false"/>
          <w:sz w:val="20"/>
        </w:rPr>
        <w:t>. If Tenant is comprised of more than one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457200" cy="175260"/>
                <wp:effectExtent l="0" t="0" r="0" b="0"/>
                <wp:wrapSquare wrapText="right"/>
                <wp:docPr id="386" name="Frame3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Within 15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Section 26(p) more than once in any 12-month period unless requested by Landlord’s Mortgagee or a prospective buyer or lender of the Building or an Event of Default occurs. Notwithstanding anything to the contrary contained herein, so long as Tenant remains a publicly traded company (or a consolidated subsidiary of a publicly traded company) on a nationally recognized stock exchange and with financial statements that are publicly available, Tenant shall not be required to provide or deliver financial statements or any other information required under this subsection.</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457200" cy="175260"/>
                <wp:effectExtent l="0" t="0" r="0" b="0"/>
                <wp:wrapSquare wrapText="right"/>
                <wp:docPr id="387" name="Frame3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Landlord’s Fees</w:t>
      </w:r>
      <w:r>
        <w:rPr>
          <w:rFonts w:ascii="Times New Roman;Times;Serif" w:hAnsi="Times New Roman;Times;Serif"/>
          <w:b w:val="false"/>
          <w:i w:val="false"/>
          <w:caps w:val="false"/>
          <w:smallCaps w:val="false"/>
          <w:sz w:val="20"/>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 Notwithstanding the foregoing, Tenant’s obligations under this subsection shall never exceed $2,500.00 for any single requested action unless Landlord advises Tenant in advance of the estimate of such costs and allows Tenant to first withdraw such request so as to avoid any such reimbursement obligation.</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457200" cy="175260"/>
                <wp:effectExtent l="0" t="0" r="0" b="0"/>
                <wp:wrapSquare wrapText="right"/>
                <wp:docPr id="388" name="Frame3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Telecommunications</w:t>
      </w:r>
      <w:r>
        <w:rPr>
          <w:rFonts w:ascii="Times New Roman;Times;Serif" w:hAnsi="Times New Roman;Times;Serif"/>
          <w:b w:val="false"/>
          <w:i w:val="false"/>
          <w:caps w:val="false"/>
          <w:smallCaps w:val="false"/>
          <w:sz w:val="20"/>
        </w:rPr>
        <w:t>.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Times;Serif" w:hAnsi="Times New Roman;Times;Serif"/>
          <w:b/>
          <w:i w:val="false"/>
          <w:caps w:val="false"/>
          <w:smallCaps w:val="false"/>
          <w:sz w:val="20"/>
          <w:u w:val="single"/>
        </w:rPr>
        <w:t>Telecommunications Services</w:t>
      </w:r>
      <w:r>
        <w:rPr>
          <w:rFonts w:ascii="Times New Roman;Times;Serif" w:hAnsi="Times New Roman;Times;Serif"/>
          <w:b w:val="false"/>
          <w:i w:val="false"/>
          <w:caps w:val="false"/>
          <w:smallCaps w:val="false"/>
          <w:sz w:val="20"/>
        </w:rPr>
        <w:t>”), for part or all of Tenant’s telecommunications within the Building and from the Building to any other location without Landlord’s prior written consent, not to be unreasonably withheld.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457200" cy="175260"/>
                <wp:effectExtent l="0" t="0" r="0" b="0"/>
                <wp:wrapSquare wrapText="right"/>
                <wp:docPr id="389" name="Frame3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if required by Law (including without limitation those of the United States Securities and Exchange Commission), or in response to a court order or decision or court order or request of a stock exchange, regulatory agency or other authority, to its attorneys, accountants, employees and existing or prospective financial partners provided same are advised by Tenant of the confidential nature of such terms and conditions. Tenant shall be liable for any disclosures made in violation of this Section by Tenant or by any entity or individual to whom the terms of and conditions of this Lease were disclosed or made available by Tenant. The consent by Landlord to any disclosures shall not be deemed to be a waiver on the part of Landlord of any prohibition against any future disclosure. Notwithstanding anything to the contrary in this Lease, Landlord acknowledges and agrees that Tenant may file this Lease with the U.S. Securities and Exchange Commission (SEC) as an exhibit to a Current Report on Form 8-K or other periodic report pursuant to the Securities Exchange Act of 1934, as amended, and such disclosure shall not constitute a breach of the confidentiality provisions herein; provided, however, that prior to any such filing, Tenant shall provide Landlord with advance written notice and a reasonable opportunity to review the proposed filing and request redactions. Tenant agrees to incorporate Landlord’s requested redactions to the extent permitted by applicable SEC rules and regulations (without a formal confidential treatment request under applicable SEC regulations).</w: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457200" cy="175260"/>
                <wp:effectExtent l="0" t="0" r="0" b="0"/>
                <wp:wrapSquare wrapText="right"/>
                <wp:docPr id="390" name="Frame3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Tenant (if a corporation, partnership or other business entity) hereby represents and warrants to Landlord that Tenant is a duly formed and existing entity qualified to do business in the state in which the Premises are located, that Tenant has full right and authority to execute and deliver this Lease, and that each person signing on behalf of Tenant is authorized to do so.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457200" cy="175260"/>
                <wp:effectExtent l="0" t="0" r="0" b="0"/>
                <wp:wrapSquare wrapText="right"/>
                <wp:docPr id="391" name="Frame3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 Service</w:t>
      </w:r>
      <w:r>
        <w:rPr>
          <w:rFonts w:ascii="Times New Roman;Times;Serif" w:hAnsi="Times New Roman;Times;Serif"/>
          <w:b w:val="false"/>
          <w:i w:val="false"/>
          <w:caps w:val="false"/>
          <w:smallCaps w:val="false"/>
          <w:sz w:val="20"/>
        </w:rPr>
        <w:t>. Tenant acknowledges and agrees that, while Landlord may (but shall not be obligated to) patrol the Building or Project, Landlord is not providing any security services with respect to the Premises or Tenant’s Off-Premises Equipment and that Landlord shall not be liable to Tenant for, and Tenant waives any claim against Landlord with respect to, any loss by theft or any other damage suffered or incurred by Tenant in connection with any unauthorized entry into the Premises or any area where Tenant’s Off-Premises Equipment is located or any other breach of security with respect to the Premises or Tenant’s Off-Premises Equipment.</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457200" cy="175260"/>
                <wp:effectExtent l="0" t="0" r="0" b="0"/>
                <wp:wrapSquare wrapText="right"/>
                <wp:docPr id="392" name="Frame3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 of Exhibits</w:t>
      </w:r>
      <w:r>
        <w:rPr>
          <w:rFonts w:ascii="Times New Roman;Times;Serif" w:hAnsi="Times New Roman;Times;Serif"/>
          <w:b w:val="false"/>
          <w:i w:val="false"/>
          <w:caps w:val="false"/>
          <w:smallCaps w:val="false"/>
          <w:sz w:val="20"/>
        </w:rPr>
        <w:t>. All exhibits and attachments attached hereto are incorporated herein by this reference.</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457200" cy="175260"/>
                <wp:effectExtent l="0" t="0" r="0" b="0"/>
                <wp:wrapSquare wrapText="right"/>
                <wp:docPr id="393" name="Frame3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Outline of Premises</w:t>
        <w:br/>
        <w:t>Exhibit B – Description of the Land</w:t>
        <w:br/>
        <w:t>Exhibit C – Building Rules and Regulations</w:t>
        <w:br/>
        <w:t>Exhibit D – Work Letter</w:t>
        <w:br/>
        <w:t>Exhibit E – Form of Confirmation of Commencement Date Letter</w:t>
        <w:br/>
        <w:t>Exhibit F – Form of Tenant Estoppel Certificate</w:t>
        <w:br/>
        <w:t>Exhibit G – Form of SNDA</w:t>
        <w:br/>
        <w:t>Exhibit H – Purchase Option</w:t>
        <w:br/>
        <w:t>Exhibit I – Insurance for Construction Operations</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2160" w:right="67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67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Prohibited Persons and Transactions</w:t>
      </w:r>
      <w:r>
        <w:rPr>
          <w:rFonts w:ascii="Times New Roman;Times;Serif" w:hAnsi="Times New Roman;Times;Serif"/>
          <w:b w:val="false"/>
          <w:i w:val="false"/>
          <w:caps w:val="false"/>
          <w:smallCaps w:val="false"/>
          <w:sz w:val="20"/>
        </w:rPr>
        <w:t>. Tenant represents and warrants to Landlord that Tenant is currently 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457200" cy="14605"/>
                <wp:effectExtent l="0" t="0" r="0" b="0"/>
                <wp:wrapSquare wrapText="right"/>
                <wp:docPr id="394" name="Frame39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Determination of Charges</w:t>
      </w:r>
      <w:r>
        <w:rPr>
          <w:rFonts w:ascii="Times New Roman;Times;Serif" w:hAnsi="Times New Roman;Times;Serif"/>
          <w:b w:val="false"/>
          <w:i w:val="false"/>
          <w:caps w:val="false"/>
          <w:smallCaps w:val="false"/>
          <w:sz w:val="20"/>
        </w:rPr>
        <w:t>. Landlord and Tenant agree that each provision of this Lease for determining charges and amounts payable by Tenant (including provisions regarding Additional Rent and Tenant’s Proportionate Share of Taxes and Insurance Costs) is commercially reasonable and, as to each such charge or amount, constitutes a statement of the amount of the charge or a method by which the charge is to be computed for purposes of Section 93.012 of the Texas Property Code.</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457200" cy="14605"/>
                <wp:effectExtent l="0" t="0" r="0" b="0"/>
                <wp:wrapSquare wrapText="right"/>
                <wp:docPr id="395" name="Frame39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Invasive Testing</w:t>
      </w:r>
      <w:r>
        <w:rPr>
          <w:rFonts w:ascii="Times New Roman;Times;Serif" w:hAnsi="Times New Roman;Times;Serif"/>
          <w:b w:val="false"/>
          <w:i w:val="false"/>
          <w:caps w:val="false"/>
          <w:smallCaps w:val="false"/>
          <w:sz w:val="20"/>
        </w:rPr>
        <w:t>. Tenant shall not undertake, nor shall Tenant permit any Tenant Party to undertake, any invasive investigation, drilling or sampling of the soil or groundwater at the Project without the prior written consent of Landlord, which consent shall be in Landlord’s sole discretion.</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457200" cy="14605"/>
                <wp:effectExtent l="0" t="0" r="0" b="0"/>
                <wp:wrapSquare wrapText="right"/>
                <wp:docPr id="396" name="Frame39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(y)</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Lease may be executed in any number of counterparts, each of which shall be deemed to be an original, and all of such counterparts shall constitute one Lease. To facilitate execution of this Lease, the parties may execute and exchange signature pages by facsimile or via electronic mail (*.pdf or similar file types). The parties further agree that counterparts of this Lease may be signed electronically via Adobe Sign, DocuSign protocol or other electronic platform. All such signatures may be used in the place of original “wet ink” signatures to this Lease and shall have the same legal effect as the physical delivery of an original signature.</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457200" cy="14605"/>
                <wp:effectExtent l="0" t="0" r="0" b="0"/>
                <wp:wrapSquare wrapText="right"/>
                <wp:docPr id="397" name="Frame39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(z)</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i w:val="false"/>
          <w:caps w:val="false"/>
          <w:smallCaps w:val="false"/>
          <w:sz w:val="20"/>
        </w:rPr>
        <w:t>.</w:t>
      </w:r>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457200" cy="14605"/>
                <wp:effectExtent l="0" t="0" r="0" b="0"/>
                <wp:wrapSquare wrapText="right"/>
                <wp:docPr id="398" name="Frame39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Prohibition against Hazardous Materials</w:t>
      </w:r>
      <w:r>
        <w:rPr>
          <w:rFonts w:ascii="Times New Roman;Times;Serif" w:hAnsi="Times New Roman;Times;Serif"/>
          <w:b w:val="false"/>
          <w:i w:val="false"/>
          <w:caps w:val="false"/>
          <w:smallCaps w:val="false"/>
          <w:sz w:val="20"/>
        </w:rPr>
        <w:t>. Except for Hazardous Materials contained in products used by Tenant in de minimis quantities for ordinary cleaning and office purposes, Tenant shall not permit or cause any party to bring any Hazardous Materials upon the Premises or in the Project or transport, store, use, generate, manufacture, dispose, or release any Hazardous Materials on or from the Premises or the Project without Landlord’s prior written consent.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or in the Project, and Tenant shall promptly deliver to Landlord a copy of any notice of violation relating to the Premises or the Project of any Environmental Requirement.</w:t>
      </w:r>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457200" cy="14605"/>
                <wp:effectExtent l="0" t="0" r="0" b="0"/>
                <wp:wrapSquare wrapText="right"/>
                <wp:docPr id="399" name="Frame39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Environmental Requirements</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u w:val="single"/>
        </w:rPr>
        <w:t>Environmental Requirements</w:t>
      </w:r>
      <w:r>
        <w:rPr>
          <w:rFonts w:ascii="Times New Roman;Times;Serif" w:hAnsi="Times New Roman;Times;Serif"/>
          <w:b w:val="false"/>
          <w:i w:val="false"/>
          <w:caps w:val="false"/>
          <w:smallCaps w:val="false"/>
          <w:sz w:val="20"/>
        </w:rPr>
        <w:t xml:space="preserve">” means all Laws regulating or relating to health, safety, or environmental conditions on, under, or about the Premises or the Project or the environment including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nuisance or trespass, and any other requirements of Section 14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this Lease. The term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means and includes any substance, material, waste, pollutant, or contaminant that is or could be regulated under any Environmental Requirement or that may adversely affect human health or the environment, including any solid 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the “owner” and “operator” of Tenant’s “facility” and the “owner” of all Hazardous Materials brought on the Premises or the Project by a Tenant Party and the wastes, by-products, or residues generated, resulting, or produced therefrom.</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457200" cy="14605"/>
                <wp:effectExtent l="0" t="0" r="0" b="0"/>
                <wp:wrapSquare wrapText="right"/>
                <wp:docPr id="400" name="Frame40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 of Hazardous Materials</w:t>
      </w:r>
      <w:r>
        <w:rPr>
          <w:rFonts w:ascii="Times New Roman;Times;Serif" w:hAnsi="Times New Roman;Times;Serif"/>
          <w:b w:val="false"/>
          <w:i w:val="false"/>
          <w:caps w:val="false"/>
          <w:smallCaps w:val="false"/>
          <w:sz w:val="20"/>
        </w:rPr>
        <w:t>. Tenant, at its sole cost and expense, shall remove all Hazardous Materials stored, disposed of or otherwise released by a Tenant Party onto or from the Premises or the Project, in a manner and to a level satisfactory to Landlord in its reasonable discretion, but in no event to a level and in a manner less than that which complies with all Environmental Requirements and does not limit any future uses of the Premises or the Project or require the recording of any deed restriction or notice regarding the Premises or the Project. Tenant shall perform such work at any time during the period of this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an action to compel Tenant to perform such work), perform such work at Tenant’s cost. Tenant shall pay all costs incurred by Landlord in performing such work within thirty (30) days after Landlord’s request therefor. Such work performed by Landlord is on behalf of Tenant and Tenant remains the owner, generator, operator, transporter, and/or arranger of the Hazardous Materials stored, disposed of or otherwise released by a Tenant Party onto or from the Premises or the Project for purposes of Environmental Requirements. Tenant agrees not to enter into any agreement with any person, including any governmental authority, regarding the removal of Hazardous Materials that have been disposed of or otherwise released onto or from the Premises or the Project without the written approval of the Landlord.</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457200" cy="175260"/>
                <wp:effectExtent l="0" t="0" r="0" b="0"/>
                <wp:wrapSquare wrapText="right"/>
                <wp:docPr id="401" name="Frame4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Tenant’s Indemnity</w:t>
      </w:r>
      <w:r>
        <w:rPr>
          <w:rFonts w:ascii="Times New Roman;Times;Serif" w:hAnsi="Times New Roman;Times;Serif"/>
          <w:b w:val="false"/>
          <w:i w:val="false"/>
          <w:caps w:val="false"/>
          <w:smallCaps w:val="false"/>
          <w:sz w:val="20"/>
        </w:rPr>
        <w:t>. Tenant shall indemnify, defend, and hold Landlord harmless from and against any and all losses (including diminution in value of the Premises or the Project and loss of rental income from the Project), liabilities (INCLUDING ANY STRICT LIABILITY), claims, demands, actions, suits, damages (including punitive damages), expenses (including remediation, removal, repair, corrective action, or cleanup expenses), and costs (including actual attorneys’ fees, consultant fees or expert fees and including removal or management of any asbestos brought into the Premises or the Project or disturbed in breach of the requirements of this Section 27, regardless of whether such removal or management is required by Law) which are brought or recoverable against, or suffered or incurred by Landlord as a result of any release of Hazardous Materials or any breach of the requirements under this Section 27 by a Tenant Party regardless of whether Tenant had knowledge of such noncompliance. The obligations of Tenant under this Section 27 shall survive any expiration or termination of this Lease.</w: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457200" cy="175260"/>
                <wp:effectExtent l="0" t="0" r="0" b="0"/>
                <wp:wrapSquare wrapText="right"/>
                <wp:docPr id="402" name="Frame4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Inspections and Tests</w:t>
      </w:r>
      <w:r>
        <w:rPr>
          <w:rFonts w:ascii="Times New Roman;Times;Serif" w:hAnsi="Times New Roman;Times;Serif"/>
          <w:b w:val="false"/>
          <w:i w:val="false"/>
          <w:caps w:val="false"/>
          <w:smallCaps w:val="false"/>
          <w:sz w:val="20"/>
        </w:rPr>
        <w:t>. Landlord shall have access to, and a right to perform inspections and tests of, the Premises to determine Tenant’s compliance with Environmental Requirements, its obligations under this Section 27,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or the Project. Tenant shall, within five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 Materials onto or from the Premises or the Project. Tenant shall not undertake, nor shall Tenant permit any Tenant Party to undertake, any invasive investigation, drilling or sampling of the soil or groundwater at the Premises or the Project without the prior written consent of Landlord, which consent shall in Landlord’s sole discretion.</w:t>
      </w:r>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457200" cy="175260"/>
                <wp:effectExtent l="0" t="0" r="0" b="0"/>
                <wp:wrapSquare wrapText="right"/>
                <wp:docPr id="403" name="Frame4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Parking</w:t>
      </w:r>
      <w:r>
        <w:rPr>
          <w:rFonts w:ascii="Times New Roman;Times;Serif" w:hAnsi="Times New Roman;Times;Serif"/>
          <w:b w:val="false"/>
          <w:i w:val="false"/>
          <w:caps w:val="false"/>
          <w:smallCaps w:val="false"/>
          <w:sz w:val="20"/>
        </w:rPr>
        <w:t>. Tenant shall have the exclusive right to use all of the parking spaces associated with the Building. Landlord reserves the right to initiate steps to control the parking utilization through gates, access cards, hang-tags or other means as appropriate. Parking spaces will be available to Tenant without charge during the initial Term. Landlord shall not be responsible for enforcing Tenant’s parking rights against third parties.</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457200" cy="175260"/>
                <wp:effectExtent l="0" t="0" r="0" b="0"/>
                <wp:wrapSquare wrapText="right"/>
                <wp:docPr id="404" name="Frame4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Applications</w:t>
      </w:r>
      <w:r>
        <w:rPr>
          <w:rFonts w:ascii="Times New Roman;Times;Serif" w:hAnsi="Times New Roman;Times;Serif"/>
          <w:b w:val="false"/>
          <w:i w:val="false"/>
          <w:caps w:val="false"/>
          <w:smallCaps w:val="false"/>
          <w:sz w:val="20"/>
        </w:rPr>
        <w:t>. Landlord shall reasonably cooperate with Tenant and execute all applications and forms required under Law for Tenant’s building permit, reasonably assist Tenant with all application filings with the entities having jurisdiction over the facility especially related to application signatures, and reasonably cooperate with Tenant in obtaining any economic incentives, provided the foregoing is at no out-of-pocket cost to Landlord.</w:t>
      </w:r>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457200" cy="175260"/>
                <wp:effectExtent l="0" t="0" r="0" b="0"/>
                <wp:wrapSquare wrapText="right"/>
                <wp:docPr id="405" name="Frame4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 NOTHING IN THIS PARAGRAPH SHALL BE CONSTRUED TO DIMINISH THE OBLIGATIONS OF LANDLORD THAT ARE EXPRESSLY SET FORTH ELSEWHERE IN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145"/>
        <w:gridCol w:w="365"/>
        <w:gridCol w:w="365"/>
        <w:gridCol w:w="365"/>
        <w:gridCol w:w="3575"/>
      </w:tblGrid>
      <w:tr>
        <w:trPr/>
        <w:tc>
          <w:tcPr>
            <w:tcW w:w="11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w:t>
            </w:r>
          </w:p>
          <w:p>
            <w:pPr>
              <w:pStyle w:val="TableContents"/>
              <w:bidi w:val="0"/>
              <w:spacing w:before="0" w:after="0"/>
              <w:ind w:left="0" w:right="0" w:hanging="0"/>
              <w:jc w:val="both"/>
              <w:rPr>
                <w:caps w:val="false"/>
                <w:smallCaps w:val="false"/>
              </w:rPr>
            </w:pPr>
            <w:r>
              <w:rPr>
                <w:caps w:val="false"/>
                <w:smallCaps w:val="false"/>
              </w:rPr>
              <w:t> </w:t>
            </w:r>
          </w:p>
        </w:tc>
        <w:tc>
          <w:tcPr>
            <w:tcW w:w="467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Hightower Phase I Owner, LLC</w:t>
            </w:r>
            <w:r>
              <w:rPr>
                <w:rFonts w:ascii="Times New Roman;Times;Serif" w:hAnsi="Times New Roman;Times;Serif"/>
                <w:b w:val="false"/>
                <w:i w:val="false"/>
                <w:caps w:val="false"/>
                <w:smallCaps w:val="false"/>
                <w:sz w:val="20"/>
              </w:rPr>
              <w:t>,</w:t>
              <w:br/>
              <w:t>a Delaware limited liability company</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05" w:type="dxa"/>
            <w:gridSpan w:val="3"/>
            <w:tcBorders/>
            <w:vAlign w:val="center"/>
          </w:tcPr>
          <w:p>
            <w:pPr>
              <w:pStyle w:val="TableContents"/>
              <w:bidi w:val="0"/>
              <w:spacing w:before="0" w:after="283"/>
              <w:jc w:val="left"/>
              <w:rPr/>
            </w:pPr>
            <w:r>
              <w:rPr/>
              <w:t>Hightower Investor Holdings, LLC,</w:t>
              <w:br/>
              <w:t>a Delaware limited liability company,</w:t>
              <w:br/>
              <w:t>its sole member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05" w:type="dxa"/>
            <w:gridSpan w:val="3"/>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940" w:type="dxa"/>
            <w:gridSpan w:val="2"/>
            <w:tcBorders/>
            <w:vAlign w:val="center"/>
          </w:tcPr>
          <w:p>
            <w:pPr>
              <w:pStyle w:val="TableContents"/>
              <w:bidi w:val="0"/>
              <w:spacing w:before="0" w:after="283"/>
              <w:jc w:val="left"/>
              <w:rPr/>
            </w:pPr>
            <w:r>
              <w:rPr/>
              <w:t>CHI Gulf Coast 106 Hightower, L.P.,</w:t>
              <w:br/>
              <w:t>a Delaware limited partnership,</w:t>
              <w:br/>
              <w:t>its administrative member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75" w:type="dxa"/>
            <w:tcBorders/>
            <w:vAlign w:val="center"/>
          </w:tcPr>
          <w:p>
            <w:pPr>
              <w:pStyle w:val="TableContents"/>
              <w:bidi w:val="0"/>
              <w:spacing w:before="0" w:after="283"/>
              <w:jc w:val="left"/>
              <w:rPr/>
            </w:pPr>
            <w:r>
              <w:rPr/>
              <w:t>CHI LTH GP, L.L.C.,</w:t>
              <w:br/>
              <w:t>a Delaware limited liability company,</w:t>
              <w:br/>
              <w:t>its general partner</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By: </w:t>
            </w:r>
            <w:r>
              <w:rPr>
                <w:u w:val="single"/>
              </w:rPr>
              <w:t>/s/ Cory Driskill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Name: </w:t>
            </w:r>
            <w:r>
              <w:rPr>
                <w:u w:val="single"/>
              </w:rPr>
              <w:t>Cory Driskill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Title:</w:t>
            </w:r>
            <w:r>
              <w:rPr>
                <w:u w:val="single"/>
              </w:rPr>
              <w:t>   Vice President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Execution Date: </w:t>
            </w:r>
            <w:r>
              <w:rPr>
                <w:u w:val="single"/>
              </w:rPr>
              <w:t>5/6/26            </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TENANT:</w:t>
            </w:r>
          </w:p>
        </w:tc>
        <w:tc>
          <w:tcPr>
            <w:tcW w:w="467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Applied Optoelectronics, Inc.</w:t>
            </w:r>
            <w:r>
              <w:rPr>
                <w:rFonts w:ascii="Times New Roman;Times;Serif" w:hAnsi="Times New Roman;Times;Serif"/>
                <w:b w:val="false"/>
                <w:i w:val="false"/>
                <w:caps w:val="false"/>
                <w:smallCaps w:val="false"/>
                <w:sz w:val="20"/>
              </w:rPr>
              <w:t>,</w:t>
              <w:br/>
              <w:t>a Delaware corporation</w:t>
            </w:r>
          </w:p>
        </w:tc>
      </w:tr>
      <w:tr>
        <w:trPr/>
        <w:tc>
          <w:tcPr>
            <w:tcW w:w="1145" w:type="dxa"/>
            <w:tcBorders/>
            <w:vAlign w:val="center"/>
          </w:tcPr>
          <w:p>
            <w:pPr>
              <w:pStyle w:val="TableContents"/>
              <w:bidi w:val="0"/>
              <w:spacing w:before="0" w:after="283"/>
              <w:jc w:val="both"/>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 </w:t>
            </w:r>
          </w:p>
        </w:tc>
        <w:tc>
          <w:tcPr>
            <w:tcW w:w="4670" w:type="dxa"/>
            <w:gridSpan w:val="4"/>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By: </w:t>
            </w:r>
            <w:r>
              <w:rPr>
                <w:u w:val="single"/>
              </w:rPr>
              <w:t>/s/ Thompson Lin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Name: </w:t>
            </w:r>
            <w:r>
              <w:rPr>
                <w:u w:val="single"/>
              </w:rPr>
              <w:t>Thompson Lin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Title:</w:t>
            </w:r>
            <w:r>
              <w:rPr>
                <w:u w:val="single"/>
              </w:rPr>
              <w:t>   CEO                                  </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xml:space="preserve">Execution Date: </w:t>
            </w:r>
            <w:r>
              <w:rPr>
                <w:u w:val="single"/>
              </w:rPr>
              <w:t>5/8/26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69592</Words>
  <Characters>373344</Characters>
  <CharactersWithSpaces>442919</CharactersWithSpaces>
  <Paragraphs>4880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