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Kuo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*** 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147,209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146,737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146,221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145,814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surrendered to the Issuer to satisfy tax-withholding obligations upon the vesting of restricted stock unit award granted on June 26,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surrendered to the Issuer to satisfy tax-withholding obligations upon the vesting of restricted stock unit award granted on April 29,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shares surrendered to the Issuer to satisfy tax-withholding obligations upon the vesting of restricted stock unit award granted on April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shares surrendered to the Issuer to satisfy tax-withholding obligations upon the vesting of restricted stock unit award granted on February 9,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***Senior Vice President and Chief Legal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7422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711</Words>
  <Characters>3864</Characters>
  <CharactersWithSpaces>4478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