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Murry Stefan J.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APPLIED OPTOELECTRONICS,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13139 JESS PIRTLE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SUGAR LAND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77478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APPLIED OPTOELECTRONICS,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AAOI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884"/>
        <w:gridCol w:w="451"/>
        <w:gridCol w:w="838"/>
        <w:gridCol w:w="1156"/>
        <w:gridCol w:w="993"/>
        <w:gridCol w:w="920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$.001 par value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144.79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371,168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sales were effected pursuant to a Rule 10b5-1 trading plan adopted by the Reporting Person on August 12, 2025. The shares were sold in multiple transactions at actual sale prices ranging from $140.69 to $147.99 per share. The price reported reflects the weighted average sale price for the transactions. The reporting person undertakes to provide upon request by SEC staff, the issuer, or a security holder of the issuer, full information regarding the number of shares sold during each transaction.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C. Kuo, attorney in fact for Stefan J. Murry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587599" TargetMode="External"/><Relationship Id="rId5" Type="http://schemas.openxmlformats.org/officeDocument/2006/relationships/hyperlink" Target="http://www.sec.gov/cgi-bin/browse-edgar?action=getcompany&amp;CIK=000115811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660</Words>
  <Characters>3569</Characters>
  <CharactersWithSpaces>4161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