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Chih-Hsiang (Thompson)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OPTOELECTRONICS,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13139 JESS PIRTLE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OPTOELECTRONICS, INC.</w:t>
              </w:r>
            </w:hyperlink>
            <w:r>
              <w:rPr/>
              <w:t xml:space="preserve"> [ </w:t>
            </w:r>
            <w:r>
              <w:rPr>
                <w:rFonts w:ascii="Times;serif" w:hAnsi="Times;serif"/>
                <w:color w:val="0000FF"/>
                <w:sz w:val="24"/>
                <w:shd w:fill="FFFFFF" w:val="clear"/>
              </w:rPr>
              <w:t>AAOI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1"/>
        <w:gridCol w:w="918"/>
        <w:gridCol w:w="787"/>
        <w:gridCol w:w="610"/>
        <w:gridCol w:w="345"/>
        <w:gridCol w:w="875"/>
        <w:gridCol w:w="435"/>
        <w:gridCol w:w="660"/>
        <w:gridCol w:w="1267"/>
        <w:gridCol w:w="982"/>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9,251</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1,296,047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807,602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Thompson Lin Family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were granted under the Company's 2026 Equity Incentive Plan, one-sixteen of the RSUs vest every three months and the first vesting occurs on January 21,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indirectly held in the Family Trust through the ownership of interests in the LLC are for the benefit of the reporting person's heirs. The reporting person is the settlor of the irrevocable Family Trust, where The Bryn Mawr Trust Company of Delaware serves as trustee which may be replaced at the discretion of the reporting person. The reporting person disclaims beneficial ownership of these securities except to the extent of his voting power therein, and the inclusion of these shares in this report shall not be deemed an admission of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C. Kuo, attorney in fact for Chih-Hsiang (Thompson)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7420" TargetMode="External"/><Relationship Id="rId5" Type="http://schemas.openxmlformats.org/officeDocument/2006/relationships/hyperlink" Target="http://www.sec.gov/cgi-bin/browse-edgar?action=getcompany&amp;CIK=0001158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3933</Characters>
  <CharactersWithSpaces>4593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