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ind w:left="0" w:right="0" w:hanging="0"/>
        <w:jc w:val="left"/>
        <w:rPr>
          <w:bdr w:val="single" w:sz="16" w:space="1" w:color="000000"/>
        </w:rPr>
      </w:pPr>
      <w:bookmarkStart w:id="0" w:name="tm2623389d2_8k.htm"/>
      <w:bookmarkStart w:id="1" w:name="kstm2623389d2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1_edei--DocumentType_c2026082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1_edei--EntityRegistrantName_c2026"/>
      <w:bookmarkEnd w:id="4"/>
      <w:r>
        <w:rPr>
          <w:rFonts w:ascii="Times New Roman;Times;Serif" w:hAnsi="Times New Roman;Times;Serif"/>
          <w:b/>
          <w:i w:val="false"/>
          <w:caps w:val="false"/>
          <w:smallCaps w:val="false"/>
          <w:sz w:val="28"/>
        </w:rPr>
        <w:t>Applied Optoelectronics,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2525"/>
        <w:gridCol w:w="2300"/>
        <w:gridCol w:w="2540"/>
      </w:tblGrid>
      <w:tr>
        <w:trPr/>
        <w:tc>
          <w:tcPr>
            <w:tcW w:w="2525"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2300" w:type="dxa"/>
            <w:tcBorders/>
            <w:vAlign w:val="center"/>
          </w:tcPr>
          <w:p>
            <w:pPr>
              <w:pStyle w:val="TableContents"/>
              <w:bidi w:val="0"/>
              <w:spacing w:before="0" w:after="283"/>
              <w:jc w:val="center"/>
              <w:rPr>
                <w:rFonts w:ascii="Times New Roman;Times;Serif" w:hAnsi="Times New Roman;Times;Serif"/>
                <w:b/>
                <w:sz w:val="20"/>
                <w:shd w:fill="FFFFFF" w:val="clear"/>
              </w:rPr>
            </w:pPr>
            <w:bookmarkStart w:id="6" w:name="xdx_903_edei--EntityFileNumber_c20260821"/>
            <w:bookmarkEnd w:id="6"/>
            <w:r>
              <w:rPr>
                <w:rFonts w:ascii="Times New Roman;Times;Serif" w:hAnsi="Times New Roman;Times;Serif"/>
                <w:b/>
                <w:sz w:val="20"/>
                <w:shd w:fill="FFFFFF" w:val="clear"/>
              </w:rPr>
              <w:t>001-36083</w:t>
            </w:r>
          </w:p>
        </w:tc>
        <w:tc>
          <w:tcPr>
            <w:tcW w:w="2540"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76-0533927</w:t>
            </w:r>
          </w:p>
        </w:tc>
      </w:tr>
      <w:tr>
        <w:trPr/>
        <w:tc>
          <w:tcPr>
            <w:tcW w:w="25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or other jurisdiction of </w:t>
              <w:br/>
              <w:t>incorporation)</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25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Identification </w:t>
              <w:br/>
              <w:t>No.)</w:t>
            </w:r>
          </w:p>
        </w:tc>
      </w:tr>
    </w:tbl>
    <w:p>
      <w:pPr>
        <w:pStyle w:val="TextBody"/>
        <w:bidi w:val="0"/>
        <w:spacing w:before="0" w:after="0"/>
        <w:ind w:left="0" w:right="0" w:hanging="0"/>
        <w:jc w:val="center"/>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995"/>
        <w:gridCol w:w="1145"/>
      </w:tblGrid>
      <w:tr>
        <w:trPr/>
        <w:tc>
          <w:tcPr>
            <w:tcW w:w="39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13139 Jess Pirtle Blvd.</w:t>
            </w:r>
          </w:p>
        </w:tc>
        <w:tc>
          <w:tcPr>
            <w:tcW w:w="114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center"/>
              <w:rPr>
                <w:b/>
              </w:rPr>
            </w:pPr>
            <w:bookmarkStart w:id="9" w:name="xdx_90C_edei--EntityAddressCityOrTown_c2"/>
            <w:bookmarkEnd w:id="9"/>
            <w:r>
              <w:rPr>
                <w:b/>
              </w:rPr>
              <w:t xml:space="preserve">Sugar Land, </w:t>
            </w:r>
            <w:bookmarkStart w:id="10" w:name="xdx_905_edei--EntityAddressStateOrProvin"/>
            <w:bookmarkEnd w:id="10"/>
            <w:r>
              <w:rPr>
                <w:b/>
              </w:rPr>
              <w:t xml:space="preserve">Texas </w:t>
            </w:r>
          </w:p>
        </w:tc>
        <w:tc>
          <w:tcPr>
            <w:tcW w:w="1145" w:type="dxa"/>
            <w:tcBorders/>
            <w:vAlign w:val="center"/>
          </w:tcPr>
          <w:p>
            <w:pPr>
              <w:pStyle w:val="TableContents"/>
              <w:bidi w:val="0"/>
              <w:spacing w:before="0" w:after="283"/>
              <w:jc w:val="center"/>
              <w:rPr>
                <w:b/>
              </w:rPr>
            </w:pPr>
            <w:bookmarkStart w:id="11" w:name="xdx_90E_edei--EntityAddressPostalZipCode"/>
            <w:bookmarkEnd w:id="11"/>
            <w:r>
              <w:rPr>
                <w:b/>
              </w:rPr>
              <w:t>77478</w:t>
            </w:r>
          </w:p>
        </w:tc>
      </w:tr>
      <w:tr>
        <w:trPr/>
        <w:tc>
          <w:tcPr>
            <w:tcW w:w="3995" w:type="dxa"/>
            <w:tcBorders/>
            <w:vAlign w:val="center"/>
          </w:tcPr>
          <w:p>
            <w:pPr>
              <w:pStyle w:val="TableContents"/>
              <w:bidi w:val="0"/>
              <w:spacing w:before="0" w:after="283"/>
              <w:jc w:val="center"/>
              <w:rPr>
                <w:b/>
              </w:rPr>
            </w:pPr>
            <w:r>
              <w:rPr>
                <w:b/>
              </w:rPr>
              <w:t xml:space="preserve">(Address of principal executive offices)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1_edei--CityAreaCode_c20260821__20"/>
      <w:bookmarkEnd w:id="12"/>
      <w:r>
        <w:rPr>
          <w:rFonts w:ascii="Times New Roman;Times;Serif" w:hAnsi="Times New Roman;Times;Serif"/>
          <w:b/>
          <w:i w:val="false"/>
          <w:caps w:val="false"/>
          <w:smallCaps w:val="false"/>
          <w:sz w:val="20"/>
        </w:rPr>
        <w:t xml:space="preserve">281) </w:t>
      </w:r>
      <w:bookmarkStart w:id="13" w:name="xdx_902_edei--LocalPhoneNumber_c20260821"/>
      <w:bookmarkEnd w:id="13"/>
      <w:r>
        <w:rPr>
          <w:rFonts w:ascii="Times New Roman;Times;Serif" w:hAnsi="Times New Roman;Times;Serif"/>
          <w:b/>
          <w:i w:val="false"/>
          <w:caps w:val="false"/>
          <w:smallCaps w:val="false"/>
          <w:sz w:val="20"/>
        </w:rPr>
        <w:t>295-1800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144" w:right="288" w:firstLine="432"/>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D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1_edei--SolicitingMaterial_c202608"/>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070" w:type="dxa"/>
        <w:jc w:val="left"/>
        <w:tblInd w:w="-10" w:type="dxa"/>
        <w:tblLayout w:type="fixed"/>
        <w:tblCellMar>
          <w:top w:w="28" w:type="dxa"/>
          <w:left w:w="28" w:type="dxa"/>
          <w:bottom w:w="0" w:type="dxa"/>
          <w:right w:w="0" w:type="dxa"/>
        </w:tblCellMar>
      </w:tblPr>
      <w:tblGrid>
        <w:gridCol w:w="2855"/>
        <w:gridCol w:w="1610"/>
        <w:gridCol w:w="3605"/>
      </w:tblGrid>
      <w:tr>
        <w:trPr/>
        <w:tc>
          <w:tcPr>
            <w:tcW w:w="285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sz w:val="20"/>
                <w:shd w:fill="FFFFFF" w:val="clear"/>
              </w:rPr>
            </w:pPr>
            <w:r>
              <w:rPr>
                <w:rFonts w:ascii="Times New Roman;Times;Serif" w:hAnsi="Times New Roman;Times;Serif"/>
                <w:b/>
                <w:sz w:val="20"/>
                <w:shd w:fill="FFFFFF" w:val="clear"/>
              </w:rPr>
              <w:t>Trading Symbol(s)</w:t>
            </w:r>
          </w:p>
        </w:tc>
        <w:tc>
          <w:tcPr>
            <w:tcW w:w="3605"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Name of each exchange on which </w:t>
              <w:br/>
              <w:t>registered</w:t>
            </w:r>
          </w:p>
        </w:tc>
      </w:tr>
      <w:tr>
        <w:trPr/>
        <w:tc>
          <w:tcPr>
            <w:tcW w:w="285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shd w:fill="FFFFFF" w:val="clear"/>
              </w:rPr>
            </w:pPr>
            <w:bookmarkStart w:id="18" w:name="xdx_908_edei--Security12bTitle_c20260821"/>
            <w:bookmarkEnd w:id="18"/>
            <w:r>
              <w:rPr>
                <w:rFonts w:ascii="Times New Roman;Times;Serif" w:hAnsi="Times New Roman;Times;Serif"/>
                <w:b/>
                <w:sz w:val="20"/>
                <w:shd w:fill="FFFFFF" w:val="clear"/>
              </w:rPr>
              <w:t>Common Stock, Par value $0.001</w:t>
            </w:r>
          </w:p>
        </w:tc>
        <w:tc>
          <w:tcPr>
            <w:tcW w:w="161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9" w:name="xdx_901_edei--TradingSymbol_c20260821__2"/>
            <w:bookmarkEnd w:id="19"/>
            <w:r>
              <w:rPr>
                <w:rFonts w:ascii="Times New Roman;Times;Serif" w:hAnsi="Times New Roman;Times;Serif"/>
                <w:b/>
                <w:sz w:val="20"/>
              </w:rPr>
              <w:t>AAOI</w:t>
            </w:r>
          </w:p>
        </w:tc>
        <w:tc>
          <w:tcPr>
            <w:tcW w:w="3605" w:type="dxa"/>
            <w:tcBorders>
              <w:top w:val="single" w:sz="8" w:space="0" w:color="000000"/>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center"/>
              <w:rPr>
                <w:rFonts w:ascii="Times New Roman;Times;Serif" w:hAnsi="Times New Roman;Times;Serif"/>
                <w:b/>
                <w:sz w:val="20"/>
              </w:rPr>
            </w:pPr>
            <w:bookmarkStart w:id="20" w:name="xdx_908_edei--SecurityExchangeName_c2026"/>
            <w:bookmarkEnd w:id="20"/>
            <w:r>
              <w:rPr>
                <w:rFonts w:ascii="Times New Roman;Times;Serif" w:hAnsi="Times New Roman;Times;Serif"/>
                <w:b/>
                <w:sz w:val="20"/>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Applied Optoelectronics, Inc. (the “Company”) entered into an Equity Distribution Agreement (the “Agreement”) with Raymond James &amp; Associates, Inc. and Needham &amp; Company, LLC (collectively, the “Sales Agents”) pursuant to which the Company may issue and sell shares of the Company’s common stock, par value $0.001 per share (the “Shares”) having an aggregate offering price of up to $600 million from time to time through the Sales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placement notice and subject to the terms and conditions of the Agreement, sales, if any, of the Shares will be made through the Sales Agents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Agents. In the placement notice, the Company will designate the maximum number of Shares to be sold through the Sales Agents, the time period during which sales are requested to be made, the minimum price for the Shares to be sold, and any limitation on the number of Shares that may be sold in any one day. Subject to the terms and conditions of the Agreement, the Sales Agents will use their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provides that the Sales Agents will be entitled to compensation of 2% of the gross sales price of the Shares sold through the Sales Agents from time to time. The Company has also agreed to reimburse the Sales Agents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Agents for reasonable out-of-pocket expenses, including the reasonable fees and disbursements of counsel incurred by the Sales Agents, up to a maximum of $30,000 in the aggregate. The Company agreed to indemnify the Sales Agents against certain liabilities, including liabilities under the Securities Act, or to contribute to payments that the Sales Agents may be required to make because of any of those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pursuant to the Agreement will terminate upon the sale of all Shares subject to the Agreement. The Agreement may also be terminated by the Company or by the Sales Agents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to be issued and sold have been registered under the Securities Act, pursuant to the Company’s automatic shelf registration statement on Form S-3ASR (Registration No. 333-283905), including the prospectus contained therein, as supplemented by the prospectus supplement filed with the Securities and Exchange Commission (the “SEC”) pursuant to Rule 424(b) under the Securities Act on 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does not purport to be complete and is qualified in its entirety by reference to the complete text of the Agreement, which is filed as Exhibit 1.1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3389d2_ex1-1.htm">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3389d2_ex1-1.htm">
              <w:r>
                <w:rPr>
                  <w:rStyle w:val="InternetLink"/>
                  <w:rFonts w:ascii="Times New Roman;Times;Serif" w:hAnsi="Times New Roman;Times;Serif"/>
                  <w:sz w:val="20"/>
                </w:rPr>
                <w:t>Equity Distribution Agreement, dated August 21, 2026, among Applied Optoelectronics, Inc., Raymond James &amp; Associates, Inc., and Needham &amp; Company, LLC.</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Common Stock Specimen (incorporated by reference to Exhibit 4.1 of Applied Optoelectronics, Inc’s Form 8-K (File No. 001-36083) filed with the SEC on November 14, 2016).</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23389d2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3389d2_ex5-1.htm">
              <w:r>
                <w:rPr>
                  <w:rStyle w:val="InternetLink"/>
                  <w:rFonts w:ascii="Times New Roman;Times;Serif" w:hAnsi="Times New Roman;Times;Serif"/>
                  <w:sz w:val="20"/>
                </w:rPr>
                <w:t>Opinion of Haynes and Boone, LLP.</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23389d2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3389d2_ex5-1.htm">
              <w:r>
                <w:rPr>
                  <w:rStyle w:val="InternetLink"/>
                  <w:rFonts w:ascii="Times New Roman;Times;Serif" w:hAnsi="Times New Roman;Times;Serif"/>
                  <w:sz w:val="20"/>
                </w:rPr>
                <w:t>Consent of Haynes and Boone, LLP (included in Exhibit 5.1).</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File (the cover page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35" w:type="dxa"/>
        <w:jc w:val="left"/>
        <w:tblInd w:w="0" w:type="dxa"/>
        <w:tblLayout w:type="fixed"/>
        <w:tblCellMar>
          <w:top w:w="0" w:type="dxa"/>
          <w:left w:w="0" w:type="dxa"/>
          <w:bottom w:w="0" w:type="dxa"/>
          <w:right w:w="0" w:type="dxa"/>
        </w:tblCellMar>
      </w:tblPr>
      <w:tblGrid>
        <w:gridCol w:w="1865"/>
        <w:gridCol w:w="545"/>
        <w:gridCol w:w="3725"/>
      </w:tblGrid>
      <w:tr>
        <w:trPr/>
        <w:tc>
          <w:tcPr>
            <w:tcW w:w="1865"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APPLIED OPTOELECTRONICS, INC.</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21,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C. Kuo</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C. Kuo</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3389d2_ex1-1.htm"/>
      <w:bookmarkStart w:id="23" w:name="kstm2623389d2_ex11"/>
      <w:bookmarkEnd w:id="22"/>
      <w:bookmarkEnd w:id="23"/>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 Distribution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&amp; Associates, Inc.</w:t>
        <w:br/>
        <w:t>880 Carillon Parkway</w:t>
        <w:br/>
        <w:t>St. Petersburg, Florida 33716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&amp;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Park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with Raymond James &amp; Associates, Inc. and Needham &amp; Company, LLC (together, the “</w:t>
      </w:r>
      <w:r>
        <w:rPr>
          <w:rFonts w:ascii="Times New Roman;Times;Serif" w:hAnsi="Times New Roman;Times;Serif"/>
          <w:b/>
          <w:i w:val="false"/>
          <w:caps w:val="false"/>
          <w:smallCaps w:val="false"/>
          <w:sz w:val="20"/>
          <w:u w:val="single"/>
        </w:rPr>
        <w:t>Agents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u w:val="single"/>
        </w:rPr>
        <w:t>Agent</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through the Agents, up to $600,000,000 aggregate gross proceeds of shares (the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of the Company’s common stock, par value $0.001 per share (the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Notwithstanding anything to the contrary contained herein, the parties hereto agree that compliance with the limitations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on the number of Shares issued and sold under this Agreement shall be the sole responsibility of the Company. The issuance and sale of Shares through the Agents will be effected pursuant to the Registration Statement (as defined below) filed by the Company with the Securities and Exchange Commission (the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although nothing in this Agreement shall be construed as requiring the Company to use the Registration Statement to offer, sell or issue the Shares. The Company agrees that the Agents shall be under no obligation to purchase Shares on a principal basis pursuant to this Agreement, except as otherwise agreed in a separate written agreement containing the terms and conditions of such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in accordance with the provisions of the Securities Act of 1933, as amended, and the rules and regulations thereunder (collectively,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with the Commission a registration statement on Form S-3ASR (File No. 333-283905), including a base prospectus, relating to certain securities, including the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supplement specifically relating to the Shares to the base prospectus included as part of such registration statement. The Company will furnish to the Agents, for use by the Agents, copies of the base prospectus included as part of such registration statement, as amended, as supplemented by the Prospectus Supplement, relating to the Shares. Except where the context otherwise requires, such registration statement, including all documents filed as part thereof or incorporated by reference therein, and including any information contained in or incorporated by reference in a Prospectus (as defined below) subsequently filed with the Commission pursuant to Rule 424(b) under the Securities Act or deemed to be a part of such registration statement pursuant to Rule 430B under the Securities Act, is herein called the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Except where the context requires otherwise, the term “</w:t>
      </w:r>
      <w:r>
        <w:rPr>
          <w:rFonts w:ascii="Times New Roman;Times;Serif" w:hAnsi="Times New Roman;Times;Serif"/>
          <w:b/>
          <w:i w:val="false"/>
          <w:caps w:val="false"/>
          <w:smallCaps w:val="false"/>
          <w:sz w:val="20"/>
          <w:u w:val="single"/>
        </w:rPr>
        <w:t>Base Prospectus</w:t>
      </w:r>
      <w:r>
        <w:rPr>
          <w:rFonts w:ascii="Times New Roman;Times;Serif" w:hAnsi="Times New Roman;Times;Serif"/>
          <w:b w:val="false"/>
          <w:i w:val="false"/>
          <w:caps w:val="false"/>
          <w:smallCaps w:val="false"/>
          <w:sz w:val="20"/>
        </w:rPr>
        <w:t>” means the prospectus dated December 18, 2024, filed as part of the Registration Statement, including all documents incorporated therein by reference as of the date of such prospectus. Except where the context requires otherwise, the term “</w:t>
      </w:r>
      <w:r>
        <w:rPr>
          <w:rFonts w:ascii="Times New Roman;Times;Serif" w:hAnsi="Times New Roman;Times;Serif"/>
          <w:b/>
          <w:i w:val="false"/>
          <w:caps w:val="false"/>
          <w:smallCaps w:val="false"/>
          <w:sz w:val="20"/>
          <w:u w:val="single"/>
        </w:rPr>
        <w:t>Prospectus Supplement</w:t>
      </w:r>
      <w:r>
        <w:rPr>
          <w:rFonts w:ascii="Times New Roman;Times;Serif" w:hAnsi="Times New Roman;Times;Serif"/>
          <w:b w:val="false"/>
          <w:i w:val="false"/>
          <w:caps w:val="false"/>
          <w:smallCaps w:val="false"/>
          <w:sz w:val="20"/>
        </w:rPr>
        <w:t xml:space="preserve">” means the most recent prospectus supplement that relates to the Shares, to be filed by the Company with the Commission pursuant to Rule 424(b) under the Securities Act on or before the second Business Day (as defined in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after the date hereof (or such earlier time as may be required under the Securities Act), in the form furnished to the Agents in connection with the offering of the Shares. Except where the context otherwise requires, the term “</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Supplement, together with the Base Prospectus attached to or used with the Prospectus Supplement, together with any issuer free writing prospectus (as defined below) that relates to the Shares. As used herein, “</w:t>
      </w:r>
      <w:r>
        <w:rPr>
          <w:rFonts w:ascii="Times New Roman;Times;Serif" w:hAnsi="Times New Roman;Times;Serif"/>
          <w:b/>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has the meaning set forth in Rule 433 under the Securities Act, and “</w:t>
      </w:r>
      <w:r>
        <w:rPr>
          <w:rFonts w:ascii="Times New Roman;Times;Serif" w:hAnsi="Times New Roman;Times;Serif"/>
          <w:b/>
          <w:i w:val="false"/>
          <w:caps w:val="false"/>
          <w:smallCaps w:val="false"/>
          <w:sz w:val="20"/>
          <w:u w:val="single"/>
        </w:rPr>
        <w:t>free writing prospectus</w:t>
      </w:r>
      <w:r>
        <w:rPr>
          <w:rFonts w:ascii="Times New Roman;Times;Serif" w:hAnsi="Times New Roman;Times;Serif"/>
          <w:b w:val="false"/>
          <w:i w:val="false"/>
          <w:caps w:val="false"/>
          <w:smallCaps w:val="false"/>
          <w:sz w:val="20"/>
        </w:rPr>
        <w:t>” has the meaning set forth in Rule 405 under the Securities Act.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All references in this Agreement to (i) the Registration Statement or the Prospectus, or any amendments or supplements to any of the foregoing, shall include any copy thereof filed with the Commission pursuant to its Electronic Data Gathering, Analysis and Retrieval System (“</w:t>
      </w:r>
      <w:r>
        <w:rPr>
          <w:rFonts w:ascii="Times New Roman;Times;Serif" w:hAnsi="Times New Roman;Times;Serif"/>
          <w:b/>
          <w:i w:val="false"/>
          <w:caps w:val="false"/>
          <w:smallCaps w:val="false"/>
          <w:sz w:val="20"/>
          <w:u w:val="single"/>
        </w:rPr>
        <w:t>EDGAR</w:t>
      </w:r>
      <w:r>
        <w:rPr>
          <w:rFonts w:ascii="Times New Roman;Times;Serif" w:hAnsi="Times New Roman;Times;Serif"/>
          <w:b w:val="false"/>
          <w:i w:val="false"/>
          <w:caps w:val="false"/>
          <w:smallCaps w:val="false"/>
          <w:sz w:val="20"/>
        </w:rPr>
        <w:t xml:space="preserve">”) and (ii) the Prospectus shall be deemed to include the “electronic Prospectus” provided for use in connection with the offering of the Shares as contemplated by </w:t>
      </w:r>
      <w:r>
        <w:rPr>
          <w:rFonts w:ascii="Times New Roman;Times;Serif" w:hAnsi="Times New Roman;Times;Serif"/>
          <w:b w:val="false"/>
          <w:i w:val="false"/>
          <w:caps w:val="false"/>
          <w:smallCaps w:val="false"/>
          <w:sz w:val="20"/>
          <w:u w:val="single"/>
        </w:rPr>
        <w:t>Section 7(x)</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Shares hereunder (each, a “</w:t>
      </w:r>
      <w:r>
        <w:rPr>
          <w:rFonts w:ascii="Times New Roman;Times;Serif" w:hAnsi="Times New Roman;Times;Serif"/>
          <w:b/>
          <w:i w:val="false"/>
          <w:caps w:val="false"/>
          <w:smallCaps w:val="false"/>
          <w:sz w:val="20"/>
          <w:u w:val="single"/>
        </w:rPr>
        <w:t>Placement</w:t>
      </w:r>
      <w:r>
        <w:rPr>
          <w:rFonts w:ascii="Times New Roman;Times;Serif" w:hAnsi="Times New Roman;Times;Serif"/>
          <w:b w:val="false"/>
          <w:i w:val="false"/>
          <w:caps w:val="false"/>
          <w:smallCaps w:val="false"/>
          <w:sz w:val="20"/>
        </w:rPr>
        <w:t>”), it will notify one or both of the Agents by email notice (or other method mutually agreed to in writing by the parties) containing the parameters in accordance with which it desires the Shares to be sold, which shall at a minimum include the number of Shares to be issued (the “</w:t>
      </w:r>
      <w:r>
        <w:rPr>
          <w:rFonts w:ascii="Times New Roman;Times;Serif" w:hAnsi="Times New Roman;Times;Serif"/>
          <w:b/>
          <w:i w:val="false"/>
          <w:caps w:val="false"/>
          <w:smallCaps w:val="false"/>
          <w:sz w:val="20"/>
          <w:u w:val="single"/>
        </w:rPr>
        <w:t>Placement Shares</w:t>
      </w:r>
      <w:r>
        <w:rPr>
          <w:rFonts w:ascii="Times New Roman;Times;Serif" w:hAnsi="Times New Roman;Times;Serif"/>
          <w:b w:val="false"/>
          <w:i w:val="false"/>
          <w:caps w:val="false"/>
          <w:smallCaps w:val="false"/>
          <w:sz w:val="20"/>
        </w:rPr>
        <w:t xml:space="preserve">”), the time period during which sales are requested to be made, any limitation on the number of Shares that may be sold in any one Trading Day (as defined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Sale of Placement Shares by the Agents</w:t>
      </w:r>
      <w:r>
        <w:rPr>
          <w:rFonts w:ascii="Times New Roman;Times;Serif" w:hAnsi="Times New Roman;Times;Serif"/>
          <w:b w:val="false"/>
          <w:i w:val="false"/>
          <w:caps w:val="false"/>
          <w:smallCaps w:val="false"/>
          <w:sz w:val="20"/>
        </w:rPr>
        <w:t>) below) and any minimum price below which sales may not be made (a “</w:t>
      </w:r>
      <w:r>
        <w:rPr>
          <w:rFonts w:ascii="Times New Roman;Times;Serif" w:hAnsi="Times New Roman;Times;Serif"/>
          <w:b/>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a form of which containing such minimum sales parameters necessary is attached hereto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Placement Notice shall originate from any of the individuals from the Company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attached hereto (with a copy to each of the other individuals from the Company listed on such schedule), and shall be addressed to each of the individuals from the Applicable Agent (as defined below)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may be amended from time to time. The Placement Notice shall be effective upon receipt and prompt confirmation by the Applicable Agent (and after such confirmation by the Agent, any Agent bound to such terms is referred to as an “</w:t>
      </w:r>
      <w:r>
        <w:rPr>
          <w:rFonts w:ascii="Times New Roman;Times;Serif" w:hAnsi="Times New Roman;Times;Serif"/>
          <w:b/>
          <w:i w:val="false"/>
          <w:caps w:val="false"/>
          <w:smallCaps w:val="false"/>
          <w:sz w:val="20"/>
          <w:u w:val="single"/>
        </w:rPr>
        <w:t>Applicable Agent</w:t>
      </w:r>
      <w:r>
        <w:rPr>
          <w:rFonts w:ascii="Times New Roman;Times;Serif" w:hAnsi="Times New Roman;Times;Serif"/>
          <w:b w:val="false"/>
          <w:i w:val="false"/>
          <w:caps w:val="false"/>
          <w:smallCaps w:val="false"/>
          <w:sz w:val="20"/>
        </w:rPr>
        <w:t xml:space="preserve">”) unless and until (i) in accordance with the notice requirements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Suspension of Sales</w:t>
      </w:r>
      <w:r>
        <w:rPr>
          <w:rFonts w:ascii="Times New Roman;Times;Serif" w:hAnsi="Times New Roman;Times;Serif"/>
          <w:b w:val="false"/>
          <w:i w:val="false"/>
          <w:caps w:val="false"/>
          <w:smallCaps w:val="false"/>
          <w:sz w:val="20"/>
        </w:rPr>
        <w:t xml:space="preserve">) hereof, the Applicable Agent declines to accept the terms contained therein for any reason, in its sole discretion, and the Applicable Agent provides notice thereof to the Company within one Business Day, (ii) the entire amount of the Placement Shares has been sold, (iii) in accordance with the notice requirements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Suspension of Sales</w:t>
      </w:r>
      <w:r>
        <w:rPr>
          <w:rFonts w:ascii="Times New Roman;Times;Serif" w:hAnsi="Times New Roman;Times;Serif"/>
          <w:b w:val="false"/>
          <w:i w:val="false"/>
          <w:caps w:val="false"/>
          <w:smallCaps w:val="false"/>
          <w:sz w:val="20"/>
        </w:rPr>
        <w:t xml:space="preserve">) hereof, the Company suspends, cancels or terminates the Placement Notice, (iv) the Company issues a subsequent Placement Notice with parameters superseding those on the earlier dated Placement Notice, or (v) this Agreement has been terminated under the provisions of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Termination of this Agreement</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compensation to be paid by the Company to the Applicable Agent in connection with the sale of the Placement Shares shall be 2% of the gross proceeds from the sales of the Placement Shares sold pursuant to this Agreement. Under no circumstances shall the Company cause or request the offer or sale of any Placement Shares at a price lower than the minimum price authorized from time to time by the Company’s board of directors or duly authorized committee thereof, and notified to the Applicable Agent in writing, nor shall the Company cause or request the offer or sale of any Placement Shares in a number or with an aggregate gross or net sales price in excess of the number or aggregate gross or net sales price, as the case may be, authorized from time to time to be issued and sold under this Agreement, in each case by the Company’s board of directors or duly authorized committee thereof, or in a number in excess of the number of Shares approved for listing on The Nasdaq Global Market (the “</w:t>
      </w:r>
      <w:r>
        <w:rPr>
          <w:rFonts w:ascii="Times New Roman;Times;Serif" w:hAnsi="Times New Roman;Times;Serif"/>
          <w:b/>
          <w:i w:val="false"/>
          <w:caps w:val="false"/>
          <w:smallCaps w:val="false"/>
          <w:sz w:val="20"/>
          <w:u w:val="single"/>
        </w:rPr>
        <w:t>Exchange</w:t>
      </w:r>
      <w:r>
        <w:rPr>
          <w:rFonts w:ascii="Times New Roman;Times;Serif" w:hAnsi="Times New Roman;Times;Serif"/>
          <w:b w:val="false"/>
          <w:i w:val="false"/>
          <w:caps w:val="false"/>
          <w:smallCaps w:val="false"/>
          <w:sz w:val="20"/>
        </w:rPr>
        <w:t>”), or in excess of the number or amount of Shares available for issuance on the Registration Statement. It is expressly acknowledged and agreed that neither the Company nor the Applicable Agent will have any obligation whatsoever with respect to a Placement or any Placement Shares unless and until the Company delivers a Placement Notice to the Applicable Agent, receipt of which is promptly confirmed by the Applicable Agent, and then only upon the terms specified therein and herein. In the event of a conflict between the terms of this Agreement and the terms of a Placement Notice, the terms of the Placement Notice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Sale of Placement Shares by the Agents</w:t>
      </w:r>
      <w:r>
        <w:rPr>
          <w:rFonts w:ascii="Times New Roman;Times;Serif" w:hAnsi="Times New Roman;Times;Serif"/>
          <w:b w:val="false"/>
          <w:i w:val="false"/>
          <w:caps w:val="false"/>
          <w:smallCaps w:val="false"/>
          <w:sz w:val="20"/>
        </w:rPr>
        <w:t xml:space="preserve">. Subject to the terms and conditions herein set forth, upon the Company’s issuance of a Placement Notice to the Applicable Agent, receipt of which is promptly confirmed by the Applicable Agent, and unless the sale of the Placement Shares described therein has been declined, suspended, canceled or otherwise terminated in accordance with the terms of this Agreement, the Applicable Agent,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and otherwise in accordance with the terms of such Placement Notice. The Applicable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prices at which such Placement Shares were sold, the gross proceeds from such sales, the compensation payable by the Company to the Agents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Placements</w:t>
      </w:r>
      <w:r>
        <w:rPr>
          <w:rFonts w:ascii="Times New Roman;Times;Serif" w:hAnsi="Times New Roman;Times;Serif"/>
          <w:b w:val="false"/>
          <w:i w:val="false"/>
          <w:caps w:val="false"/>
          <w:smallCaps w:val="false"/>
          <w:sz w:val="20"/>
        </w:rPr>
        <w:t xml:space="preserve">) hereof with respect to such sales, and the Net Proceeds (as defined below) payable to the Company, with an itemization of the deductions made by the Agents (as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Settlement</w:t>
      </w:r>
      <w:r>
        <w:rPr>
          <w:rFonts w:ascii="Times New Roman;Times;Serif" w:hAnsi="Times New Roman;Times;Serif"/>
          <w:b w:val="false"/>
          <w:i w:val="false"/>
          <w:caps w:val="false"/>
          <w:smallCaps w:val="false"/>
          <w:sz w:val="20"/>
        </w:rPr>
        <w:t xml:space="preserve">) hereof) from the gross proceeds that it receives from such sales. Unless otherwise set forth in the Placement Notice, the Applicable Agent may sell Placement Shares by any method permitted by law deemed to be an “at the market” offering as defined in Rule 415 of the Securities Act, including without limitation sales made directly on the Exchange, on any other existing trading market for the Common Stock or to or through a market maker. With prior consent of the Company, and subject to the terms of the Placement Notice, the Agents may also sell Placement Shares in privately negotiated transactions. The Company and the Applicable Agent represent that a majority of the sales of Placement Shares pursuant to this Agreement will be made to the public and not in privately negotiated transactions. The Company acknowledges and agrees that (i) there can be no assurance that the Applicable Agent will be successful in selling Placement Shares, and (ii) the Applicable Agent will incur no liability or obligation to the Company or any other person or entity if it does not sell Placement Shares for any reason other than a failure by the Applicable Agent to use its commercially reasonable efforts consistent with its normal trading and sales practices to sell such Placement Shares as required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For the purposes hereof,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Common Stock is traded on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Suspension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or the Applicable Agent may, upon notice to the other party in writing (including by email correspondence to each of the individuals of the other party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suspend any sale of Placement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such suspension shall not affect or impair either party’s obligations with respect to any Placement Shares sold hereunder prior to the receipt of such notice. Each of the parties agrees that no such notice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effective against the other unless it is made to one of the individuals named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as such Schedule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 other provision of this Agreement, the Company shall not offer or sell, or request the offer or sale of, any of the Placement Shares and, by notice to the Applicable Agent in writing (including by email correspondence to each of the individuals of the Applicable Agent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if receipt of such correspondence is actually acknowledged by any of the individuals to whom the notice is sent, other than via auto-reply) or by telephone (confirmed immediately by verifiable facsimile transmission or email correspondence to each of the individuals of the Applicable Agent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shall cancel any instructions for the offer or sale of any of the Placement Shares, and upon delivery of such notice, receipt of which is promptly confirmed by the Applicable Agent, the Applicable Agent shall not offer or sell any of the Placement Shares during any period in which the Company is in possession of such material non-public information and as provided in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val="false"/>
          <w:caps w:val="false"/>
          <w:smallCaps w:val="false"/>
          <w:sz w:val="20"/>
        </w:rPr>
        <w:t>. Unless otherwise specified in the applicable Placement Notice, settlement for sales of Placement Shares will occur on the first (1st) Trading Day (or such earlier day as is industry practice for regular-way trading) following the date on which such sales are made (each, a “</w:t>
      </w:r>
      <w:r>
        <w:rPr>
          <w:rFonts w:ascii="Times New Roman;Times;Serif" w:hAnsi="Times New Roman;Times;Serif"/>
          <w:b/>
          <w:i w:val="false"/>
          <w:caps w:val="false"/>
          <w:smallCaps w:val="false"/>
          <w:sz w:val="20"/>
          <w:u w:val="single"/>
        </w:rPr>
        <w:t>Settlement Date</w:t>
      </w:r>
      <w:r>
        <w:rPr>
          <w:rFonts w:ascii="Times New Roman;Times;Serif" w:hAnsi="Times New Roman;Times;Serif"/>
          <w:b w:val="false"/>
          <w:i w:val="false"/>
          <w:caps w:val="false"/>
          <w:smallCaps w:val="false"/>
          <w:sz w:val="20"/>
        </w:rPr>
        <w:t>”). The amount of proceeds to be delivered to the Company on a Settlement Date against receipt of the Placement Shares sold (the “</w:t>
      </w:r>
      <w:r>
        <w:rPr>
          <w:rFonts w:ascii="Times New Roman;Times;Serif" w:hAnsi="Times New Roman;Times;Serif"/>
          <w:b/>
          <w:i w:val="false"/>
          <w:caps w:val="false"/>
          <w:smallCaps w:val="false"/>
          <w:sz w:val="20"/>
          <w:u w:val="single"/>
        </w:rPr>
        <w:t>Net Proceeds</w:t>
      </w:r>
      <w:r>
        <w:rPr>
          <w:rFonts w:ascii="Times New Roman;Times;Serif" w:hAnsi="Times New Roman;Times;Serif"/>
          <w:b w:val="false"/>
          <w:i w:val="false"/>
          <w:caps w:val="false"/>
          <w:smallCaps w:val="false"/>
          <w:sz w:val="20"/>
        </w:rPr>
        <w:t xml:space="preserve">”) will be equal to the aggregate sales price received by the Applicable Agent for the sale of such Placement Shares, after deduction for (i) the Applicable Agent’s compensation for such sales payable by the Company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Placements</w:t>
      </w:r>
      <w:r>
        <w:rPr>
          <w:rFonts w:ascii="Times New Roman;Times;Serif" w:hAnsi="Times New Roman;Times;Serif"/>
          <w:b w:val="false"/>
          <w:i w:val="false"/>
          <w:caps w:val="false"/>
          <w:smallCaps w:val="false"/>
          <w:sz w:val="20"/>
        </w:rPr>
        <w:t xml:space="preserve">) hereof, (ii) any other amounts due and payable by the Company to the Applicable Agent hereunder pursuant to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hereof, and (iii) any transaction fees imposed in respect of such sales by any governmental or self-regulatory organization having jurisdiction over the Company (each, a “</w:t>
      </w:r>
      <w:r>
        <w:rPr>
          <w:rFonts w:ascii="Times New Roman;Times;Serif" w:hAnsi="Times New Roman;Times;Serif"/>
          <w:b/>
          <w:i w:val="false"/>
          <w:caps w:val="false"/>
          <w:smallCaps w:val="false"/>
          <w:sz w:val="20"/>
          <w:u w:val="single"/>
        </w:rPr>
        <w:t>Governmental Entity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u w:val="single"/>
        </w:rPr>
        <w:t>Governmental Entities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On or before each Settlement Date, the Company will, or will cause its transfer agent to, electronically transfer the Placement Shares being sold by crediting the Applicable Agent’s or its designee’s account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the Applicable Agent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the Applicable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in addition to and in no way limiting the rights and obligations set forth in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below, it will hold the Applicable Agent harmless against any loss, claim, damage, or expense (including reasonable legal fees and expenses), as actually and reasonably incurred, arising out of or in connection with such default by the Company, and notwithstanding any such default by the Company, will pay to the Applicable Agent the commission, discount, or other compensation to which it would otherwise have been entitled absent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Other Agents</w:t>
      </w:r>
      <w:r>
        <w:rPr>
          <w:rFonts w:ascii="Times New Roman;Times;Serif" w:hAnsi="Times New Roman;Times;Serif"/>
          <w:b w:val="false"/>
          <w:i w:val="false"/>
          <w:caps w:val="false"/>
          <w:smallCaps w:val="false"/>
          <w:sz w:val="20"/>
        </w:rPr>
        <w:t>. The Company agrees that any offer to sell Shares, any solicitation of an offer to buy Shares, or any sales of Shares shall only be effected by or through the Applicable Agent, and the Company shall in no event offer or sell Shares on the same day through any other agent or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Representations, Warranties of the Company</w:t>
      </w:r>
      <w:r>
        <w:rPr>
          <w:rFonts w:ascii="Times New Roman;Times;Serif" w:hAnsi="Times New Roman;Times;Serif"/>
          <w:b w:val="false"/>
          <w:i w:val="false"/>
          <w:caps w:val="false"/>
          <w:smallCaps w:val="false"/>
          <w:sz w:val="20"/>
        </w:rPr>
        <w:t xml:space="preserve">. The Company represents and warrants to, and agrees with each Agent as of each Applicable Time (as defined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 with Registration Requirements</w:t>
      </w:r>
      <w:r>
        <w:rPr>
          <w:rFonts w:ascii="Times New Roman;Times;Serif" w:hAnsi="Times New Roman;Times;Serif"/>
          <w:b w:val="false"/>
          <w:i w:val="false"/>
          <w:caps w:val="false"/>
          <w:smallCaps w:val="false"/>
          <w:sz w:val="20"/>
        </w:rPr>
        <w:t>. The Registration Statement was effective upon filing pursuant to Rule 462(e) promulgated pursuant to the Securities Act. No stop order suspending the effectiveness of the Registration Statement is in effect and no proceedings for such purpose or pursuant to Section 8A of the Securities Act have been instituted or are pending or, to the knowledge of the Company, are threatened by the Commission. The Company meets all applicable requirements for use of an automatic shelf registration statement on Form S-3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Prospectus when filed complied in all material respects with the Securities Act, and (except as may be permitted by Regulation S-T under the Securities Act) the Prospectus delivered to the Agents for use in connection with the offering of the Shares was identical to the electronically transmitted copies thereof filed with the Commission pursuant to EDGAR. The Registration Statement and any post-effective amendment thereto, at the time it became effective and each deemed effective date with respect to the Agents pursuant to Rule 430B(f)(2) of the Securities Act and at each Settlement Date, complied and will comply in all material respects with the Securities Act and did not and will not contain any untrue statement of a material fact or omit to state a material fact required to be stated therein or necessary to make the statements therein not misleading. The documents incorporated or deemed to be incorporated by reference in the Prospectus, at the time they were filed with the Commission under the Exchange Act, complied in all material respects with the requirements of the Exchange Act. The Prospectus (including any Prospectus wrapper), as amended or supplemented, as of its date and at all subsequent times, including each Representation Date (as defined in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Representation Dates; Certificate</w:t>
      </w:r>
      <w:r>
        <w:rPr>
          <w:rFonts w:ascii="Times New Roman;Times;Serif" w:hAnsi="Times New Roman;Times;Serif"/>
          <w:b w:val="false"/>
          <w:i w:val="false"/>
          <w:caps w:val="false"/>
          <w:smallCaps w:val="false"/>
          <w:sz w:val="20"/>
        </w:rPr>
        <w:t xml:space="preserve">) hereto),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the Prospectus or any amendments or supplements thereto, made in reliance upon and in conformity with information relating to the Agents furnished to the Company in writing by the Agents expressly for use therein, it being understood and agreed that the only such information furnished by the Agents to the Company consists of the information described in </w:t>
      </w:r>
      <w:r>
        <w:rPr>
          <w:rFonts w:ascii="Times New Roman;Times;Serif" w:hAnsi="Times New Roman;Times;Serif"/>
          <w:b w:val="false"/>
          <w:i w:val="false"/>
          <w:caps w:val="false"/>
          <w:smallCaps w:val="false"/>
          <w:sz w:val="20"/>
          <w:u w:val="single"/>
        </w:rPr>
        <w:t>Section 10(b)</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below. There are no contracts or other documents required to be described in the Prospectus or to be filed as exhibits to the Registration Statement which have not been described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as of each Applicable Time, did not, does not and will not include any information that conflicted, conflicts with or will conflict with the information contained in the Registration Statement or the Prospectus, including any document incorporated by reference therein, that has not been superseded or modified. Except for the free writing prospectuses, if any, identified in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hereto furnished to the Agents before first use, the Company has not used or referred to, and will not, without the Agents’ prior consent, use or refer to, any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Offering Materials Furnished to the Agents</w:t>
      </w:r>
      <w:r>
        <w:rPr>
          <w:rFonts w:ascii="Times New Roman;Times;Serif" w:hAnsi="Times New Roman;Times;Serif"/>
          <w:b w:val="false"/>
          <w:i w:val="false"/>
          <w:caps w:val="false"/>
          <w:smallCaps w:val="false"/>
          <w:sz w:val="20"/>
        </w:rPr>
        <w:t>. The Company has delivered to the Agents a complete copy of the Registration Statement, each amendment thereto and each opinion, consent and certificate of experts filed as a part thereof, and conformed copies of the Registration Statement, each amendment thereto (without exhibits) and the Prospectus, as amended or supplemented, and any free writing prospectus reviewed and consented to in writing by the Agents, in such quantities and at such places as the Agents have reasonably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Distribution of Offering Material By the Company</w:t>
      </w:r>
      <w:r>
        <w:rPr>
          <w:rFonts w:ascii="Times New Roman;Times;Serif" w:hAnsi="Times New Roman;Times;Serif"/>
          <w:b w:val="false"/>
          <w:i w:val="false"/>
          <w:caps w:val="false"/>
          <w:smallCaps w:val="false"/>
          <w:sz w:val="20"/>
        </w:rPr>
        <w:t>. The Company has not distributed and will not distribute, prior to the completion of the Agents’ sale of all of the Placement Shares pursuant to this Agreement, any offering material in connection with the offering and sale of the Shares other than the Prospectus, any free writing prospectus reviewed and consented to in writing by the Agents or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The Agreement</w:t>
      </w:r>
      <w:r>
        <w:rPr>
          <w:rFonts w:ascii="Times New Roman;Times;Serif" w:hAnsi="Times New Roman;Times;Serif"/>
          <w:b w:val="false"/>
          <w:i w:val="false"/>
          <w:caps w:val="false"/>
          <w:smallCaps w:val="false"/>
          <w:sz w:val="20"/>
        </w:rPr>
        <w:t>. This Agreement has been duly authorized, executed and delivered by, and is a valid and binding agreement of, the Company, enforceable against the Company in accordance with its terms, except as rights to indemnification and contribution hereunder may be limited by applicable law and except as the enforcement hereof may be limited by bankruptcy, insolvency, reorganization, moratorium or other similar laws relating to or affecting the rights and remedies of creditors or by general equitable principles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Authorization of the Shares</w:t>
      </w:r>
      <w:r>
        <w:rPr>
          <w:rFonts w:ascii="Times New Roman;Times;Serif" w:hAnsi="Times New Roman;Times;Serif"/>
          <w:b w:val="false"/>
          <w:i w:val="false"/>
          <w:caps w:val="false"/>
          <w:smallCaps w:val="false"/>
          <w:sz w:val="20"/>
        </w:rPr>
        <w:t>. The Shares have been duly authorized for issuance and sale pursuant to this Agreement and, when issued and delivered by the Company and paid for in accordance with this Agreement, will be validly issued, fully paid and nonassessable, and the issuance and sale of the Shares is not subject to any preemptive rights, rights of first refusal or other similar rights to subscribe for or purchase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Applicable Registration or Other Similar Rights</w:t>
      </w:r>
      <w:r>
        <w:rPr>
          <w:rFonts w:ascii="Times New Roman;Times;Serif" w:hAnsi="Times New Roman;Times;Serif"/>
          <w:b w:val="false"/>
          <w:i w:val="false"/>
          <w:caps w:val="false"/>
          <w:smallCaps w:val="false"/>
          <w:sz w:val="20"/>
        </w:rPr>
        <w:t>. There are no persons with registration or other similar rights to have any equity or debt securities registered for sale under the Registration Statement or included in the offering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Except as otherwise disclosed in the Registration Statement and the Prospectus, subsequent to the respective dates as of which information is given in the Registration Statement and the Prospectus: (i) there has been no material adverse change, or any development that could reasonably be expected to result in a material adverse change, in the condition, financial or otherwise, or in the properties, business, results of operations or prospects, whether or not arising from transactions in the ordinary course of business, of the Company and its subsidiaries, considered as one entity (any such change is called a “</w:t>
      </w:r>
      <w:r>
        <w:rPr>
          <w:rFonts w:ascii="Times New Roman;Times;Serif" w:hAnsi="Times New Roman;Times;Serif"/>
          <w:b/>
          <w:i w:val="false"/>
          <w:caps w:val="false"/>
          <w:smallCaps w:val="false"/>
          <w:sz w:val="20"/>
          <w:u w:val="single"/>
        </w:rPr>
        <w:t>Material Adverse Change</w:t>
      </w:r>
      <w:r>
        <w:rPr>
          <w:rFonts w:ascii="Times New Roman;Times;Serif" w:hAnsi="Times New Roman;Times;Serif"/>
          <w:b w:val="false"/>
          <w:i w:val="false"/>
          <w:caps w:val="false"/>
          <w:smallCaps w:val="false"/>
          <w:sz w:val="20"/>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other distribution of any kind declared, paid or made by the Company (other than regular quarterly cash dividends) or, except for dividends paid to the Company or other subsidiaries, any of its subsidiaries on any class of capital stock or repurchase or redemption by the Company or any of its subsidiaries of any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Grant Thornton LLP, who have (i) expressed their opinion with respect to the financial statements (which term as used in this Agreement includes the related notes thereto) of the Company and its subsidiaries included in the Company’s most recent Annual Report on Form 10-K and (ii) completed a review of the unaudited interim financial statements of the Company and its subsidiaries included in the Company’s Quarterly Report on Form 10-Q for the quarter ended March 31, 2026, and PricewaterhouseCoopers LLP, who have completed a review of the unaudited interim financial statements of the Company and its subsidiaries included in the Company’s Quarterly Report on Form 10-Q for the quarter ended June 30, 2026, in each case incorporated by reference in the Registration Statement and the Prospectus, each is or formerly was, as applicable, an independent registered public accounting firm with respect to the Company as required by the Securities Act and the Exchange Act and the applicable published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Preparation of the Financial Statements</w:t>
      </w:r>
      <w:r>
        <w:rPr>
          <w:rFonts w:ascii="Times New Roman;Times;Serif" w:hAnsi="Times New Roman;Times;Serif"/>
          <w:b w:val="false"/>
          <w:i w:val="false"/>
          <w:caps w:val="false"/>
          <w:smallCaps w:val="false"/>
          <w:sz w:val="20"/>
        </w:rPr>
        <w:t xml:space="preserve">. The financial statements of the Company and its subsidiaries included and incorporated by reference in the Registration Statement and the Prospectus present fairly in all material respects the consolidated financial position of the Company and its subsidiaries as of the dates indicated and the results of their operations and cash flows for the periods specified. Such financial statements have been prepared in conformity with GAAP (as defined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hereto), except as may be expressly stated in the related notes thereto. No other financial statements or supporting schedules of the Company and its subsidiaries are required to be included or incorporated by reference in the Registration Statement or the Prospectus. All disclosures contained in the Prospectus and the Registration Statement regarding “non-GAAP financial measures” (as such term is defined by the rules and regulations of the Commission) comply with Regulation G of the Exchange Act and Item 10 of Regulation S-K under the Securities Act, to the extent applicable.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of the Company and its subsidiaries incorporated by reference in the Registration Statement and the Prospectus (it being agreed that the foregoing representation is made only to the Company’s actual knowledge without independent investigation with respect to any person who is not a director, officer or employee of the Company or any of its subsidiaries). The interactive data in eXtensible Business Reporting Language incorporated by reference in the Registration Statement and the Prospectus fairly presents the required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Company’s Accounting System</w:t>
      </w:r>
      <w:r>
        <w:rPr>
          <w:rFonts w:ascii="Times New Roman;Times;Serif" w:hAnsi="Times New Roman;Times;Serif"/>
          <w:b w:val="false"/>
          <w:i w:val="false"/>
          <w:caps w:val="false"/>
          <w:smallCaps w:val="false"/>
          <w:sz w:val="20"/>
        </w:rPr>
        <w:t>. The Company and each of its subsidiaries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w:t>
      </w:r>
      <w:r>
        <w:rPr>
          <w:rFonts w:ascii="Times New Roman;Times;Serif" w:hAnsi="Times New Roman;Times;Serif"/>
          <w:b/>
          <w:i w:val="false"/>
          <w:caps w:val="false"/>
          <w:smallCaps w:val="false"/>
          <w:sz w:val="20"/>
          <w:u w:val="single"/>
        </w:rPr>
        <w:t>XBRL</w:t>
      </w:r>
      <w:r>
        <w:rPr>
          <w:rFonts w:ascii="Times New Roman;Times;Serif" w:hAnsi="Times New Roman;Times;Serif"/>
          <w:b w:val="false"/>
          <w:i w:val="false"/>
          <w:caps w:val="false"/>
          <w:smallCaps w:val="false"/>
          <w:sz w:val="20"/>
        </w:rPr>
        <w:t>”) incorporated by reference in the Registration Statement and the Prospectus fairly presents the information called for in all material respects and is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Incorporation and Good Standing of the Company and its Subsidiaries</w:t>
      </w:r>
      <w:r>
        <w:rPr>
          <w:rFonts w:ascii="Times New Roman;Times;Serif" w:hAnsi="Times New Roman;Times;Serif"/>
          <w:b w:val="false"/>
          <w:i w:val="false"/>
          <w:caps w:val="false"/>
          <w:smallCaps w:val="false"/>
          <w:sz w:val="20"/>
        </w:rPr>
        <w:t>. Each of the Company and its subsidiaries has been duly incorporated or organized, as the case may be, and is validly existing as a corporation, partnership, limited liability company or trust, as applicable, in good standing under the laws of the jurisdiction of its incorporation or organization and has the power and authority (corporate or other) to own, lease and operate its properties and to conduct its business as described in the Prospectus and, in the case of the Company, to enter into and perform its obligations under this Agreement. Each of the Company and each subsidiary is duly qualified as a foreign corporation, partnership, limited liability company or trust, as applicable, to transact business and is in good standing in each jurisdiction in which such qualification is required, whether by reason of the ownership or leasing of property or the conduct of business, except where the failure to be so qualified and in good standing would not, individually or in the aggregate, result in a Material Adverse Change. All of the issued and outstanding capital stock or other equity or ownership interests of each subsidiary have been duly authorized and validly issued, are fully paid and nonassessable and, except as set forth in the Prospectus, are owned by the Company, directly or through subsidiaries, free and clear of any security interest, mortgage, pledge, lien, encumbrance or adverse claim. The Company does not own or control, directly or indirectly, any corporation, association or other entity other than (i) the subsidiaries listed in Exhibit 21.1 to the Company’s Annual Report on Form 10-K for the year fiscal ended December 31, 2025 and (ii) such other entities omitted from Exhibit 21.1 which, when such omitted entities are considered in the aggregate as a single subsidiary, would not constitute a “significant subsidiary” within the meaning of Rule 1-02(w) of Regulation S-X under the Exchange Act (“</w:t>
      </w:r>
      <w:r>
        <w:rPr>
          <w:rFonts w:ascii="Times New Roman;Times;Serif" w:hAnsi="Times New Roman;Times;Serif"/>
          <w:b/>
          <w:i w:val="false"/>
          <w:caps w:val="false"/>
          <w:smallCaps w:val="false"/>
          <w:sz w:val="20"/>
          <w:u w:val="single"/>
        </w:rPr>
        <w:t>Regulation S-X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Capitalization and Other Capital Stock Matters</w:t>
      </w:r>
      <w:r>
        <w:rPr>
          <w:rFonts w:ascii="Times New Roman;Times;Serif" w:hAnsi="Times New Roman;Times;Serif"/>
          <w:b w:val="false"/>
          <w:i w:val="false"/>
          <w:caps w:val="false"/>
          <w:smallCaps w:val="false"/>
          <w:sz w:val="20"/>
        </w:rPr>
        <w:t>. The authorized, issued and outstanding capital stock of the Company is as set forth in the Prospectus (other than for subsequent issuances, if any, described in the Prospectus or pursuant to employee benefit plans described in the Prospectus or upon the exercise of outstanding options or vesting of restricted stock units, in each case described in the Prospectus, and other than Shares sold pursuant to this Agreement prior to the filing of the Company’s next annual report on Form 10-K or quarterly report on Form 10-Q). The Shares conform in all material respects to the description thereof contained in the Prospectus. All of the issued and outstanding Shares have been duly authorized and validly issued and are fully paid and nonassessable.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disclosed in the Prospectus and other than for subsequent issuances, if any, pursuant to the employee benefit plans that are described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Exchange Listing</w:t>
      </w:r>
      <w:r>
        <w:rPr>
          <w:rFonts w:ascii="Times New Roman;Times;Serif" w:hAnsi="Times New Roman;Times;Serif"/>
          <w:b w:val="false"/>
          <w:i w:val="false"/>
          <w:caps w:val="false"/>
          <w:smallCaps w:val="false"/>
          <w:sz w:val="20"/>
        </w:rPr>
        <w:t>. The Shares are registered pursuant to Section 12(b) or 12(g) of the Exchange Act and have been approved for listing on the Exchange, subject to notice of issuance. The Company has taken no action designed to, or that would be reasonably expected to have the effect of, terminating the registration of the Shares under the Exchange Act or delisting the Shares from the Exchange, nor has the Company received any notification that the Commission or the Exchange is contemplating terminating such registration or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Non-Contravention of Laws and Existing Instruments; No Further Authorizations or Approvals Required</w:t>
      </w:r>
      <w:r>
        <w:rPr>
          <w:rFonts w:ascii="Times New Roman;Times;Serif" w:hAnsi="Times New Roman;Times;Serif"/>
          <w:b w:val="false"/>
          <w:i w:val="false"/>
          <w:caps w:val="false"/>
          <w:smallCaps w:val="false"/>
          <w:sz w:val="20"/>
        </w:rPr>
        <w:t>. Neither the Company nor any of its subsidiaries is (i) in breach or violation of (A) its charter or bylaws, partnership agreement or operating agreement or similar organizational document, as applicable, (B) any applicable federal, state, local or foreign law, regulation or rule, except as would not, individually or in the aggregate, result in a Material Adverse Change, or (C) any applicable rule or regulation of any self-regulatory organization or other non-governmental regulatory authority (including, without limitation, the rules and regulations of the Exchange) or (ii) in default in any respect (“</w:t>
      </w:r>
      <w:r>
        <w:rPr>
          <w:rFonts w:ascii="Times New Roman;Times;Serif" w:hAnsi="Times New Roman;Times;Serif"/>
          <w:b/>
          <w:i w:val="false"/>
          <w:caps w:val="false"/>
          <w:smallCaps w:val="false"/>
          <w:sz w:val="20"/>
          <w:u w:val="single"/>
        </w:rPr>
        <w:t>Default</w:t>
      </w:r>
      <w:r>
        <w:rPr>
          <w:rFonts w:ascii="Times New Roman;Times;Serif" w:hAnsi="Times New Roman;Times;Serif"/>
          <w:b w:val="false"/>
          <w:i w:val="false"/>
          <w:caps w:val="false"/>
          <w:smallCaps w:val="false"/>
          <w:sz w:val="20"/>
        </w:rPr>
        <w:t>”) under any indenture, mortgage, loan or credit agreement, note, contract, franchise, lease or other instrument to which the Company or any of its subsidiaries is a party or by which it or any of them may be bound (including, without limitation, any credit agreement, indenture, pledge agreement, security agreement or other instrument or agreement evidencing, guaranteeing or securing indebtedness of the Company or any of its subsidiaries), or to which any of the property or assets of the Company or any of its subsidiaries is subject (each, an “</w:t>
      </w:r>
      <w:r>
        <w:rPr>
          <w:rFonts w:ascii="Times New Roman;Times;Serif" w:hAnsi="Times New Roman;Times;Serif"/>
          <w:b/>
          <w:i w:val="false"/>
          <w:caps w:val="false"/>
          <w:smallCaps w:val="false"/>
          <w:sz w:val="20"/>
          <w:u w:val="single"/>
        </w:rPr>
        <w:t>Existing Instrument</w:t>
      </w:r>
      <w:r>
        <w:rPr>
          <w:rFonts w:ascii="Times New Roman;Times;Serif" w:hAnsi="Times New Roman;Times;Serif"/>
          <w:b w:val="false"/>
          <w:i w:val="false"/>
          <w:caps w:val="false"/>
          <w:smallCaps w:val="false"/>
          <w:sz w:val="20"/>
        </w:rPr>
        <w:t xml:space="preserve">”), except in the case of </w:t>
      </w:r>
      <w:r>
        <w:rPr>
          <w:rFonts w:ascii="Times New Roman;Times;Serif" w:hAnsi="Times New Roman;Times;Serif"/>
          <w:b w:val="false"/>
          <w:i w:val="false"/>
          <w:caps w:val="false"/>
          <w:smallCaps w:val="false"/>
          <w:sz w:val="20"/>
          <w:u w:val="single"/>
        </w:rPr>
        <w:t>clauses (i)(C)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for such breaches, violations or Defaults as would not, individually or in the aggregate, result in a Material Adverse Change. The Company’s execution, delivery and performance of this Agreement, consummation of the transactions contemplated hereby and by the Prospectus and the issuance and sale of the Shares (y)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(z) will not result in any violation of any federal, state, local or foreign law, regulation or rule, administrative or court decree or any rule or regulation of any self-regulatory organization or other non-governmental regulatory authority (including, without limitation, the rules and regulations of the Exchange) applicable to the Company or any subsidiary, except for those conflicts, breaches, defaults, Debt Repayment Triggering Events or violations that would not, individually or in the aggregate,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Exchange. As used herein, a “</w:t>
      </w:r>
      <w:r>
        <w:rPr>
          <w:rFonts w:ascii="Times New Roman;Times;Serif" w:hAnsi="Times New Roman;Times;Serif"/>
          <w:b/>
          <w:i w:val="false"/>
          <w:caps w:val="false"/>
          <w:smallCaps w:val="false"/>
          <w:sz w:val="20"/>
          <w:u w:val="single"/>
        </w:rPr>
        <w:t>Debt Repayment Triggering Event</w:t>
      </w:r>
      <w:r>
        <w:rPr>
          <w:rFonts w:ascii="Times New Roman;Times;Serif" w:hAnsi="Times New Roman;Times;Serif"/>
          <w:b w:val="false"/>
          <w:i w:val="false"/>
          <w:caps w:val="false"/>
          <w:smallCaps w:val="false"/>
          <w:sz w:val="20"/>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Material Actions or Proceedings</w:t>
      </w:r>
      <w:r>
        <w:rPr>
          <w:rFonts w:ascii="Times New Roman;Times;Serif" w:hAnsi="Times New Roman;Times;Serif"/>
          <w:b w:val="false"/>
          <w:i w:val="false"/>
          <w:caps w:val="false"/>
          <w:smallCaps w:val="false"/>
          <w:sz w:val="20"/>
        </w:rPr>
        <w:t>. Except as disclosed in the Registration Statement and the Prospectus, there are no legal or governmental actions, suits or proceedings pending or, to the Company’s knowledge, threatened (i) against the Company or any of its subsidiaries, (ii) which have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such subsidiary or such officer or director, and (B) any such action, suit or proceeding, if so determined adversely, would reasonably be expected to result in a Material Adverse Change or adversely affect the consummation of the transactions contemplated by this Agreement. No labor dispute with the employees of the Company or any of its subsidiaries exists or, to the Company’s knowledge, is threatened or imminent, which would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xml:space="preserve"> The Company and its subsidiaries own or possess sufficient trademarks, trade names, patent rights, copyrights, domain names, licenses, approvals, trade secrets and other similar rights (collectively, “</w:t>
      </w:r>
      <w:r>
        <w:rPr>
          <w:rFonts w:ascii="Times New Roman;Times;Serif" w:hAnsi="Times New Roman;Times;Serif"/>
          <w:b/>
          <w:i w:val="false"/>
          <w:caps w:val="false"/>
          <w:smallCaps w:val="false"/>
          <w:sz w:val="20"/>
          <w:u w:val="single"/>
        </w:rPr>
        <w:t>Intellectual Property Rights</w:t>
      </w:r>
      <w:r>
        <w:rPr>
          <w:rFonts w:ascii="Times New Roman;Times;Serif" w:hAnsi="Times New Roman;Times;Serif"/>
          <w:b w:val="false"/>
          <w:i w:val="false"/>
          <w:caps w:val="false"/>
          <w:smallCaps w:val="false"/>
          <w:sz w:val="20"/>
        </w:rPr>
        <w:t>”) reasonably necessary to conduct their businesses as now conducted. Neither the Company nor any of its subsidiaries has received any notice of infringement or conflict with asserted Intellectual Property Rights of others, which would reasonably be expected to result in a Material Adverse Change. None of the technology employed by the Company or any of its subsidiaries has been obtained or is being used by the Company or any of its subsidiaries in violation of any contractual obligation binding on the Company or any of its subsidiaries or any of its or its subsidiaries’ officers, directors or employees or otherwise in violation of the rights of any person, except for such violations that would not, individually or in the aggregate,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All Necessary Permits, etc.</w:t>
      </w:r>
      <w:r>
        <w:rPr>
          <w:rFonts w:ascii="Times New Roman;Times;Serif" w:hAnsi="Times New Roman;Times;Serif"/>
          <w:b w:val="false"/>
          <w:i w:val="false"/>
          <w:caps w:val="false"/>
          <w:smallCaps w:val="false"/>
          <w:sz w:val="20"/>
        </w:rPr>
        <w:t>. The Company and each subsidiary possess such valid and current certificates, authorizations, licenses or permits issued by the appropriate state, local, federal or foreign regulatory agencies or bodies necessary to conduct their respective businesses, other than those as to which the failure to possess or own has not resulted in and would not reasonably be expected to result in a Material Adverse Change, and neither the Company nor any subsidiary has received any notice of proceedings relating to the revocation or modification of, or non-compliance with, any such certificate, authorization, license or permit which, singly or in the aggregate, if the subject of an unfavorable decision, ruling or finding, would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xml:space="preserve">. Except as disclosed in the Registration Statement and the Prospectus, the Company and each of its subsidiaries have good and valid title to all of the real and personal property and other assets reflected as owned in the financial statements referred to in </w:t>
      </w:r>
      <w:r>
        <w:rPr>
          <w:rFonts w:ascii="Times New Roman;Times;Serif" w:hAnsi="Times New Roman;Times;Serif"/>
          <w:b w:val="false"/>
          <w:i w:val="false"/>
          <w:caps w:val="false"/>
          <w:smallCaps w:val="false"/>
          <w:sz w:val="20"/>
          <w:u w:val="single"/>
        </w:rPr>
        <w:t>Section 6(i)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Preparation of the Financial Statements</w:t>
      </w:r>
      <w:r>
        <w:rPr>
          <w:rFonts w:ascii="Times New Roman;Times;Serif" w:hAnsi="Times New Roman;Times;Serif"/>
          <w:b w:val="false"/>
          <w:i w:val="false"/>
          <w:caps w:val="false"/>
          <w:smallCaps w:val="false"/>
          <w:sz w:val="20"/>
        </w:rPr>
        <w:t>) above (or elsewhere in the Prospectus), in each case free and clear of any security interests, mortgages, liens, encumbrances, adverse claims and other defects, except such as do not have or result in a Material Adverse Change to the use of such property by the Company or such subsidiary. The real property, improvements, equipment and personal property held under lease by the Company or any subsidiary are held under valid and enforceable leases, with such exceptions as are not material and do not materially interfere with the use made or proposed to be made of such real property, improvements, equipment or personal property by the Company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Compliance with the Sarbanes-Oxley Act</w:t>
      </w:r>
      <w:r>
        <w:rPr>
          <w:rFonts w:ascii="Times New Roman;Times;Serif" w:hAnsi="Times New Roman;Times;Serif"/>
          <w:b w:val="false"/>
          <w:i w:val="false"/>
          <w:caps w:val="false"/>
          <w:smallCaps w:val="false"/>
          <w:sz w:val="20"/>
        </w:rPr>
        <w:t>. The Company and its subsidiaries and to the knowledge of the Company the officers and directors of the Company and its subsidiaries, in their capacities as such, are, and at the Settlement Date and any Applicable Time will be, in compliance in all material respects with the provisions of the Sarbanes-Oxley Act of 2002 and the rules and regulations promulgated thereunder or implementing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Tax Law Compliance</w:t>
      </w:r>
      <w:r>
        <w:rPr>
          <w:rFonts w:ascii="Times New Roman;Times;Serif" w:hAnsi="Times New Roman;Times;Serif"/>
          <w:b w:val="false"/>
          <w:i w:val="false"/>
          <w:caps w:val="false"/>
          <w:smallCaps w:val="false"/>
          <w:sz w:val="20"/>
        </w:rPr>
        <w:t xml:space="preserve">. The Company and its subsidiaries have filed all necessary federal, state and foreign income and franchise tax returns (other than certain state or local tax returns, as to which the failure to file, individually or in the aggregate, would not result in a Material Adverse Change) and have paid all taxes required to be paid by any of them and, if due and payable, any related or similar assessment, fine or penalty levied against any of them, except for any such assessment, fine or penalty that is currently being contested in good faith or that if not paid, would not reasonably be expected to result in a Material Adverse Change. The Company has made adequate charges, accruals and reserves in the applicable financial statements referred to in </w:t>
      </w:r>
      <w:r>
        <w:rPr>
          <w:rFonts w:ascii="Times New Roman;Times;Serif" w:hAnsi="Times New Roman;Times;Serif"/>
          <w:b w:val="false"/>
          <w:i w:val="false"/>
          <w:caps w:val="false"/>
          <w:smallCaps w:val="false"/>
          <w:sz w:val="20"/>
          <w:u w:val="single"/>
        </w:rPr>
        <w:t>Section 6(i)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Preparation of the Financial Statements</w:t>
      </w:r>
      <w:r>
        <w:rPr>
          <w:rFonts w:ascii="Times New Roman;Times;Serif" w:hAnsi="Times New Roman;Times;Serif"/>
          <w:b w:val="false"/>
          <w:i w:val="false"/>
          <w:caps w:val="false"/>
          <w:smallCaps w:val="false"/>
          <w:sz w:val="20"/>
        </w:rPr>
        <w:t>) above in respect of all federal, state and foreign income and franchise taxes for all periods as to which the tax liability of the Company or any of its subsidiaries has not been finally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Company Not an “Investment Company”</w:t>
      </w:r>
      <w:r>
        <w:rPr>
          <w:rFonts w:ascii="Times New Roman;Times;Serif" w:hAnsi="Times New Roman;Times;Serif"/>
          <w:b w:val="false"/>
          <w:i w:val="false"/>
          <w:caps w:val="false"/>
          <w:smallCaps w:val="false"/>
          <w:sz w:val="20"/>
        </w:rPr>
        <w:t>. The Company is not, and will not be, either after receipt of payment for the Shares or after the application of the proceeds therefrom as described under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in the Prospectus, an “investment company”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Each of the Company and its subsidiaries is insured with policies in such amounts and with such deductibles and covering such risks as it reasonably deems adequate for their businesses.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No Price Stabilization or Manipulation; Compliance with Regulation M</w:t>
      </w:r>
      <w:r>
        <w:rPr>
          <w:rFonts w:ascii="Times New Roman;Times;Serif" w:hAnsi="Times New Roman;Times;Serif"/>
          <w:b w:val="false"/>
          <w:i w:val="false"/>
          <w:caps w:val="false"/>
          <w:smallCaps w:val="false"/>
          <w:sz w:val="20"/>
        </w:rPr>
        <w:t>. The Common Stock is an “actively traded security” excepted from the requirements of Rule 101 of Regulation M under the Exchange Act by subsection (c)(1) of such rule. Neither the Company nor any of its subsidiaries has taken, directly or indirectly, any action designed to or that might be reasonably expected to cause or result in stabilization or manipulation of the price of the Shares to facilitate the sale or resale of the Shares. The Company acknowledges that the Agents may engage in passive market making transactions in the Shares on the Exchange in accordance with Regulation M under the Exchange Act (“</w:t>
      </w:r>
      <w:r>
        <w:rPr>
          <w:rFonts w:ascii="Times New Roman;Times;Serif" w:hAnsi="Times New Roman;Times;Serif"/>
          <w:b/>
          <w:i w:val="false"/>
          <w:caps w:val="false"/>
          <w:smallCaps w:val="false"/>
          <w:sz w:val="20"/>
          <w:u w:val="single"/>
        </w:rPr>
        <w:t>Regulation M</w:t>
      </w:r>
      <w:r>
        <w:rPr>
          <w:rFonts w:ascii="Times New Roman;Times;Serif" w:hAnsi="Times New Roman;Times;Serif"/>
          <w:b w:val="false"/>
          <w:i w:val="false"/>
          <w:caps w:val="false"/>
          <w:smallCaps w:val="false"/>
          <w:sz w:val="20"/>
        </w:rPr>
        <w:t xml:space="preserve">”). The Company acknowledges and agrees that the Agents have informed the Company that the Agents may, to the extent permitted under the Exchange Act, purchase and sell shares of Common Stock for their own accounts while this Agreement is in effect;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Company shall not be deemed to have authorized or consented to any such purchases or sales by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business relationships or related-party transactions involving the Company or any of its subsidiaries or any other person required to be described in the Registration Statement and the Prospectus which have not been described as required in all material respects. Neither the Company nor any of its subsidiaries has extended or maintained credit, arranged for the extension of credit, or renewed any extension of credit, in the form of a personal loan, to or for any director or executive officer (or equivalent thereof) of the Company and/or such subsidiary except for such extensions of credit as are permitted by Section 13(k)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The Company believes that, as of the effective date of the Registration Statement, the statistical, industry and market-related data included in the Registration Statement and the Prospectus is reliable and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No Unlawful Contributions or Other Payments</w:t>
      </w:r>
      <w:r>
        <w:rPr>
          <w:rFonts w:ascii="Times New Roman;Times;Serif" w:hAnsi="Times New Roman;Times;Serif"/>
          <w:b w:val="false"/>
          <w:i w:val="false"/>
          <w:caps w:val="false"/>
          <w:smallCaps w:val="false"/>
          <w:sz w:val="20"/>
        </w:rPr>
        <w:t>.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Disclosure Controls and Procedures; Deficiencies in or Changes to Internal Control Over Financial Reporting</w:t>
      </w:r>
      <w:r>
        <w:rPr>
          <w:rFonts w:ascii="Times New Roman;Times;Serif" w:hAnsi="Times New Roman;Times;Serif"/>
          <w:b w:val="false"/>
          <w:i w:val="false"/>
          <w:caps w:val="false"/>
          <w:smallCaps w:val="false"/>
          <w:sz w:val="20"/>
        </w:rPr>
        <w:t>. The Company has established and maintains disclosure controls and procedures (as defined in Exchange Act Rules 13a-15(e) and 15d-15(e)), that comply with the requirements of the Exchange Act and that have been designed to ensure that information required to be disclosed by the Company, including its consolidated subsidiaries,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and concluded that such disclosure controls and procedures were effective. Except as disclosed in the Registration Statement or Prospectus, there are no material weaknesses in the Company’s internal control over financial reporting (whether or not remediated). The Company’s independent auditors and the Audit Committee of the Board of Directors of the Company have been advised of (i) all significant deficiencies and material weaknesses in the design or operation of internal control over financial reporting which could adversely affect the Company’s ability to record, process, summarize and report financial data, and (ii) any fraud, whether or not material, that involves management or other employees who have a significant role in the Company’s internal control over financial reporting. Since December 31, 2025, there has been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Except as would not, singly or in the aggregate, reasonably be expected to result in a Material Adverse Change, (i) neither the Company nor any of its subsidiaries is in violation of any federal, state, local or foreign law or regulation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Times;Serif" w:hAnsi="Times New Roman;Times;Serif"/>
          <w:b/>
          <w:i w:val="false"/>
          <w:caps w:val="false"/>
          <w:smallCaps w:val="false"/>
          <w:sz w:val="20"/>
          <w:u w:val="single"/>
        </w:rPr>
        <w:t>Hazardous Materials</w:t>
      </w:r>
      <w:r>
        <w:rPr>
          <w:rFonts w:ascii="Times New Roman;Times;Serif" w:hAnsi="Times New Roman;Times;Serif"/>
          <w:b w:val="false"/>
          <w:i w:val="false"/>
          <w:caps w:val="false"/>
          <w:smallCaps w:val="false"/>
          <w:sz w:val="20"/>
        </w:rPr>
        <w:t>”) or to the manufacture, processing, distribution, use, treatment, storage, disposal, transport or handling of Hazardous Materials (collectively,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(ii) the Company and its subsidiaries have all permits, authorizations and approvals required under any applicable Environmental Laws and are each in compliance with their requirements, and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ERISA Compliance</w:t>
      </w:r>
      <w:r>
        <w:rPr>
          <w:rFonts w:ascii="Times New Roman;Times;Serif" w:hAnsi="Times New Roman;Times;Serif"/>
          <w:b w:val="false"/>
          <w:i w:val="false"/>
          <w:caps w:val="false"/>
          <w:smallCaps w:val="false"/>
          <w:sz w:val="20"/>
        </w:rPr>
        <w:t>. Except as otherwise disclosed in the Registration Statement and the Prospectus, to the Company’s knowledge, the Company and its subsidiaries and any “employee benefit plan” (as defined under the Employee Retirement Income Security Act of 1974, as amended, and the regulations and published interpretations thereunder (collectively,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established or maintained by the Company, its subsidiaries or their “ERISA Affiliates” (as defined below) are in compliance with ERISA, except as would not, individually or in the aggregate, reasonably be expected to result in a Material Adverse Change. “</w:t>
      </w:r>
      <w:r>
        <w:rPr>
          <w:rFonts w:ascii="Times New Roman;Times;Serif" w:hAnsi="Times New Roman;Times;Serif"/>
          <w:b/>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the Company or a subsidiary, any member of any group of organizations described in Sections 414(b), (c), (m) or (o) of the Code of which the Company or such subsidiary is a member. No “reportable event” (as defined under ERISA) has occurred or is reasonably expected to occur with respect to any “employee pension benefit plan” (as defined under ERISA) established or maintained by the Company, its subsidiaries or any of their ERISA Affiliates. No “employee pension benefit plan” established or maintained by the Company, its subsidiaries or any of their ERISA Affiliates, if such “employee pension benefit plan” were terminated, would have any “amount of unfunded benefit liabilities” (as defined under ERISA). None of the Company, its subsidiaries or any of their ERISA Affiliates has incurred or reasonably expects to incur any liability under (i) Title IV of ERISA with respect to termination of, or withdrawal from, any “employee pension benefit plan” or (ii) Sections 412, 4971 or 4975 of the Code or (iii) Section 4980B of the Code as a result of a failure to comply with such Section. Except as would not, individually or in the aggregate, reasonably be expected to result in a Material Adverse Change, each “employee pension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cause the loss of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Except as otherwise disclosed in the Registration Statement and the Prospectus, there is no broker, finder or other party that is entitled to receive from the Company any brokerage or finder’s fee or other fee or commission as a result of any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Except as would not reasonably be expected to result in a Material Adverse Change, neither the Company nor any of its subsidiaries nor, to the knowledge of the Company, any director, officer, agent, employee, affiliate or other person acting on behalf of the Company or any of its subsidiaries is aware of or has taken any action, directly or indirectly, that has resulted or would result in a violation of the Foreign Corrupt Practices Act of 1977, as amended, and the rules and regulations thereunder (the “</w:t>
      </w:r>
      <w:r>
        <w:rPr>
          <w:rFonts w:ascii="Times New Roman;Times;Serif" w:hAnsi="Times New Roman;Times;Serif"/>
          <w:b/>
          <w:i w:val="false"/>
          <w:caps w:val="false"/>
          <w:smallCaps w:val="false"/>
          <w:sz w:val="20"/>
          <w:u w:val="single"/>
        </w:rPr>
        <w:t>FCPA</w:t>
      </w:r>
      <w:r>
        <w:rPr>
          <w:rFonts w:ascii="Times New Roman;Times;Serif" w:hAnsi="Times New Roman;Times;Serif"/>
          <w:b w:val="false"/>
          <w:i w:val="false"/>
          <w:caps w:val="false"/>
          <w:smallCaps w:val="false"/>
          <w:sz w:val="20"/>
        </w:rPr>
        <w:t>”) or any other applicable anti-bribery law,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its subsidiaries and, to the knowledge of the Company, the Company’s affiliates have conducted their respective businesses in compliance with the FCPA.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Times;Serif" w:hAnsi="Times New Roman;Times;Serif"/>
          <w:b/>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Neither the Company nor any of its subsidiaries nor, to the knowledge of the Company, any director, officer, agent, employee, affiliate or person acting on behalf of the Company or any of its subsidiaries is currently subject to any U.S. sanctions administered by the Office of Foreign Assets Control of the U.S. Treasury Department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and the Company will not directly or indirectly use the proceeds of this offering, or lend, contribute or otherwise make available such proceeds to any subsidiary, joint venture partner or other person or entity, for the purpose of financing the activities of any person currently subject to any U.S. sanctions administered by OFAC or to fund any activities of or business with any person in any country or territory that, at the time of such funding, is subject to any U.S. sanctions administered by OFAC.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(A) The Company is not aware of any current (or event or condition that would reasonably be expected to result in any future) security breach, unauthorized access or disclosure, or other compromise of the Company’s or its subsidiaries’ information technology and computer systems, networks, hardware, software, data and databases used, processed or stored by the Company or its subsidiaries or on behalf of the Company or its subsidiaries (collectively, “</w:t>
      </w:r>
      <w:r>
        <w:rPr>
          <w:rFonts w:ascii="Times New Roman;Times;Serif" w:hAnsi="Times New Roman;Times;Serif"/>
          <w:b/>
          <w:i w:val="false"/>
          <w:caps w:val="false"/>
          <w:smallCaps w:val="false"/>
          <w:sz w:val="20"/>
          <w:u w:val="single"/>
        </w:rPr>
        <w:t>IT Systems and Data</w:t>
      </w:r>
      <w:r>
        <w:rPr>
          <w:rFonts w:ascii="Times New Roman;Times;Serif" w:hAnsi="Times New Roman;Times;Serif"/>
          <w:b w:val="false"/>
          <w:i w:val="false"/>
          <w:caps w:val="false"/>
          <w:smallCaps w:val="false"/>
          <w:sz w:val="20"/>
        </w:rPr>
        <w:t>”), except for any such security breach, unauthorized access or disclosure, or other compromise of the Company’s or its subsidiaries’ IT Systems and Data that would not be reasonably expected to, individually or in the aggregate, result in a Material Adverse Change and (B) the Company and its subsidiaries have implemented reasonable controls, policies, procedures and technological safeguards designed to maintain and protect the integrity, operation, redundancy and security of their IT Systems and Data to be used in connection with the Company’s proposed method of operation. To the Company’s knowledge, the Company and its subsidiaries are presently in compliance with all applicable laws and regulations, judgments and orders of any court or arbitrator or governmental or regulatory authority and contractual obligations relating to the privacy and security of IT Systems and Data and to the protection of such IT Systems and Data from unauthorized use, access, misappropriation or modification, except where failure to be so in compliance would not, individually or in the aggregate,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Accurate Disclosure</w:t>
      </w:r>
      <w:r>
        <w:rPr>
          <w:rFonts w:ascii="Times New Roman;Times;Serif" w:hAnsi="Times New Roman;Times;Serif"/>
          <w:b w:val="false"/>
          <w:i w:val="false"/>
          <w:caps w:val="false"/>
          <w:smallCaps w:val="false"/>
          <w:sz w:val="20"/>
        </w:rPr>
        <w:t>. The statements set forth in the Prospectus under the captions “</w:t>
      </w:r>
      <w:r>
        <w:rPr>
          <w:rFonts w:ascii="Times New Roman;Times;Serif" w:hAnsi="Times New Roman;Times;Serif"/>
          <w:b w:val="false"/>
          <w:i/>
          <w:caps w:val="false"/>
          <w:smallCaps w:val="false"/>
          <w:sz w:val="20"/>
        </w:rPr>
        <w:t>Description of Capital Stock</w:t>
      </w:r>
      <w:r>
        <w:rPr>
          <w:rFonts w:ascii="Times New Roman;Times;Serif" w:hAnsi="Times New Roman;Times;Serif"/>
          <w:b w:val="false"/>
          <w:i w:val="false"/>
          <w:caps w:val="false"/>
          <w:smallCaps w:val="false"/>
          <w:sz w:val="20"/>
        </w:rPr>
        <w:t xml:space="preserve">” insofar as such statements summarize legal matters, agreements, documents or proceedings discussed therein, are accurate summaries of such legal matters, agreements, documents or proceedings in all material respects and there are no contracts or documents that are required to be described in the Prospectus or to be filed as exhibits to the Registration Statement that have not been so described or filed as required. Any certificate signed by any officer of the Company or any of its subsidiaries and delivered to the Agents or to counsel for the Agents shall be deemed a representation and warranty by the Company to the Agents as to the matters covered thereby. The Company acknowledges that the Agents and, for purposes of the opinions to be delivered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Covenants</w:t>
      </w:r>
      <w:r>
        <w:rPr>
          <w:rFonts w:ascii="Times New Roman;Times;Serif" w:hAnsi="Times New Roman;Times;Serif"/>
          <w:b w:val="false"/>
          <w:i w:val="false"/>
          <w:caps w:val="false"/>
          <w:smallCaps w:val="false"/>
          <w:sz w:val="20"/>
        </w:rPr>
        <w:t>) hereof, counsel to the Company and counsel to the Agents, will rely upon the accuracy and truthfulness of the foregoing representations and hereby consents to such reliance.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further covenants and agrees with each Agent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Amendments; Securities Act Compliance</w:t>
      </w:r>
      <w:r>
        <w:rPr>
          <w:rFonts w:ascii="Times New Roman;Times;Serif" w:hAnsi="Times New Roman;Times;Serif"/>
          <w:b w:val="false"/>
          <w:i w:val="false"/>
          <w:caps w:val="false"/>
          <w:smallCaps w:val="false"/>
          <w:sz w:val="20"/>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the Company shall (i) promptly advise the Agents in writing of the receipt of any comments of, or requests for additional or supplemental information from, the Commission; (ii) promptly advise the Agents in writing of the time and date of any filing of any post-effective amendment to the Registration Statement or any amendment or supplement to any free writing prospectus or the Prospectus; (iii) promptly advise the Agents in writing of the time and date that any post-effective amendment to the Registration Statement becomes effective; (iv) promptly advise the Agents in writing of the issuance by the Commission of any stop order suspending the effectiveness of the Registration Statement or any post-effective amendment thereto or any amendment or supplement to the Prospectus or of any order preventing or suspending the use of any free writing prospectus or the Prospectus, or of any proceedings to remove, suspend or terminate from listing or quotation the Shares from any securities exchange upon which they are listed for trading or included or designated for quotation, or of the threat or initiation of any proceedings for any of such purposes or pursuant to Section 8A of the Securities Act; (v) prepare and file with the Commission, promptly upon the Agents’ request, any amendments or supplements to the Registration Statement or Prospectus that, in counsel for the Agents’ reasonable opinion, may be necessary or advisable in connection with the distribution of the Placement Shares by the Agents (provided, however, that the failure of the Agents to make such request shall not relieve the Company of any obligation or liability hereunder, or affect the Agents’ right to rely on the representations and warranties made by the Company in this Agreement); and (vi) furnish to the Agents at the time of filing thereof a copy of any document that upon filing is deemed to be incorporated by reference into the Registration Statement or Prospectus, except for those documents available via EDGAR. If the Commission shall enter any such stop order described in clause (iv) at any time, the Company will use its reasonable efforts to obtain the lifting of such order at the earliest possible moment. Additionally, the Company agrees that it shall comply with the provisions of Rule 424(b), Rule 433 and Rule 430B, as applicable, under the Securities Act and will use its reasonable efforts to confirm that any filings made by the Company under such Rule 424(b) or Rule 433 are made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shall furnish to the Agents and their counsel, without charge, as many copies as the Agents may reasonably request of the Registration Statement (including exhibits thereto),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at the Agents’ request, will also furnish copies of the Prospectus to each exchange or market on which sales of the Placement Shares may be made;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shall not be required to furnish any document (other than the Prospectus) to the Agents to the extent such document is available to the Agents or the public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The Agents’ Review of Proposed Amendments and Supplements</w:t>
      </w:r>
      <w:r>
        <w:rPr>
          <w:rFonts w:ascii="Times New Roman;Times;Serif" w:hAnsi="Times New Roman;Times;Serif"/>
          <w:b w:val="false"/>
          <w:i w:val="false"/>
          <w:caps w:val="false"/>
          <w:smallCaps w:val="false"/>
          <w:sz w:val="20"/>
        </w:rPr>
        <w:t>. Prior to amending or supplementing the Registration Statement or the Prospectus, the Company shall furnish to the Agents for review, a reasonable amount of time prior to the proposed time of filing or use thereof, a copy of each such proposed amendment or supplement, and the Company shall not file or use any such proposed amendment or supplement without the Agents’ consent (not to be unreasonably withheld or delayed), and the Company shall file with the Commission within the applicable period specified in Rule 424(b) under the Securities Act any prospectus required to be filed pursuant to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Free Writing Prospectuses</w:t>
      </w:r>
      <w:r>
        <w:rPr>
          <w:rFonts w:ascii="Times New Roman;Times;Serif" w:hAnsi="Times New Roman;Times;Serif"/>
          <w:b w:val="false"/>
          <w:i w:val="false"/>
          <w:caps w:val="false"/>
          <w:smallCaps w:val="false"/>
          <w:sz w:val="20"/>
        </w:rPr>
        <w:t xml:space="preserve">. The Company shall furnish to the Agents for review, a reasonable amount of time prior to the proposed time of filing or use thereof, a copy of each proposed issuer free writing prospectus or any amendment or supplement thereto to be prepared by or on behalf of, used by, or referred to by the Company, and the Company shall not file, use or refer to any proposed issuer free writing prospectus or any amendment or supplement thereto without the Agents’ consent (not to be unreasonably withheld or delayed). The Company shall furnish to the Agents, without charge, as many copies of any free writing prospectus prepared by or on behalf of, or used by the Company, as the Agents may reasonably request, except for those documents available via EDGAR. If at any time when a prospectus is required by the Securities Act (including, without limitation, pursuant to Rule 173(d)) to be delivered in connection with sales of the Placement Shares there occurs or has occurred an event or development as a result of which any free writing prospectus prepared by or on behalf of, used by, or referred to by the Company conflicted or would conflict with the information contained in the Registration Statement or, when taken together with the Registration Statement,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prior to amending or supplementing any such free writing prospectus, the Company shall furnish to the Agents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(not to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xml:space="preserve">. During any period in which a Prospectus relating to the Placement Shares is required to be delivered by the Agents under the Securities Act with respect to a pending sale of the Placement Shares (including in circumstances where such requirement may be satisfied pursuant to Rule 172 under the Securities Act), the Company will comply in all material respects with the requirements imposed upon it by the Securities Act, as from time to time in force, and will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then existing, not misleading, or if in the opinion of counsel for the Agents it is otherwise necessary to amend or supplement the Prospectus to comply with applicable law, including the Securities Act, the Company will promptly notify the Applicable Agent to suspend the offering of Placement Shares during such period and the Company agrees (subject to </w:t>
      </w:r>
      <w:r>
        <w:rPr>
          <w:rFonts w:ascii="Times New Roman;Times;Serif" w:hAnsi="Times New Roman;Times;Serif"/>
          <w:b w:val="false"/>
          <w:i w:val="false"/>
          <w:caps w:val="false"/>
          <w:smallCaps w:val="false"/>
          <w:sz w:val="20"/>
          <w:u w:val="single"/>
        </w:rPr>
        <w:t>Section 7(c)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7(d)</w:t>
      </w:r>
      <w:r>
        <w:rPr>
          <w:rFonts w:ascii="Times New Roman;Times;Serif" w:hAnsi="Times New Roman;Times;Serif"/>
          <w:b w:val="false"/>
          <w:i w:val="false"/>
          <w:caps w:val="false"/>
          <w:smallCaps w:val="false"/>
          <w:sz w:val="20"/>
        </w:rPr>
        <w:t xml:space="preserve">) to promptly prepare, file with the Commission and furnish at its own expense to the Agents,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then existing, not be misleading or so that the Prospectus, as amended or supplemented, will comply with applicable law including the Securities Act. Neither the Agents’ consent to, nor delivery of, any such amendment or supplement shall constitute a waiver of any of the Company’s obligations under </w:t>
      </w:r>
      <w:r>
        <w:rPr>
          <w:rFonts w:ascii="Times New Roman;Times;Serif" w:hAnsi="Times New Roman;Times;Serif"/>
          <w:b w:val="false"/>
          <w:i w:val="false"/>
          <w:caps w:val="false"/>
          <w:smallCaps w:val="false"/>
          <w:sz w:val="20"/>
          <w:u w:val="single"/>
        </w:rPr>
        <w:t>Sections 7(c)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During any period in which the Prospectus relating to the Placement Shares is required to be delivered by the Agents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As soon as practicable, but in any event no later than 15 months after the effective date of the Registration Statement (as such date is defined in Rule 158(c) under the Securities Act), the Company will make generally available to its security holders an earnings statement (which need not be audited) complying with Section 11(a) of the Securities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Placement Shares (including all printing and engraving costs); (ii) all fees and expenses of the registrar and transfer agent of the Placement Shares; (iii) all necessary issue, transfer and other stamp taxes in connection with the issuance and sale of the Placement Shares to the Agents;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prepared by or on behalf of, used by, or referred to by the Company, and all amendments and supplements thereto, and this Agreement; (vi) all filing fees, attorneys’ fees and expenses incurred by the Company or the Agents in connection with qualifying or registering (or obtaining exemptions from the qualification or registration of) all or any part of the Placement Shares for offer and sale under the state securities or blue sky laws or the provincial securities laws of Canada, and, if requested by the Agents, preparing and printing a “Blue Sky Survey” or memorandum and a “Canadian wrapper,” and any supplements thereto, advising the Agents of such qualifications, registrations and exemptions; (vii) the filing fees incident to, and the reasonable fees and expenses of counsel for the Agents in connection with, FINRA’s review, if any, and approval of the Agents’ participation in the offering and distribution of the Placement Shares; provided that the fees of the Agents’ counsel in connection therewith and with </w:t>
      </w:r>
      <w:r>
        <w:rPr>
          <w:rFonts w:ascii="Times New Roman;Times;Serif" w:hAnsi="Times New Roman;Times;Serif"/>
          <w:b w:val="false"/>
          <w:i w:val="false"/>
          <w:caps w:val="false"/>
          <w:smallCaps w:val="false"/>
          <w:sz w:val="20"/>
          <w:u w:val="single"/>
        </w:rPr>
        <w:t>clause (vi)</w:t>
      </w:r>
      <w:r>
        <w:rPr>
          <w:rFonts w:ascii="Times New Roman;Times;Serif" w:hAnsi="Times New Roman;Times;Serif"/>
          <w:b w:val="false"/>
          <w:i w:val="false"/>
          <w:caps w:val="false"/>
          <w:smallCaps w:val="false"/>
          <w:sz w:val="20"/>
        </w:rPr>
        <w:t> above shall not exceed an aggregate of $10,000; (viii) the fees and expenses associated with including the Placement Shares on the Exchange; (ix) all other fees, costs and expenses of the nature referred to in Item 14 of Part II of the Registration Statement; and (x) if Shares having an aggregate offering price of $10.0 million or more have not been offered and sold under this Agreement by February 28, 2027 (or such earlier date at which the Company terminates this Agreement (the “</w:t>
      </w:r>
      <w:r>
        <w:rPr>
          <w:rFonts w:ascii="Times New Roman;Times;Serif" w:hAnsi="Times New Roman;Times;Serif"/>
          <w:b/>
          <w:i w:val="false"/>
          <w:caps w:val="false"/>
          <w:smallCaps w:val="false"/>
          <w:sz w:val="20"/>
          <w:u w:val="single"/>
        </w:rPr>
        <w:t>Determination Date</w:t>
      </w:r>
      <w:r>
        <w:rPr>
          <w:rFonts w:ascii="Times New Roman;Times;Serif" w:hAnsi="Times New Roman;Times;Serif"/>
          <w:b w:val="false"/>
          <w:i w:val="false"/>
          <w:caps w:val="false"/>
          <w:smallCaps w:val="false"/>
          <w:sz w:val="20"/>
        </w:rPr>
        <w:t>”)), the Company shall reimburse the Agents for all of their reasonable out-of-pocket expenses, including the reasonable fees and disbursements of counsel to the Agents, in connection with the transactions contemplated by this Agreement (the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Company will not be obligated to reimburse the Agents for any Expenses pursuant to this </w:t>
      </w:r>
      <w:r>
        <w:rPr>
          <w:rFonts w:ascii="Times New Roman;Times;Serif" w:hAnsi="Times New Roman;Times;Serif"/>
          <w:b w:val="false"/>
          <w:i w:val="false"/>
          <w:caps w:val="false"/>
          <w:smallCaps w:val="false"/>
          <w:sz w:val="20"/>
          <w:u w:val="single"/>
        </w:rPr>
        <w:t>Section 7(h)(x)</w:t>
      </w:r>
      <w:r>
        <w:rPr>
          <w:rFonts w:ascii="Times New Roman;Times;Serif" w:hAnsi="Times New Roman;Times;Serif"/>
          <w:b w:val="false"/>
          <w:i w:val="false"/>
          <w:caps w:val="false"/>
          <w:smallCaps w:val="false"/>
          <w:sz w:val="20"/>
        </w:rPr>
        <w:t xml:space="preserve">, in excess of $30,000 in the aggregate. The Expenses shall be due and payable by the Company within five (5) Business Days of the Determination Date. Except as provided in this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hereof, the Agents shall pay their own expenses, including the fees and disbursements of their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apply the net proceeds from the sale of the Shares to be sold by it hereunder in accordance with the statements under the caption “Use of Proceeds”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xml:space="preserve">. During the pendency of any Placement Notice given hereunder, the Company shall provide the Applicable Agent written notice as promptly as reasonably practicable before it offers to sell, contracts to sell, sells, grants any option to sell or otherwise disposes of any shares of Common Stock (other than Placement Shares offered pursuant to the provisions of the Agreement) or securities convertible into or exchangeable for Common Stock, warrants or any rights to purchase or acquire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notice shall not be required in connection with (i) the issuance, grant or sale of Common Stock, options to purchase Common Stock or Common Stock issuable upon the exercise of options or other equity awards pursuant to any stock option, stock bonus or other stock or compensatory plan or arrangement described in the Prospectus, (ii) the issuance of securities in connection with an acquisition, merger or sale or purchase of assets described in the Prospectus or (iii) the issuance or sale of Common Stock pursuant to any dividend reinvestment plan that the Company may adopt from time to time provided the implementation of such is disclosed to the Agents in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the pendency of a Placement Notice, advise the Applicable Agent as promptly as reasonably practicable after it shall have received notice or obtained knowledge thereof, of any information or fact that would alter or affect in any material respect any opinion, certificate, letter or other document provided to the Agents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xml:space="preserve">. The Company will cooperate with any commercially reasonable due diligence review conducted by the Agents, or their agents and counsel, in connection with the transactions contemplated hereby, including, without limitation, providing information and making available documents and senior officers, upon reasonable notice during regular business hours and at the Company’s principal offices, as the Agents may reasonably request (i) on or prior to the date that the first Shares are sold pursuant to the terms of this Agreement and (ii) prior to each Representation Date. The Company will make available its appropriate officers and cause such officers to participate in a call with the Agents and their counsel prior to each Representation Date (including, without limitation, the availability of the chief financial officer to respond to questions regarding the business and financial condition of the Company) and otherwise as the Agents may reasonably request; such call shall be for the purpose of updating the Agents’ due diligence review of the Company in connection with the transactions contemplated hereby. The obligations set forth in the preceding sentence of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shall be suspended following delivery of written notice to the Agents specifying that the Company does not intend to sell Shares under this Agreement until notice to the contrary is provided (such time period, a “</w:t>
      </w:r>
      <w:r>
        <w:rPr>
          <w:rFonts w:ascii="Times New Roman;Times;Serif" w:hAnsi="Times New Roman;Times;Serif"/>
          <w:b/>
          <w:i w:val="false"/>
          <w:caps w:val="false"/>
          <w:smallCaps w:val="false"/>
          <w:sz w:val="20"/>
          <w:u w:val="single"/>
        </w:rPr>
        <w:t>Suspension Period</w:t>
      </w:r>
      <w:r>
        <w:rPr>
          <w:rFonts w:ascii="Times New Roman;Times;Serif" w:hAnsi="Times New Roman;Times;Serif"/>
          <w:b w:val="false"/>
          <w:i w:val="false"/>
          <w:caps w:val="false"/>
          <w:smallCaps w:val="false"/>
          <w:sz w:val="20"/>
        </w:rPr>
        <w:t xml:space="preserve">”). Following delivery of notice to the Applicable Agent that the Company intends to recommence sales of Shares under this Agreement, the provisions of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shall once again be operative.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The Company agrees that on or prior to such dates as the Securities Act shall require, the Company will (i) file and disclose in a prospectus supplement with the Commission under the applicable paragraph of Rule 424(b) under the Securities Act or (ii) disclose in its annual reports on Form 10-K, quarterly reports on Form 10-Q or current reports on Form 8-K, as applicable, the number of Shares sold through the Agents under the Agreement, the Net Proceeds to the Company, the compensation paid by the Company with respect to sales of Shares pursuant to the Agreement during the relevant period and any other information regarding the Placement Shares that the Company reasonably believes is required to comply with the Securities Act. The Company agrees to deliver such number of copies of each such prospectus supplement (if any) to each exchange or market on which such sales were effected as may be required by the rules or regulations of such exchange or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xml:space="preserve">. On or prior to the date that the first Shares are sold pursuant to the terms of this Agreement and (A) each time the Company (i) files the Prospectus relating to the Placement Shares or amends or supplements the Registration Statement or the Prospectus relating to the Placement Shares (other than a prospectus supplement filed in accordance with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of this Agreement) by means of a post-effective amendment, sticker, or supplement but not by means of incorporation of documents by reference into the Registration Statement or the Prospectus relating to the Placement Shares; (ii) files an annual report on Form 10-K under the Exchange Act; (iii) files its quarterly reports on Form 10-Q under the Exchange Act; or (iv) files a report on Form 8-K containing amended financial information (other than an earnings release, to “furnish” information pursuant to Items 2.02 or 7.01 of Form 8-K, and other than a report on Form 8-K containing financial information of a tenant of the Company or its subsidiaries) under the Exchange Act and (B) (i) upon recommencement of sales after a suspension in accordance with Section 4 hereof or (ii) upon delivery of a notice to the Applicable Agent that the Company intends to recommence sales after a Suspension Period in accordance with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Due Diligence Cooperation</w:t>
      </w:r>
      <w:r>
        <w:rPr>
          <w:rFonts w:ascii="Times New Roman;Times;Serif" w:hAnsi="Times New Roman;Times;Serif"/>
          <w:b w:val="false"/>
          <w:i w:val="false"/>
          <w:caps w:val="false"/>
          <w:smallCaps w:val="false"/>
          <w:sz w:val="20"/>
        </w:rPr>
        <w:t>) hereof and as reasonably requested (each date of filing of one or more of the documents referred to in clauses (A)(i) through (iv) and any date of recommencement after a suspension referred to in clause (B)(i) and (B)(ii) shall be a “</w:t>
      </w:r>
      <w:r>
        <w:rPr>
          <w:rFonts w:ascii="Times New Roman;Times;Serif" w:hAnsi="Times New Roman;Times;Serif"/>
          <w:b/>
          <w:i w:val="false"/>
          <w:caps w:val="false"/>
          <w:smallCaps w:val="false"/>
          <w:sz w:val="20"/>
          <w:u w:val="single"/>
        </w:rPr>
        <w:t>Representation Date</w:t>
      </w:r>
      <w:r>
        <w:rPr>
          <w:rFonts w:ascii="Times New Roman;Times;Serif" w:hAnsi="Times New Roman;Times;Serif"/>
          <w:b w:val="false"/>
          <w:i w:val="false"/>
          <w:caps w:val="false"/>
          <w:smallCaps w:val="false"/>
          <w:sz w:val="20"/>
        </w:rPr>
        <w:t xml:space="preserve">”); the Company shall furnish the Agents with a certificate, in the form attached hereto as </w:t>
      </w:r>
      <w:r>
        <w:rPr>
          <w:rFonts w:ascii="Times New Roman;Times;Serif" w:hAnsi="Times New Roman;Times;Serif"/>
          <w:b w:val="false"/>
          <w:i w:val="false"/>
          <w:caps w:val="false"/>
          <w:smallCaps w:val="false"/>
          <w:sz w:val="20"/>
          <w:u w:val="single"/>
        </w:rPr>
        <w:t>Exhibit 7(n)</w:t>
      </w:r>
      <w:r>
        <w:rPr>
          <w:rFonts w:ascii="Times New Roman;Times;Serif" w:hAnsi="Times New Roman;Times;Serif"/>
          <w:b w:val="false"/>
          <w:i w:val="false"/>
          <w:caps w:val="false"/>
          <w:smallCaps w:val="false"/>
          <w:sz w:val="20"/>
        </w:rPr>
        <w:t xml:space="preserve"> within three (3) Trading Days of any Representation Date if requested by the Agents. The requirement to provide a certificate under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is hereby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such waiver shall not apply for any Representation Date on which the Company files its annual report on Form 10-K; </w:t>
      </w:r>
      <w:r>
        <w:rPr>
          <w:rFonts w:ascii="Times New Roman;Times;Serif" w:hAnsi="Times New Roman;Times;Serif"/>
          <w:b w:val="false"/>
          <w:i/>
          <w:caps w:val="false"/>
          <w:smallCaps w:val="false"/>
          <w:sz w:val="20"/>
        </w:rPr>
        <w:t>provided, further, however</w:t>
      </w:r>
      <w:r>
        <w:rPr>
          <w:rFonts w:ascii="Times New Roman;Times;Serif" w:hAnsi="Times New Roman;Times;Serif"/>
          <w:b w:val="false"/>
          <w:i w:val="false"/>
          <w:caps w:val="false"/>
          <w:smallCaps w:val="false"/>
          <w:sz w:val="20"/>
        </w:rPr>
        <w:t xml:space="preserve">, that the obligation of the Company under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shall be deferred during any Suspension Period and shall recommence upon the termination of such Suspension Period. Notwithstanding the foregoing, if the Company subsequently decides to sell Placement Shares following a Representation Date when the Company relied on such waiver and did not provide the Applicable Agent with a certificate under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then before the Company delivers the Placement Notice or the Applicable Agent sells any Placement Shares, the Company shall provide the Agents with a certificate, in the form attached hereto as </w:t>
      </w:r>
      <w:r>
        <w:rPr>
          <w:rFonts w:ascii="Times New Roman;Times;Serif" w:hAnsi="Times New Roman;Times;Serif"/>
          <w:b w:val="false"/>
          <w:i w:val="false"/>
          <w:caps w:val="false"/>
          <w:smallCaps w:val="false"/>
          <w:sz w:val="20"/>
          <w:u w:val="single"/>
        </w:rPr>
        <w:t>Exhibit 7(n)</w:t>
      </w:r>
      <w:r>
        <w:rPr>
          <w:rFonts w:ascii="Times New Roman;Times;Serif" w:hAnsi="Times New Roman;Times;Serif"/>
          <w:b w:val="false"/>
          <w:i w:val="false"/>
          <w:caps w:val="false"/>
          <w:smallCaps w:val="false"/>
          <w:sz w:val="20"/>
        </w:rPr>
        <w:t>, dated the date of the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Legal Opinion of Counsel for the Company</w:t>
      </w:r>
      <w:r>
        <w:rPr>
          <w:rFonts w:ascii="Times New Roman;Times;Serif" w:hAnsi="Times New Roman;Times;Serif"/>
          <w:b w:val="false"/>
          <w:i w:val="false"/>
          <w:caps w:val="false"/>
          <w:smallCaps w:val="false"/>
          <w:sz w:val="20"/>
        </w:rPr>
        <w:t xml:space="preserve">. On or prior to the date that the first Shares are sold pursuant to the terms of this Agreement and within three (3) Trading Days of each Representation Date with respect to which the Company is obligated to deliver a certificate in the form attached hereto as </w:t>
      </w:r>
      <w:r>
        <w:rPr>
          <w:rFonts w:ascii="Times New Roman;Times;Serif" w:hAnsi="Times New Roman;Times;Serif"/>
          <w:b w:val="false"/>
          <w:i w:val="false"/>
          <w:caps w:val="false"/>
          <w:smallCaps w:val="false"/>
          <w:sz w:val="20"/>
          <w:u w:val="single"/>
        </w:rPr>
        <w:t>Exhibit 7(n)</w:t>
      </w:r>
      <w:r>
        <w:rPr>
          <w:rFonts w:ascii="Times New Roman;Times;Serif" w:hAnsi="Times New Roman;Times;Serif"/>
          <w:b w:val="false"/>
          <w:i w:val="false"/>
          <w:caps w:val="false"/>
          <w:smallCaps w:val="false"/>
          <w:sz w:val="20"/>
        </w:rPr>
        <w:t xml:space="preserve"> for which no waiver is applicable, the Company shall cause to be furnished to the Agents the written opinion of Haynes and Boone, LLP or other counsel satisfactory to the Agents, in form and substance satisfactory to the Agents and their counsel, dated the date that the opinion is required to be delivered, substantially similar to the forms attached hereto as </w:t>
      </w:r>
      <w:r>
        <w:rPr>
          <w:rFonts w:ascii="Times New Roman;Times;Serif" w:hAnsi="Times New Roman;Times;Serif"/>
          <w:b w:val="false"/>
          <w:i w:val="false"/>
          <w:caps w:val="false"/>
          <w:smallCaps w:val="false"/>
          <w:sz w:val="20"/>
          <w:u w:val="single"/>
        </w:rPr>
        <w:t>Exhibit 7(o)(1)</w:t>
      </w:r>
      <w:r>
        <w:rPr>
          <w:rFonts w:ascii="Times New Roman;Times;Serif" w:hAnsi="Times New Roman;Times;Serif"/>
          <w:b w:val="false"/>
          <w:i w:val="false"/>
          <w:caps w:val="false"/>
          <w:smallCaps w:val="false"/>
          <w:sz w:val="20"/>
        </w:rPr>
        <w:t xml:space="preserve">, modified, as necessary, to relate to the Registration Statement and the Prospectus as then amended or supplemented;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lieu of such opinions for subsequent Representation Dates, counsel may furnish the Agents with a letter (a “</w:t>
      </w:r>
      <w:r>
        <w:rPr>
          <w:rFonts w:ascii="Times New Roman;Times;Serif" w:hAnsi="Times New Roman;Times;Serif"/>
          <w:b/>
          <w:i w:val="false"/>
          <w:caps w:val="false"/>
          <w:smallCaps w:val="false"/>
          <w:sz w:val="20"/>
          <w:u w:val="single"/>
        </w:rPr>
        <w:t>Reliance Letter</w:t>
      </w:r>
      <w:r>
        <w:rPr>
          <w:rFonts w:ascii="Times New Roman;Times;Serif" w:hAnsi="Times New Roman;Times;Serif"/>
          <w:b w:val="false"/>
          <w:i w:val="false"/>
          <w:caps w:val="false"/>
          <w:smallCaps w:val="false"/>
          <w:sz w:val="20"/>
        </w:rPr>
        <w:t xml:space="preserve">”) to the effect that the Agents may rely on a prior opinion delivered under this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 xml:space="preserve"> to the same extent as if it were dated the date of such letter (except that statements in such prior opinion shall be deemed to relate to the Registration Statement and the Prospectus as amended or supplemented at such Representation Date). The obligation of the Company under this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 shall be deferred during any Suspension Period and shall recommence upon the termination of such Suspension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On or prior to the date that the first Shares are sold pursuant to the terms of this Agreement and within three (3) Trading Days of each Representation Date with respect to which the Company is obligated to deliver a certificate in the form attached hereto as </w:t>
      </w:r>
      <w:r>
        <w:rPr>
          <w:rFonts w:ascii="Times New Roman;Times;Serif" w:hAnsi="Times New Roman;Times;Serif"/>
          <w:b w:val="false"/>
          <w:i w:val="false"/>
          <w:caps w:val="false"/>
          <w:smallCaps w:val="false"/>
          <w:sz w:val="20"/>
          <w:u w:val="single"/>
        </w:rPr>
        <w:t>Exhibit 7(n)</w:t>
      </w:r>
      <w:r>
        <w:rPr>
          <w:rFonts w:ascii="Times New Roman;Times;Serif" w:hAnsi="Times New Roman;Times;Serif"/>
          <w:b w:val="false"/>
          <w:i w:val="false"/>
          <w:caps w:val="false"/>
          <w:smallCaps w:val="false"/>
          <w:sz w:val="20"/>
        </w:rPr>
        <w:t> for which no waiver is applicable, the Company shall cause (a) PricewaterhouseCoopers LLP, independent public or certified public accountants for the Company, to furnish the Agents a letter dated the date the letter is delivered and addressed to the Agents, in form and substance satisfactory to the Agents, (i) containing statements and information of the type ordinarily included in accountants’ “comfort letters” to underwriters, delivered according to Accounting Standards Update No. 634 (or any successor bulletin), with respect to the audited and unaudited financial statements and certain financial information of the Company and its subsidiaries contained in the Registration Statement, the Prospectus, and each free writing prospectus, if any, and, with respect to each letter dated the date hereof only, the Prospectus, and (ii) confirming that they are (A) independent public or certified public accountants as required by the Securities Act and the Exchange Act and the applicable published rules and regulations thereunder (the “</w:t>
      </w:r>
      <w:r>
        <w:rPr>
          <w:rFonts w:ascii="Times New Roman;Times;Serif" w:hAnsi="Times New Roman;Times;Serif"/>
          <w:b/>
          <w:i w:val="false"/>
          <w:caps w:val="false"/>
          <w:smallCaps w:val="false"/>
          <w:sz w:val="20"/>
          <w:u w:val="single"/>
        </w:rPr>
        <w:t>Comfort Letter”</w:t>
      </w:r>
      <w:r>
        <w:rPr>
          <w:rFonts w:ascii="Times New Roman;Times;Serif" w:hAnsi="Times New Roman;Times;Serif"/>
          <w:b w:val="false"/>
          <w:i w:val="false"/>
          <w:caps w:val="false"/>
          <w:smallCaps w:val="false"/>
          <w:sz w:val="20"/>
        </w:rPr>
        <w:t>, the first such letter, the “</w:t>
      </w:r>
      <w:r>
        <w:rPr>
          <w:rFonts w:ascii="Times New Roman;Times;Serif" w:hAnsi="Times New Roman;Times;Serif"/>
          <w:b/>
          <w:i w:val="false"/>
          <w:caps w:val="false"/>
          <w:smallCaps w:val="false"/>
          <w:sz w:val="20"/>
          <w:u w:val="single"/>
        </w:rPr>
        <w:t>Initial Comfort Letter</w:t>
      </w:r>
      <w:r>
        <w:rPr>
          <w:rFonts w:ascii="Times New Roman;Times;Serif" w:hAnsi="Times New Roman;Times;Serif"/>
          <w:b w:val="false"/>
          <w:i w:val="false"/>
          <w:caps w:val="false"/>
          <w:smallCaps w:val="false"/>
          <w:sz w:val="20"/>
        </w:rPr>
        <w:t xml:space="preserve">”) and (b) PricewaterhouseCoopers LLP to 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The obligations of the Company under this </w:t>
      </w:r>
      <w:r>
        <w:rPr>
          <w:rFonts w:ascii="Times New Roman;Times;Serif" w:hAnsi="Times New Roman;Times;Serif"/>
          <w:b w:val="false"/>
          <w:i w:val="false"/>
          <w:caps w:val="false"/>
          <w:smallCaps w:val="false"/>
          <w:sz w:val="20"/>
          <w:u w:val="single"/>
        </w:rPr>
        <w:t>Section 7(p)</w:t>
      </w:r>
      <w:r>
        <w:rPr>
          <w:rFonts w:ascii="Times New Roman;Times;Serif" w:hAnsi="Times New Roman;Times;Serif"/>
          <w:b w:val="false"/>
          <w:i w:val="false"/>
          <w:caps w:val="false"/>
          <w:smallCaps w:val="false"/>
          <w:sz w:val="20"/>
        </w:rPr>
        <w:t> shall be deferred during any Suspension Period and shall recommence upon the termination of such Suspension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its subsidiaries shall maintain, or cause to be maintained, insurance in such amounts and covering such risks as is commercially reasonable and customary for companies engaged in similar businesses in similar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The Company will use its commercially reasonable efforts to maintain its status as a “seasoned issuer” under Financial Industry Regulatory Authority, Inc. (“</w:t>
      </w:r>
      <w:r>
        <w:rPr>
          <w:rFonts w:ascii="Times New Roman;Times;Serif" w:hAnsi="Times New Roman;Times;Serif"/>
          <w:b/>
          <w:i w:val="false"/>
          <w:caps w:val="false"/>
          <w:smallCaps w:val="false"/>
          <w:sz w:val="20"/>
          <w:u w:val="single"/>
        </w:rPr>
        <w:t>FINRA</w:t>
      </w:r>
      <w:r>
        <w:rPr>
          <w:rFonts w:ascii="Times New Roman;Times;Serif" w:hAnsi="Times New Roman;Times;Serif"/>
          <w:b w:val="false"/>
          <w:i w:val="false"/>
          <w:caps w:val="false"/>
          <w:smallCaps w:val="false"/>
          <w:sz w:val="20"/>
        </w:rPr>
        <w:t>”) Rule 5110(b)(7)(C)(i). In the event that the Company is unable to maintain such status, the Company will promptly notify the Agents of such matter and cooperate with the Agents to make any filings with FINRA as may be required in connection with the offering of the Shares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Securities Act and Exchange Act</w:t>
      </w:r>
      <w:r>
        <w:rPr>
          <w:rFonts w:ascii="Times New Roman;Times;Serif" w:hAnsi="Times New Roman;Times;Serif"/>
          <w:b w:val="false"/>
          <w:i w:val="false"/>
          <w:caps w:val="false"/>
          <w:smallCaps w:val="false"/>
          <w:sz w:val="20"/>
        </w:rPr>
        <w:t>. The Company will use its commercially reasonable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 including the filing of any and all documents required to be filed with the Commission pursuant to Section 13, 14 or 15 of the Exchange Act in the manner and within the time periods required by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Other than a free writing prospectus (as defined in Rule 405 under the Securities Act) approved in advance in writing by the Company and the Agents in their capacity as principal or agent hereunder, neither the Agents nor the Company (including its agents and representatives, other than the Agents in their capacity as such) will, directly or indirectly, use, authorize, approve or refer to any free writing prospectus relating to the Shares to be sold by the Agents as principal or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Filing of Free Writing Prospectuses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shall not take any action that would result in the Agents or the Company being required to file with the Commission pursuant to Rule 433(d) under the Securities Act a free writing prospectus prepared by or on behalf of the Agents that the Agents otherwise would not have been required to file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Blue Sky Compliance</w:t>
      </w:r>
      <w:r>
        <w:rPr>
          <w:rFonts w:ascii="Times New Roman;Times;Serif" w:hAnsi="Times New Roman;Times;Serif"/>
          <w:b w:val="false"/>
          <w:i w:val="false"/>
          <w:caps w:val="false"/>
          <w:smallCaps w:val="false"/>
          <w:sz w:val="20"/>
        </w:rPr>
        <w:t>. The Company shall cooperate with the Agents and counsel for the Agents to qualify or register the Shares for sale under (or obtain exemptions from the application of) the state securities or blue sky laws or Canadian provincial securities laws of those jurisdictions designated by the Agents,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Agents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reasonable efforts to obtain the withdrawal thereof at the earliest possible moment.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engage and maintain, at its expense, a registrar and transfer agent for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Company to Provide Copy of the Prospectus in Form That May be Downloaded from the Internet</w:t>
      </w:r>
      <w:r>
        <w:rPr>
          <w:rFonts w:ascii="Times New Roman;Times;Serif" w:hAnsi="Times New Roman;Times;Serif"/>
          <w:b w:val="false"/>
          <w:i w:val="false"/>
          <w:caps w:val="false"/>
          <w:smallCaps w:val="false"/>
          <w:sz w:val="20"/>
        </w:rPr>
        <w:t>. The Company shall cause to be prepared and delivered, at its expense, within one Business Day from the effective date of this Agreement, to the Agents an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to be used by the Agents in connection with the offering and sale of the Shares. As used herein, the term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means a form of the Prospectus, and any amendment or supplement thereto, that meets each of the following conditions: (i) it shall be encoded in an electronic format, satisfactory to the Agents, that may be transmitted electronically by the Agents to offerees and purchasers of the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Agents, that will allow investors to store and have continuously ready access to the Prospectus at any future time, without charge to investors (other than any fee charged for subscription to the Internet as a whole and for on-line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Future Reports to the Agents</w:t>
      </w:r>
      <w:r>
        <w:rPr>
          <w:rFonts w:ascii="Times New Roman;Times;Serif" w:hAnsi="Times New Roman;Times;Serif"/>
          <w:b w:val="false"/>
          <w:i w:val="false"/>
          <w:caps w:val="false"/>
          <w:smallCaps w:val="false"/>
          <w:sz w:val="20"/>
        </w:rPr>
        <w:t xml:space="preserve">. For so long as the delivery of a prospectus is required in connection with the offer and sale of the Shares, the Company will furnish to each of the Agents: (i) as soon as practicable after the filing thereof, copies of each proxy statement, Annual Report on Form 10-K, Quarterly Report on Form 10-Q, Current Report on Form 8-K or other report filed by the Company with the Commission, FINRA or any securities exchange; and (ii) as soon as available, copies of any report or communication of the Company mailed generally to holders of its capital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the Company will be deemed to have furnished the foregoing documents as required by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to the extent they are filed with the Commission and publicly accessible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Renewal of Registration Statement</w:t>
      </w:r>
      <w:r>
        <w:rPr>
          <w:rFonts w:ascii="Times New Roman;Times;Serif" w:hAnsi="Times New Roman;Times;Serif"/>
          <w:b w:val="false"/>
          <w:i w:val="false"/>
          <w:caps w:val="false"/>
          <w:smallCaps w:val="false"/>
          <w:sz w:val="20"/>
        </w:rPr>
        <w:t>. The date of this Agreement is not more than three years subsequent to the initial effective date of the Registration Statement (the “</w:t>
      </w:r>
      <w:r>
        <w:rPr>
          <w:rFonts w:ascii="Times New Roman;Times;Serif" w:hAnsi="Times New Roman;Times;Serif"/>
          <w:b/>
          <w:i w:val="false"/>
          <w:caps w:val="false"/>
          <w:smallCaps w:val="false"/>
          <w:sz w:val="20"/>
          <w:u w:val="single"/>
        </w:rPr>
        <w:t>Renewal Date</w:t>
      </w:r>
      <w:r>
        <w:rPr>
          <w:rFonts w:ascii="Times New Roman;Times;Serif" w:hAnsi="Times New Roman;Times;Serif"/>
          <w:b w:val="false"/>
          <w:i w:val="false"/>
          <w:caps w:val="false"/>
          <w:smallCaps w:val="false"/>
          <w:sz w:val="20"/>
        </w:rPr>
        <w:t>”). If, immediately prior to the Renewal Date, this Agreement has not terminated and a prospectus is required to be delivered or made available by the Agents under the Securities Act or the Exchange Act in connection with the sale of Shares, the Company will, prior to the Renewal Date, file, if it has not already done so, a new shelf registration statement or, if applicable, an automatic shelf registration statement relating to such Shares, and, if such registration statement is not an automatic shelf registration statement, will use its commercially reasonable efforts to cause such registration statement to be declared effective within 180 days after the Renewal Date, and will take all other reasonable actions necessary or appropriate to permit the public offer and sale of such Shares to continue as contemplated in the expired registration statement relating to such Shares. References herein to the “Registration Statement” shall include such new shelf registration statement or automatic shelf registration statement,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Covenant of the Agents</w:t>
      </w:r>
      <w:r>
        <w:rPr>
          <w:rFonts w:ascii="Times New Roman;Times;Serif" w:hAnsi="Times New Roman;Times;Serif"/>
          <w:b w:val="false"/>
          <w:i w:val="false"/>
          <w:caps w:val="false"/>
          <w:smallCaps w:val="false"/>
          <w:sz w:val="20"/>
        </w:rPr>
        <w:t>. Each Agent, severally and not jointly, covenants with the Company not to take any action that would result in the Company being required to file with the Commission pursuant to Rule 433(d) under the Securities Act a free writing prospectus prepared by or on behalf of the Agents that otherwise would not be required to be filed by the Company thereunder, but for the action of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Conditions to the Agents’ Obligations</w:t>
      </w:r>
      <w:r>
        <w:rPr>
          <w:rFonts w:ascii="Times New Roman;Times;Serif" w:hAnsi="Times New Roman;Times;Serif"/>
          <w:b w:val="false"/>
          <w:i w:val="false"/>
          <w:caps w:val="false"/>
          <w:smallCaps w:val="false"/>
          <w:sz w:val="20"/>
        </w:rPr>
        <w:t xml:space="preserve">. The obligations of each Agent hereunder with respect to a Placement will be subject to the continuing accuracy of the representations and warranties on the part of the Company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hereof, to the timely performance by the Company of its covenants and other obligations hereunder, to the completion by the Agents of a due diligence review satisfactory to the Agents in their reasonable judgment, and to the continuing satisfaction (or waiver by the Agents in their sole discretion) of each of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be effective and shall be available for (i) all sales of Placement Shares issued pursuant to all prior Placement Notices, and (ii) the sale of all Placement Shares contemplated to be issued by any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of any notification with respect to the suspension of the qualification or exemption from qualification of any of the Placement Shares for sale in any jurisdiction or the initiation or threatening of any proceeding for such purpose; (ii) receipt by the Company or any of its subsidiaries of any request for additional information from the Commission or any other Governmental Entity during the period of effectiveness of the Registration Statement, the response to which would require any post-effective amendments or supplements to the Registration Statement or the Prospectus; and (iii)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untrue statement of a material fact or omit to state any material fact required to be stated therein or necessary to make the statements therein not misleading and, in the case of the Prospectus, it will not contain any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The Registration Statement and the Prospectus, and any amendment or supplement thereto, shall not contain any untrue statement of a material fact, or omit to state a material fact that is required to be stated therein or is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Registration Statement and the Prospectus or disclosed in the Company’s reports filed with the Commission, there shall not have occurred (i) any Material Adverse Change in the judgment of the Agents and (ii)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in Section 3(a)(62)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Company Counsel Legal Opinion</w:t>
      </w:r>
      <w:r>
        <w:rPr>
          <w:rFonts w:ascii="Times New Roman;Times;Serif" w:hAnsi="Times New Roman;Times;Serif"/>
          <w:b w:val="false"/>
          <w:i w:val="false"/>
          <w:caps w:val="false"/>
          <w:smallCaps w:val="false"/>
          <w:sz w:val="20"/>
        </w:rPr>
        <w:t xml:space="preserve">. The Agents shall have received the opinions of Haynes and Boone, LLP and, if applicable, such other counsel to the Company, in each case as required to be delivered pursuant to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 xml:space="preserve"> on or before the date on which such delivery of such opinion is required pursuant to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Opinion of Counsel for the Agents</w:t>
      </w:r>
      <w:r>
        <w:rPr>
          <w:rFonts w:ascii="Times New Roman;Times;Serif" w:hAnsi="Times New Roman;Times;Serif"/>
          <w:b w:val="false"/>
          <w:i w:val="false"/>
          <w:caps w:val="false"/>
          <w:smallCaps w:val="false"/>
          <w:sz w:val="20"/>
        </w:rPr>
        <w:t xml:space="preserve">. On or prior to the date that the first Shares are sold pursuant to the terms of this Agreement and within three (3) Trading Days of each Representation Date with respect to which the Company is obligated to deliver a certificate in the form attached hereto as </w:t>
      </w:r>
      <w:r>
        <w:rPr>
          <w:rFonts w:ascii="Times New Roman;Times;Serif" w:hAnsi="Times New Roman;Times;Serif"/>
          <w:b w:val="false"/>
          <w:i w:val="false"/>
          <w:caps w:val="false"/>
          <w:smallCaps w:val="false"/>
          <w:sz w:val="20"/>
          <w:u w:val="single"/>
        </w:rPr>
        <w:t>Exhibit 7(n)</w:t>
      </w:r>
      <w:r>
        <w:rPr>
          <w:rFonts w:ascii="Times New Roman;Times;Serif" w:hAnsi="Times New Roman;Times;Serif"/>
          <w:b w:val="false"/>
          <w:i w:val="false"/>
          <w:caps w:val="false"/>
          <w:smallCaps w:val="false"/>
          <w:sz w:val="20"/>
        </w:rPr>
        <w:t xml:space="preserve"> for which no waiver is applicable, the Agents shall have received from Mayer Brown LLP, or such other counsel for the Agents, such opinion or opinions, dated the date that the opinion is required to be delivered, with respect to such matters as the Agents may require, and the Company shall have furnished to such counsel such documents as they request for the purpose of enabling them to pass upon such matters;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obligation of Mayer Brown LLP under this </w:t>
      </w:r>
      <w:r>
        <w:rPr>
          <w:rFonts w:ascii="Times New Roman;Times;Serif" w:hAnsi="Times New Roman;Times;Serif"/>
          <w:b w:val="false"/>
          <w:i w:val="false"/>
          <w:caps w:val="false"/>
          <w:smallCaps w:val="false"/>
          <w:sz w:val="20"/>
          <w:u w:val="single"/>
        </w:rPr>
        <w:t>Section 9(f)</w:t>
      </w:r>
      <w:r>
        <w:rPr>
          <w:rFonts w:ascii="Times New Roman;Times;Serif" w:hAnsi="Times New Roman;Times;Serif"/>
          <w:b w:val="false"/>
          <w:i w:val="false"/>
          <w:caps w:val="false"/>
          <w:smallCaps w:val="false"/>
          <w:sz w:val="20"/>
        </w:rPr>
        <w:t> shall be deferred during any Suspension Period and shall recommence upon the termination of such Suspension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The Agents shall have received the Comfort Letter required to be delivered pursuant to </w:t>
      </w:r>
      <w:r>
        <w:rPr>
          <w:rFonts w:ascii="Times New Roman;Times;Serif" w:hAnsi="Times New Roman;Times;Serif"/>
          <w:b w:val="false"/>
          <w:i w:val="false"/>
          <w:caps w:val="false"/>
          <w:smallCaps w:val="false"/>
          <w:sz w:val="20"/>
          <w:u w:val="single"/>
        </w:rPr>
        <w:t>Section 7(p)</w:t>
      </w:r>
      <w:r>
        <w:rPr>
          <w:rFonts w:ascii="Times New Roman;Times;Serif" w:hAnsi="Times New Roman;Times;Serif"/>
          <w:b w:val="false"/>
          <w:i w:val="false"/>
          <w:caps w:val="false"/>
          <w:smallCaps w:val="false"/>
          <w:sz w:val="20"/>
        </w:rPr>
        <w:t xml:space="preserve"> on or before the date on which such delivery of such letter is required pursuant to </w:t>
      </w:r>
      <w:r>
        <w:rPr>
          <w:rFonts w:ascii="Times New Roman;Times;Serif" w:hAnsi="Times New Roman;Times;Serif"/>
          <w:b w:val="false"/>
          <w:i w:val="false"/>
          <w:caps w:val="false"/>
          <w:smallCaps w:val="false"/>
          <w:sz w:val="20"/>
          <w:u w:val="single"/>
        </w:rPr>
        <w:t>Section 7(p)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xml:space="preserve">. The Agents shall have received the certificate required to be delivered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Stop Order; No Objection from FINRA</w:t>
      </w:r>
      <w:r>
        <w:rPr>
          <w:rFonts w:ascii="Times New Roman;Times;Serif" w:hAnsi="Times New Roman;Times;Serif"/>
          <w:b w:val="false"/>
          <w:i w:val="false"/>
          <w:caps w:val="false"/>
          <w:smallCaps w:val="false"/>
          <w:sz w:val="20"/>
        </w:rPr>
        <w:t>. No stop order suspending the effectiveness of the Registration Statement or any post-effective amendment to the Registration Statement shall be in effect and no proceedings for such purpose or pursuant to Section 8A of the Securities Act shall have been instituted or, to the Company’s knowledge, threatened by the Commission, and FINRA shall have raised no objection to the fairness and reasonableness of the underwriting terms and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Shares shall not have been suspended on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xml:space="preserve">. On each date on which the Company is required to deliver a certificate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the Agents and counsel for the Agents shall have received such information, documents and opinions as they may reasonably request for the purposes of enabling them to pass upon the issuance and sale of the Shares as contemplated herein, or in order to evidence the accuracy of any of the representations and warranties, or the satisfaction of any of the conditions or agreements, herein contained; and all proceedings taken by the Company in connection with the issuance and sale of the Shares as contemplated herein and in connection with the other transactions contemplated by this Agreement shall be satisfactory in form and substance to the Agents and counsel for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Either (i) the Placement Shares shall have been approved for listing on the Exchange, subject only to notice of issuance, or (ii) the Company shall have filed an application for listing of the Placement Shares on the Exchange at, or prior to, the issuance of any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Actively-Traded Security</w:t>
      </w:r>
      <w:r>
        <w:rPr>
          <w:rFonts w:ascii="Times New Roman;Times;Serif" w:hAnsi="Times New Roman;Times;Serif"/>
          <w:b w:val="false"/>
          <w:i w:val="false"/>
          <w:caps w:val="false"/>
          <w:smallCaps w:val="false"/>
          <w:sz w:val="20"/>
        </w:rPr>
        <w:t>. The Common Stock shall be an “actively-traded security” exempted from the requirements of Rule 101 of Regulation M under the Exchange Act by subsection (c)(1) of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xml:space="preserve">. There shall not have occurred any event that would permit the Agents to terminate this Agreement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Termination of this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Indemnification of the Agents</w:t>
      </w:r>
      <w:r>
        <w:rPr>
          <w:rFonts w:ascii="Times New Roman;Times;Serif" w:hAnsi="Times New Roman;Times;Serif"/>
          <w:b w:val="false"/>
          <w:i w:val="false"/>
          <w:caps w:val="false"/>
          <w:smallCaps w:val="false"/>
          <w:sz w:val="20"/>
        </w:rPr>
        <w:t>. Subject to the limitations in this paragraph below, the Company agrees to indemnify and hold harmless the Agents, their officers, directors, employees and agents, and each person, if any, who controls the Agents within the meaning of the Securities Act or the Exchange Act against any loss, claim, damage, liability or expense (a “</w:t>
      </w:r>
      <w:r>
        <w:rPr>
          <w:rFonts w:ascii="Times New Roman;Times;Serif" w:hAnsi="Times New Roman;Times;Serif"/>
          <w:b/>
          <w:i w:val="false"/>
          <w:caps w:val="false"/>
          <w:smallCaps w:val="false"/>
          <w:sz w:val="20"/>
          <w:u w:val="single"/>
        </w:rPr>
        <w:t>Loss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u w:val="single"/>
        </w:rPr>
        <w:t>Losses</w:t>
      </w:r>
      <w:r>
        <w:rPr>
          <w:rFonts w:ascii="Times New Roman;Times;Serif" w:hAnsi="Times New Roman;Times;Serif"/>
          <w:b w:val="false"/>
          <w:i w:val="false"/>
          <w:caps w:val="false"/>
          <w:smallCaps w:val="false"/>
          <w:sz w:val="20"/>
        </w:rPr>
        <w:t xml:space="preserve">”), as incurred, to which the Agents or such officer, director, employee, agent or controlling person may become subject, under the Securities Act, the Exchange Act, other federal or state statutory law or regulation, or at common law or otherwise (including in settlement of any litigation, subject to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xml:space="preserve"> below), insofar as such Loss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the Prospectus or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Agents and each such officer, director, employee, agent or controlling person for any and all expenses (including reasonable costs of investigation and the fees and disbursements of counsel chosen by the Agents) as such expenses are reasonably incurred by the Agents or such officer, director, employee, agent or controlling person in connection with investigating, defending, settling, compromising or paying any such Loss or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indemnity agreement shall not apply to any Loss to the extent, but only to the extent, arising out of or based upon any untrue statement or alleged untrue statement or omission or alleged omission made in reliance upon and in conformity with written information furnished to the Company by or on behalf of the Agents expressly for use in the Registration Statement, any such free writing prospectus or the Prospectus (or any amendment or supplement thereto), it being understood and agreed that the only such information furnished by the Agents to the Company consists of the information described in </w:t>
      </w:r>
      <w:r>
        <w:rPr>
          <w:rFonts w:ascii="Times New Roman;Times;Serif" w:hAnsi="Times New Roman;Times;Serif"/>
          <w:b w:val="false"/>
          <w:i w:val="false"/>
          <w:caps w:val="false"/>
          <w:smallCaps w:val="false"/>
          <w:sz w:val="20"/>
          <w:u w:val="single"/>
        </w:rPr>
        <w:t>subsection (b)</w:t>
      </w:r>
      <w:r>
        <w:rPr>
          <w:rFonts w:ascii="Times New Roman;Times;Serif" w:hAnsi="Times New Roman;Times;Serif"/>
          <w:b w:val="false"/>
          <w:i w:val="false"/>
          <w:caps w:val="false"/>
          <w:smallCaps w:val="false"/>
          <w:sz w:val="20"/>
        </w:rPr>
        <w:t xml:space="preserve"> below. The indemnity agreement set forth in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shall be in addition to any liabilities that the Company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of the Company, its Directors and Officers</w:t>
      </w:r>
      <w:r>
        <w:rPr>
          <w:rFonts w:ascii="Times New Roman;Times;Serif" w:hAnsi="Times New Roman;Times;Serif"/>
          <w:b w:val="false"/>
          <w:i w:val="false"/>
          <w:caps w:val="false"/>
          <w:smallCaps w:val="false"/>
          <w:sz w:val="20"/>
        </w:rPr>
        <w:t xml:space="preserve">. Each Agent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as incurred, to which the Company, or any such director, officer or controlling person may become subject, under the Securities Act, the Exchange Act, or other federal or state statutory law or regulation, or at common law or otherwise (including in settlement of any litigation, subject to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below), insofar as such Loss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the Prospectus or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in reliance upon and in conformity with written information furnished to the Company by or on behalf of the Agents expressly for use therein; and to reimburse the Company, or any such director, officer or controlling person for any and all expenses (including reasonable costs of investigation and the fees and disbursements of counsel chosen by the Company) as such expenses are reasonably incurred by the Company, or any such director, officer or controlling person in connection with investigating, defending, settling, compromising or paying any such Loss or action. The Company hereby acknowledges that the only such information that the Agents have furnished to the Company expressly for use in the Registration Statement, the Prospectus, any free writing prospectus that the Company has filed, or is required to file, pursuant to Rule 433(d) of the Securities Act or the Prospectus (or any amendment or supplement thereto) consists of the statements set forth in the seventh paragraph under the caption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the Prospectus Supplement relating to the offering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indemnity agreement set forth in this </w:t>
      </w:r>
      <w:r>
        <w:rPr>
          <w:rFonts w:ascii="Times New Roman;Times;Serif" w:hAnsi="Times New Roman;Times;Serif"/>
          <w:b w:val="false"/>
          <w:i w:val="false"/>
          <w:caps w:val="false"/>
          <w:smallCaps w:val="false"/>
          <w:sz w:val="20"/>
          <w:u w:val="single"/>
        </w:rPr>
        <w:t>Section 10(b)</w:t>
      </w:r>
      <w:r>
        <w:rPr>
          <w:rFonts w:ascii="Times New Roman;Times;Serif" w:hAnsi="Times New Roman;Times;Serif"/>
          <w:b w:val="false"/>
          <w:i w:val="false"/>
          <w:caps w:val="false"/>
          <w:smallCaps w:val="false"/>
          <w:sz w:val="20"/>
        </w:rPr>
        <w:t> shall be in addition to any liabilities that the Agents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Notifications and Other Indemnification Procedures</w:t>
      </w:r>
      <w:r>
        <w:rPr>
          <w:rFonts w:ascii="Times New Roman;Times;Serif" w:hAnsi="Times New Roman;Times;Serif"/>
          <w:b w:val="false"/>
          <w:i w:val="false"/>
          <w:caps w:val="false"/>
          <w:smallCaps w:val="false"/>
          <w:sz w:val="20"/>
        </w:rPr>
        <w:t xml:space="preserve">. Promptly after receipt by an indemnified party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of notice of the commencement of any action, such indemnified party will, if a claim in respect thereof is to be made against an indemnifying party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Agents (in the case of counsel for the indemnified parties referred to in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above) or by the Company (in the case of counsel for the indemnified parties referred to in </w:t>
      </w:r>
      <w:r>
        <w:rPr>
          <w:rFonts w:ascii="Times New Roman;Times;Serif" w:hAnsi="Times New Roman;Times;Serif"/>
          <w:b w:val="false"/>
          <w:i w:val="false"/>
          <w:caps w:val="false"/>
          <w:smallCaps w:val="false"/>
          <w:sz w:val="20"/>
          <w:u w:val="single"/>
        </w:rPr>
        <w:t>Section 10(b)</w:t>
      </w:r>
      <w:r>
        <w:rPr>
          <w:rFonts w:ascii="Times New Roman;Times;Serif" w:hAnsi="Times New Roman;Times;Serif"/>
          <w:b w:val="false"/>
          <w:i w:val="false"/>
          <w:caps w:val="false"/>
          <w:smallCaps w:val="false"/>
          <w:sz w:val="20"/>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 Any interim reimbursement payments contemplated by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10(b)</w:t>
      </w:r>
      <w:r>
        <w:rPr>
          <w:rFonts w:ascii="Times New Roman;Times;Serif" w:hAnsi="Times New Roman;Times;Serif"/>
          <w:b w:val="false"/>
          <w:i w:val="false"/>
          <w:caps w:val="false"/>
          <w:smallCaps w:val="false"/>
          <w:sz w:val="20"/>
        </w:rPr>
        <w:t> that are not made to the indemnified party within 30 days of a request for reimbursement shall bear interest compounded daily at a rate determined on the basis of the base lending rate announced from time to time by The Wall Street Journal from the date of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Settlements</w:t>
      </w:r>
      <w:r>
        <w:rPr>
          <w:rFonts w:ascii="Times New Roman;Times;Serif" w:hAnsi="Times New Roman;Times;Serif"/>
          <w:b w:val="false"/>
          <w:i w:val="false"/>
          <w:caps w:val="false"/>
          <w:smallCaps w:val="false"/>
          <w:sz w:val="20"/>
        </w:rPr>
        <w:t xml:space="preserve">. The indemnifying party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shall not be liable for any settlement of any proceeding effected without its written consent, but if settled with such consent or if there shall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If the indemnification provided for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hereof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Agents, on the other hand, from the offering of the Shares pursuant to this Agreement or (ii) if the allocation provided by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is not permitted by applicable law, in such proportion as is appropriate to reflect not only the relative benefits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above but also the relative fault of the Company, on the one hand, and the Agents, on the other hand, in connection with the statements or omissions which resulted in such losses, claims, damages, liabilities or expenses, as well as any other relevant equitable considerations. The relative benefits received by the Company, on the one hand, and the Agents, on the other hand, in connection with the offering of the Shares pursuant to this Agreement shall be deemed to be in the same respective proportions as the total net proceeds from the offering of the Shares pursuant to this Agreement (before deducting expenses) received by the Company, and the total compensation received by the Agents. The relative fault of the Company, on the one hand, and the Agents, on the other hand, shall be determined by reference to, among other things, whether any such untrue or alleged untrue statement of a material fact or omission or alleged omission to state a material fact relates to information supplied by the Company, on the one hand, or the Agents, on the other hand,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paid or payable by a party as a result of the Losses referred to above shall be deemed to include, subject to the limitations set forth in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hereof, any legal or other fees or expenses reasonably incurred by such party in connection with investigating or defending any action or claim. The provisions set forth in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hereof with respect to notice of commencement of any action shall apply if a claim for contribution is to be made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no additional notice shall be required with respect to any action for which notice has been given under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hereof for purposes of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and the Agents agree severally and not jointly that it would not be just and equitable if contribution pursuant to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Notwithstanding the provisions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no Agent shall be required to contribute any amount in excess of the compensation received by such Agent in connection with the Placement Shares distributed by such Agent to the public. No person guilty of fraudulent misrepresentation (within the meaning of Section 11(f) of the Securities Act) shall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each officer, employee and agent of the Agents and each person, if any, who controls the Agents within the meaning of the Securities Act or the Exchange Act shall have the same rights to contribution as the Agents,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Representations and Indemnities to Survive Delivery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respective indemnities, contribution and reimbursement agreements, representations and warranties of the Company and of the Agents set forth in this Agreement will remain in full force and effect, regardless of any investigation made by or on behalf of the Agents or the Company or any of its or their respective officers or directors or any controlling person, as the case may be, and, anything herein to the contrary notwithstanding, will survive delivery of and payment for the Placement Shares sold hereunder and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Termination of this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Applicable Agent shall have the right, by giving notice as hereinafter specified at any time, to terminate its obligations pursuant to a Placement Notice if (i) trading in the Company’s Common Stock shall have been suspended or limited by the Commission or by the Exchange, or trading in securities generally on either the Nasdaq Stock Market or the New York Stock Exchange shall have been suspended or materially limited, or minimum or maximum prices shall have been generally established on any of such stock exchanges by the Commission or FINRA; (ii) a general banking moratorium shall have been declared by any federal or New York authority;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the United States’ or international political, financial or economic conditions, as in the judgment of the Agents is material and adverse and makes it impracticable or inadvisable to market the Placement Shares in the manner and on the terms described in the Prospectus or to enforce contracts for the sale of securities; (iv) in the judgment of the Applicable Agent there shall have occurred any Material Adverse Change; or (v) the Company or any of its subsidiaries shall have sustained a loss by strike, fire, flood, earthquake, accident or other calamity of such character as in the judgment of the Applicable Agent may interfere materially with the conduct of the business and operations of the Company and any of its subsidiaries taken as a whole, regardless of whether or not such loss shall have been insured. Any termination pursuant to this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 xml:space="preserve"> shall be without liability on the part of (a) the Company to the Applicable Agent, except that the Company shall be obligated to reimburse the expenses of the Applicable Agent pursuant to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hereof, (b) the Applicable Agent to the Company, or (c) any party hereto to any other party, except that the provisions of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hereof shall at all times be effective and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have the right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Applicable Law; Consent to Jurisdiction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Agent shall have the right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Applicable Law; Consent to Jurisdiction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Unless earlier terminated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this Agreement shall automatically terminate upon the issuance and sale of all of the Shares through the Agents on the terms and subject to the conditions set forth herein;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provisions of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Applicable Law; Consent to Jurisdiction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This Agreement shall remain in full force and effect unless terminated pursuant to </w:t>
      </w:r>
      <w:r>
        <w:rPr>
          <w:rFonts w:ascii="Times New Roman;Times;Serif" w:hAnsi="Times New Roman;Times;Serif"/>
          <w:b w:val="false"/>
          <w:i w:val="false"/>
          <w:caps w:val="false"/>
          <w:smallCaps w:val="false"/>
          <w:sz w:val="20"/>
          <w:u w:val="single"/>
        </w:rPr>
        <w:t>Sections 13(a)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or otherwise by mutual agreement of the parties;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such termination by mutual agreement shall in all cases be deemed to provide that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Applicable Law; Consent to Jurisdiction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termination of this Agreement shall be effective on the date specified in such notice of termination;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termination shall not be effective until the close of business on the date of receipt of such notice by the Agents or the Company, as the case may be. If such termination shall occur prior to the Settlement Date for any sale of Placement Shares, such Placement Shares shall settle in accordance with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shall be in writing and shall be mailed, hand delivered or transmitted and confirmed by any standard form of communication to the parties hereto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&amp; Associates, Inc.</w:t>
        <w:br/>
        <w:t>880 Carillon Parkway</w:t>
        <w:br/>
        <w:t>St. Petersburg, Florida 33716</w:t>
        <w:br/>
        <w:t>Email: GEIBLegal@raymondjames.com</w:t>
        <w:br/>
        <w:t>Attn: Brad Cole, General Counsel, Global Equities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&amp; Company, LLC</w:t>
        <w:br/>
        <w:t>250 Park Avenue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10177</w:t>
        <w:br/>
        <w:t>Email: mcastrovince@needhamco.com</w:t>
        <w:br/>
        <w:t>Attn: Matthew Castrovince, Head of Technology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 Brown LLP</w:t>
        <w:br/>
        <w:t>1221 Avenue of the Americas</w:t>
        <w:br/>
        <w:t>New York, New York 10020-1001</w:t>
        <w:br/>
        <w:t>Facsimile: (212) 849-5767</w:t>
        <w:br/>
        <w:t>Email: apinedo@mayerbrown.com</w:t>
        <w:br/>
        <w:t>Attention: Anna T. Pinedo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br/>
        <w:t>13139 Jess Pirtle Blvd</w:t>
        <w:br/>
        <w:t>Sugar Land, Texas 77478</w:t>
        <w:br/>
        <w:t>Facsimile: (281) 966-6988</w:t>
        <w:br/>
        <w:t>Attention: David C. Kuo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br/>
        <w:t>1221 McKinney Street, Suite 4000</w:t>
        <w:br/>
        <w:t>Houston, TX 77010-2007</w:t>
        <w:br/>
        <w:t>Facsimile: (713) 236-5659</w:t>
        <w:br/>
        <w:t>Attention: Frank Wu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for receipt of communications by giving written notice to the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the Agents and their respective successors, permitted assigns and the affiliates, controlling persons, officers, directors, employees and agents referred to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No party may assign its rights or obligations under this Agreement without the prior written consent of each of the other parties;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 Agent may assign its rights and obligations hereunder to an affiliate of such Agent without obtaining the Company’s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val="false"/>
          <w:caps w:val="false"/>
          <w:smallCaps w:val="false"/>
          <w:sz w:val="20"/>
          <w:u w:val="single"/>
        </w:rPr>
        <w:t>Adjustments for Stock Splits</w:t>
      </w:r>
      <w:r>
        <w:rPr>
          <w:rFonts w:ascii="Times New Roman;Times;Serif" w:hAnsi="Times New Roman;Times;Serif"/>
          <w:b w:val="false"/>
          <w:i w:val="false"/>
          <w:caps w:val="false"/>
          <w:smallCaps w:val="false"/>
          <w:sz w:val="20"/>
        </w:rPr>
        <w:t>. The parties acknowledge and agree that all stock-related numbers contained in this Agreement shall be adjusted to take into account any stock split, stock dividend or similar event effected with respect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and not declined by the Agents) constitutes the entire agreement of the parties to this Agreement and supersedes all prior written or oral 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val="false"/>
          <w:caps w:val="false"/>
          <w:smallCaps w:val="false"/>
          <w:sz w:val="20"/>
          <w:u w:val="single"/>
        </w:rPr>
        <w:t>Applicable Law; Consent to Jurisdiction</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i w:val="false"/>
          <w:caps w:val="false"/>
          <w:smallCaps w:val="false"/>
          <w:sz w:val="20"/>
          <w:u w:val="single"/>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Company and the Agents each hereby irrevocably waives any right it may have to a trial by jury in respect of any claim based upon or arising out of this Agreement or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The Company acknowledges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Agents has been retained solely to act as agent in connection with the sale of the Shares, and no fiduciary or advisory relationship between the Company and either of the Agents has been created in respect of any of the transactions contemplated by this Agreement, irrespective of whether either of the Agents has advised or is advising the Company on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capable of evaluating and understanding and understands and accepts the terms, risks and conditions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been advised that each Agent and its respective affiliates are engaged in a broad range of transactions which may involve interests that differ from those of the Company and that each Agent has no obligation to disclose such interests and transactions to the Company by virtue of any fiduciary or advisory relationship;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waives, to the fullest extent permitted by law, any claims it may have against each of the Agents for breach of fiduciary duty or alleged breach of fiduciary duty and agrees that each of the Agents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Recognition of the U.S. Special Resolutions Regime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Agent is a Covered Entity (as defined below) and becomes subject to a proceeding under a U.S. Special Resolution Regime (as defined below), the transfer from such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Agent that is a Covered Entity or a BHC Act Affiliate (as defined below) of such Agent becomes subject to a proceeding under a U.S. Special Resolution Regime, Default Rights (as defined below) under this Agreement that may be exercised against such Agent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(B) “</w:t>
      </w:r>
      <w:r>
        <w:rPr>
          <w:rFonts w:ascii="Times New Roman;Times;Serif" w:hAnsi="Times New Roman;Times;Serif"/>
          <w:b/>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 (i) a “covered entity” as the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Times;Serif" w:hAnsi="Times New Roman;Times;Serif"/>
          <w:b/>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(D) “</w:t>
      </w:r>
      <w:r>
        <w:rPr>
          <w:rFonts w:ascii="Times New Roman;Times;Serif" w:hAnsi="Times New Roman;Times;Serif"/>
          <w:b/>
          <w:i w:val="false"/>
          <w:caps w:val="false"/>
          <w:smallCaps w:val="false"/>
          <w:sz w:val="20"/>
          <w:u w:val="single"/>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have the respective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Applicable Time</w:t>
      </w:r>
      <w:r>
        <w:rPr>
          <w:rFonts w:ascii="Times New Roman;Times;Serif" w:hAnsi="Times New Roman;Times;Serif"/>
          <w:b w:val="false"/>
          <w:i w:val="false"/>
          <w:caps w:val="false"/>
          <w:smallCaps w:val="false"/>
          <w:sz w:val="20"/>
        </w:rPr>
        <w:t>” means the date of this Agreement, each Representation Date, the date on which a Placement Notice is given, any date on which Placement Shares are sold hereunder and each Settlement Date, or such other time as agreed to by the Company and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any day on which the Exchange and commercial banks in the City of New York are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Each of the parties hereto acknowledges that it is a sophisticated business person who was adequately represented by counsel during negotiations regarding the provisions hereof, including, without limitation, the indemnification provisions of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and the contribution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and is fully informed regarding said provisions. Each of the parties hereto further acknowledges that the provisions of </w:t>
      </w:r>
      <w:r>
        <w:rPr>
          <w:rFonts w:ascii="Times New Roman;Times;Serif" w:hAnsi="Times New Roman;Times;Serif"/>
          <w:b w:val="false"/>
          <w:i w:val="false"/>
          <w:caps w:val="false"/>
          <w:smallCaps w:val="false"/>
          <w:sz w:val="20"/>
          <w:u w:val="single"/>
        </w:rPr>
        <w:t>Sections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hereto fairly allocate the risks in light of the ability of the parties to investigate the Company, its affairs and its business in order to assure that adequate disclosure has been made in the Registration Statement, each free writing prospectus and the Prospectus (and any amendments and supplements thereto), as required by the Securities Act and the Exchange Act. The section headings herein are for the convenience of the parties only and shall not affect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each of the Agents, please so indicate in the space provided below for that purpose, whereupon this letter shall constitute a binding agreement between the Company and each of the Agents.</w:t>
      </w:r>
    </w:p>
    <w:p>
      <w:pPr>
        <w:pStyle w:val="TextBody"/>
        <w:bidi w:val="0"/>
        <w:spacing w:before="0" w:after="0"/>
        <w:ind w:left="0" w:right="0" w:hanging="0"/>
        <w:jc w:val="left"/>
        <w:rPr>
          <w:caps w:val="false"/>
          <w:smallCaps w:val="false"/>
        </w:rPr>
      </w:pPr>
      <w:r>
        <w:rPr>
          <w:caps w:val="false"/>
          <w:smallCaps w:val="false"/>
        </w:rPr>
        <w:t> </w:t>
      </w:r>
    </w:p>
    <w:tbl>
      <w:tblPr>
        <w:tblW w:w="3454" w:type="dxa"/>
        <w:jc w:val="left"/>
        <w:tblInd w:w="0" w:type="dxa"/>
        <w:tblLayout w:type="fixed"/>
        <w:tblCellMar>
          <w:top w:w="0" w:type="dxa"/>
          <w:left w:w="0" w:type="dxa"/>
          <w:bottom w:w="0" w:type="dxa"/>
          <w:right w:w="0" w:type="dxa"/>
        </w:tblCellMar>
      </w:tblPr>
      <w:tblGrid>
        <w:gridCol w:w="75"/>
        <w:gridCol w:w="610"/>
        <w:gridCol w:w="2769"/>
      </w:tblGrid>
      <w:tr>
        <w:trPr/>
        <w:tc>
          <w:tcPr>
            <w:tcW w:w="75"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tc>
      </w:tr>
      <w:tr>
        <w:trPr/>
        <w:tc>
          <w:tcPr>
            <w:tcW w:w="75"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Chih-Hsiang (Thompson) Lin</w:t>
            </w:r>
          </w:p>
        </w:tc>
      </w:tr>
      <w:tr>
        <w:trPr/>
        <w:tc>
          <w:tcPr>
            <w:tcW w:w="75"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Chih-Hsiang (Thompson) Lin</w:t>
            </w:r>
          </w:p>
        </w:tc>
      </w:tr>
      <w:tr>
        <w:trPr/>
        <w:tc>
          <w:tcPr>
            <w:tcW w:w="75"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CEO &amp; Chairman</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45" w:type="dxa"/>
        <w:jc w:val="left"/>
        <w:tblInd w:w="0" w:type="dxa"/>
        <w:tblLayout w:type="fixed"/>
        <w:tblCellMar>
          <w:top w:w="0" w:type="dxa"/>
          <w:left w:w="0" w:type="dxa"/>
          <w:bottom w:w="0" w:type="dxa"/>
          <w:right w:w="0" w:type="dxa"/>
        </w:tblCellMar>
      </w:tblPr>
      <w:tblGrid>
        <w:gridCol w:w="75"/>
        <w:gridCol w:w="545"/>
        <w:gridCol w:w="3425"/>
      </w:tblGrid>
      <w:tr>
        <w:trPr/>
        <w:tc>
          <w:tcPr>
            <w:tcW w:w="75"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as of the date first-above written:</w:t>
            </w:r>
          </w:p>
        </w:tc>
      </w:tr>
      <w:tr>
        <w:trPr/>
        <w:tc>
          <w:tcPr>
            <w:tcW w:w="75"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JAMES &amp; ASSOCIATES, INC.</w:t>
            </w:r>
          </w:p>
        </w:tc>
      </w:tr>
      <w:tr>
        <w:trPr/>
        <w:tc>
          <w:tcPr>
            <w:tcW w:w="75"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Geoffrey M. Tobin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Geoffrey M. Tobin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 – Investment Banking</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854" w:type="dxa"/>
        <w:jc w:val="left"/>
        <w:tblInd w:w="0" w:type="dxa"/>
        <w:tblLayout w:type="fixed"/>
        <w:tblCellMar>
          <w:top w:w="0" w:type="dxa"/>
          <w:left w:w="0" w:type="dxa"/>
          <w:bottom w:w="0" w:type="dxa"/>
          <w:right w:w="0" w:type="dxa"/>
        </w:tblCellMar>
      </w:tblPr>
      <w:tblGrid>
        <w:gridCol w:w="75"/>
        <w:gridCol w:w="629"/>
        <w:gridCol w:w="2150"/>
      </w:tblGrid>
      <w:tr>
        <w:trPr/>
        <w:tc>
          <w:tcPr>
            <w:tcW w:w="75"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NEEDHAM &amp; COMPANY, LLC</w:t>
            </w:r>
          </w:p>
        </w:tc>
      </w:tr>
      <w:tr>
        <w:trPr/>
        <w:tc>
          <w:tcPr>
            <w:tcW w:w="75"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Castrovince</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Castrovince</w:t>
            </w:r>
          </w:p>
        </w:tc>
      </w:tr>
      <w:tr>
        <w:trPr/>
        <w:tc>
          <w:tcPr>
            <w:tcW w:w="7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 ]</w:t>
        <w:br/>
        <w:t>Cc: [ ]</w:t>
        <w:br/>
        <w:t>To: [ ]</w:t>
        <w:br/>
        <w:t>Subject: Controlled Equity Offering —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Equity Distribution Agreement between Applied Optoelectronics,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Raymond James &amp; Associates, Inc. and Needham &amp; Company, LLC, dated August 21, 2026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 hereby request on behalf of the Company that [●]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sell up to [●] shares of the Company’s common stock, par value $0.001 per share, at a minimum market price of $[●] per share, during the time period beginning [month, day, time] and ending [month, day, time]. The foregoing sales shall be made on The Nasdaq Global Market or as otherwise agreed to in writing by the Company and the Agent.</w:t>
      </w:r>
    </w:p>
    <w:tbl>
      <w:tblPr>
        <w:tblW w:w="3454" w:type="dxa"/>
        <w:jc w:val="left"/>
        <w:tblInd w:w="0" w:type="dxa"/>
        <w:tblLayout w:type="fixed"/>
        <w:tblCellMar>
          <w:top w:w="0" w:type="dxa"/>
          <w:left w:w="0" w:type="dxa"/>
          <w:bottom w:w="0" w:type="dxa"/>
          <w:right w:w="0" w:type="dxa"/>
        </w:tblCellMar>
      </w:tblPr>
      <w:tblGrid>
        <w:gridCol w:w="75"/>
        <w:gridCol w:w="708"/>
        <w:gridCol w:w="2671"/>
      </w:tblGrid>
      <w:tr>
        <w:trPr/>
        <w:tc>
          <w:tcPr>
            <w:tcW w:w="75"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tc>
      </w:tr>
      <w:tr>
        <w:trPr/>
        <w:tc>
          <w:tcPr>
            <w:tcW w:w="75"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7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7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2</w:t>
      </w:r>
    </w:p>
    <w:tbl>
      <w:tblPr>
        <w:tblW w:w="5410" w:type="dxa"/>
        <w:jc w:val="left"/>
        <w:tblInd w:w="0" w:type="dxa"/>
        <w:tblLayout w:type="fixed"/>
        <w:tblCellMar>
          <w:top w:w="0" w:type="dxa"/>
          <w:left w:w="0" w:type="dxa"/>
          <w:bottom w:w="0" w:type="dxa"/>
          <w:right w:w="0" w:type="dxa"/>
        </w:tblCellMar>
      </w:tblPr>
      <w:tblGrid>
        <w:gridCol w:w="2435"/>
        <w:gridCol w:w="2975"/>
      </w:tblGrid>
      <w:tr>
        <w:trPr/>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4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JAMES &amp; ASSOCIATES, INC.</w:t>
            </w:r>
          </w:p>
        </w:tc>
      </w:tr>
      <w:tr>
        <w:trPr/>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Geoffrey M. Tobin</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Geoffrey.tobin@raymondjames.com</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Fordham</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Jeff.fordham@raymondjames.com</w:t>
            </w:r>
          </w:p>
        </w:tc>
      </w:tr>
      <w:tr>
        <w:trPr/>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4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NEEDHAM &amp; COMPANY, LLC</w:t>
            </w:r>
          </w:p>
        </w:tc>
      </w:tr>
      <w:tr>
        <w:trPr/>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Castrovince </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Mcastrovince@needhamco.com</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Higgins                </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Jhiggins@needhamco.com</w:t>
            </w:r>
          </w:p>
        </w:tc>
      </w:tr>
      <w:tr>
        <w:trPr/>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4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tc>
      </w:tr>
      <w:tr>
        <w:trPr/>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Chih-Hsiang (Thompson) Lin</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chlin@ao-inc.com</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Stefan Murry </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Smurry@ao-inc.com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7(n) of the Equity Distribution Agreement between Applied Optoelectronics, Inc., a Delaware corporation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Raymond James &amp; Associates, Inc., and Needham &amp; Company, LLC, dated August 21, 2026 (the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each of the undersigned, Chih-Hsiang (Thompson) Lin, the duly qualified and elected Chairman, President and Chief Executive Officer of the Company, and Stefan Murry, the duly qualified and elected Chief Financial Officer of the Company, hereby certifies solely in his capacity and on behalf of the Company, that to the best of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in Section 6 of the Agreement (A) to the extent such representations and warranties are subject to qualifications and exceptions contained therein relating to materiality or result in a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complied with all agreements and satisfied all conditions on its part to be performed or satisfied pursuant to the Agreement at or prior to the date hereof.</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590"/>
        <w:gridCol w:w="245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Chih-Hsiang (Thompson) Lin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CEO</w:t>
            </w:r>
          </w:p>
        </w:tc>
      </w:tr>
      <w:tr>
        <w:trPr/>
        <w:tc>
          <w:tcPr>
            <w:tcW w:w="75" w:type="dxa"/>
            <w:tcBorders/>
            <w:vAlign w:val="center"/>
          </w:tcPr>
          <w:p>
            <w:pPr>
              <w:pStyle w:val="TableContents"/>
              <w:bidi w:val="0"/>
              <w:spacing w:before="0" w:after="283"/>
              <w:jc w:val="left"/>
              <w:rPr/>
            </w:pPr>
            <w:r>
              <w:rPr/>
              <w:t> </w:t>
            </w:r>
          </w:p>
        </w:tc>
        <w:tc>
          <w:tcPr>
            <w:tcW w:w="30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Stefan J. Murry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283"/>
        <w:jc w:val="left"/>
        <w:rPr/>
      </w:pPr>
      <w:r>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both"/>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7(o)(1)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Legal Opinion of Haynes and Boone,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4" w:name="tm2623389d2_ex5-1.htm"/>
      <w:bookmarkStart w:id="25" w:name="kstm2623389d2_ex51"/>
      <w:bookmarkEnd w:id="24"/>
      <w:bookmarkEnd w:id="25"/>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0"/>
        <w:ind w:left="43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13139 Jess Pirtle Blvd.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TX 77478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Applied Optoelectronics,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issuance and sale by the Company from time to time on a delayed continuous basis pursuant to Rule 415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(i) securities, including shares of the Company’s common stock, $0.001 par value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registered pursuant to the Registration Statement on Form S-3 (File No. 333-283905) (including the prospectus contained therein,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and (ii) the prospectus supplement, dated August 21, 2026 (the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relating to the issuance and sale from time to time by the Company of shares of Common Stock with an aggregate offering price of up to $600,000,000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The Shares are to be issued and sold by the Company pursuant to an Equity Distribution Agreement, dated August 21, 2026 (the “</w:t>
      </w:r>
      <w:r>
        <w:rPr>
          <w:rFonts w:ascii="Times New Roman;Times;Serif" w:hAnsi="Times New Roman;Times;Serif"/>
          <w:b/>
          <w:i/>
          <w:caps w:val="false"/>
          <w:smallCaps w:val="false"/>
          <w:sz w:val="20"/>
        </w:rPr>
        <w:t>Distribution Agreement</w:t>
      </w:r>
      <w:r>
        <w:rPr>
          <w:rFonts w:ascii="Times New Roman;Times;Serif" w:hAnsi="Times New Roman;Times;Serif"/>
          <w:b w:val="false"/>
          <w:i w:val="false"/>
          <w:caps w:val="false"/>
          <w:smallCaps w:val="false"/>
          <w:sz w:val="20"/>
        </w:rPr>
        <w:t>”), among the Company, Raymond James &amp; Associates, Inc. and Needham &amp; Company, LLC. The Distribution Agreement will be filed with the Commission as Exhibit 1.1 to the Company’s Current Report on Form 8-K, dated 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we express below, we have examined originals, or copies certified or otherwise identified, of (i) the certificate of incorporation and bylaws, each as amended to date, of the Company (the “</w:t>
      </w:r>
      <w:r>
        <w:rPr>
          <w:rFonts w:ascii="Times New Roman;Times;Serif" w:hAnsi="Times New Roman;Times;Serif"/>
          <w:b/>
          <w:i/>
          <w:caps w:val="false"/>
          <w:smallCaps w:val="false"/>
          <w:sz w:val="20"/>
        </w:rPr>
        <w:t>Company Charter Documents</w:t>
      </w:r>
      <w:r>
        <w:rPr>
          <w:rFonts w:ascii="Times New Roman;Times;Serif" w:hAnsi="Times New Roman;Times;Serif"/>
          <w:b w:val="false"/>
          <w:i w:val="false"/>
          <w:caps w:val="false"/>
          <w:smallCaps w:val="false"/>
          <w:sz w:val="20"/>
        </w:rPr>
        <w:t>”); (ii) the Registration Statement and all exhibits thereto; (iii) the Prospectus Supplement and all exhibits thereto; (iv) the Distribution Agreement and all exhibits thereto; (v) the minutes and records of the corporate proceedings of the Company with respect to the filing of the Registration Statement and the Prospectus Supplement and the entering into of the Distribution Agreement; and (vi) such other corporate records of the Company as we have deemed necessary or appropriate for purposes of the opinion hereafter expressed.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questions of fact material to the opinion expressed below, we have, without independent verification of their accuracy, relied to the extent we deem reasonably appropriate upon the representations and warranties of the Company contained in such documents, records, certificates, instruments or representations furnished or made available to us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 foregoing examination, we have assumed (i) the genuineness of all signatures, (ii) the authenticity of all documents submitted to us as originals, (iii) the conformity to original documents of all documents submitted to us as certified or photostatic copies, (iv) that all agreements or instruments we have examined are the valid, binding and enforceable obligations of the parties thereto, and (v) that all factual information on which we have relied was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(i) the Prospectus Supplement has been timely filed with the Commission; (ii) the Company will issue and deliver the Shares in the manner contemplated by the Registration Statement, the Prospectus Supplement and the Distribution Agreement; (iii) the Shares will be issued in compliance with applicable federal and state securities law; (iv) no stop orders of the Commission preventing or suspending the use of the Prospectus Supplement will have been issued; and (v) the Company will receive consideration for the issuance of the Shares that is at least equal to the par value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limitations and qualifications set forth herein, we are of the opinion that when issued and paid for in accordance with the terms and conditions of the Distribution Agreement, the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limited to the Delaware General Corporation Law as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letter as Exhibit 5.1 to the Current Report on Form 8-K to be filed by the Company in connection with the issuance and sale of the Shares in accordance with the requirements of Item 601(b)(5) of Regulation S-K under the Securities Act and to the reference to our firm therein and in the Prospectus Supplement under the caption “Legal Matters.” In giving this consent, we do not hereby admit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Haynes and Boone,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58114/000110465916157015/a16-21428_1ex4d1.htm" TargetMode="External"/><Relationship Id="rId3" Type="http://schemas.openxmlformats.org/officeDocument/2006/relationships/hyperlink" Target="https://www.sec.gov/Archives/edgar/data/1158114/000110465916157015/a16-21428_1ex4d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23102</Words>
  <Characters>121308</Characters>
  <CharactersWithSpaces>145929</CharactersWithSpaces>
  <Paragraphs>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