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51231_10k.htm"/>
      <w:bookmarkStart w:id="1" w:name="ksaaoi20251231_10k"/>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shd w:fill="FFFFFF" w:val="clear"/>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UNITED STATES</w:t>
      </w:r>
      <w:r>
        <w:rPr>
          <w:rFonts w:ascii="Times New Roman" w:hAnsi="Times New Roman"/>
          <w:sz w:val="18"/>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SECURITIES AND EXCHANGE COMMISSION</w:t>
      </w:r>
      <w:r>
        <w:rPr>
          <w:rFonts w:ascii="Times New Roman" w:hAnsi="Times New Roman"/>
          <w:sz w:val="18"/>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Washington, D.C. 20549</w:t>
      </w:r>
      <w:r>
        <w:rPr>
          <w:rFonts w:ascii="Times New Roman" w:hAnsi="Times New Roman"/>
          <w:sz w:val="18"/>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FORM 10-K</w:t>
      </w:r>
      <w:r>
        <w:rPr>
          <w:rFonts w:ascii="Times New Roman" w:hAnsi="Times New Roman"/>
          <w:sz w:val="18"/>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(Mark One)</w:t>
      </w:r>
    </w:p>
    <w:tbl>
      <w:tblPr>
        <w:tblW w:w="9145" w:type="dxa"/>
        <w:jc w:val="left"/>
        <w:tblInd w:w="0" w:type="dxa"/>
        <w:tblLayout w:type="fixed"/>
        <w:tblCellMar>
          <w:top w:w="0" w:type="dxa"/>
          <w:left w:w="0" w:type="dxa"/>
          <w:bottom w:w="0" w:type="dxa"/>
          <w:right w:w="0" w:type="dxa"/>
        </w:tblCellMar>
      </w:tblPr>
      <w:tblGrid>
        <w:gridCol w:w="230"/>
        <w:gridCol w:w="8915"/>
      </w:tblGrid>
      <w:tr>
        <w:trPr/>
        <w:tc>
          <w:tcPr>
            <w:tcW w:w="230" w:type="dxa"/>
            <w:tcBorders/>
            <w:vAlign w:val="center"/>
          </w:tcPr>
          <w:p>
            <w:pPr>
              <w:pStyle w:val="TableContents"/>
              <w:bidi w:val="0"/>
              <w:spacing w:before="0" w:after="0"/>
              <w:ind w:left="0" w:right="0" w:hanging="0"/>
              <w:jc w:val="left"/>
              <w:rPr/>
            </w:pPr>
            <w:r>
              <w:rPr/>
              <w:t>☒</w:t>
            </w:r>
          </w:p>
        </w:tc>
        <w:tc>
          <w:tcPr>
            <w:tcW w:w="8915"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ANNUAL REPORT PURSUANT TO SECTION 13 OR 15(d) OF THE SECURITIES EXCHANGE ACT OF 1934</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For the fiscal year ended December 31, 2025</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OR</w:t>
      </w:r>
      <w:r>
        <w:rPr>
          <w:rFonts w:ascii="Times New Roman" w:hAnsi="Times New Roman"/>
          <w:sz w:val="18"/>
        </w:rPr>
        <w:t> </w:t>
      </w:r>
    </w:p>
    <w:p>
      <w:pPr>
        <w:pStyle w:val="TextBody"/>
        <w:bidi w:val="0"/>
        <w:spacing w:before="0" w:after="0"/>
        <w:ind w:left="0" w:right="0" w:hanging="0"/>
        <w:jc w:val="center"/>
        <w:rPr/>
      </w:pPr>
      <w:r>
        <w:rPr/>
        <w:t>  </w:t>
      </w:r>
    </w:p>
    <w:tbl>
      <w:tblPr>
        <w:tblW w:w="9520" w:type="dxa"/>
        <w:jc w:val="left"/>
        <w:tblInd w:w="0" w:type="dxa"/>
        <w:tblLayout w:type="fixed"/>
        <w:tblCellMar>
          <w:top w:w="0" w:type="dxa"/>
          <w:left w:w="0" w:type="dxa"/>
          <w:bottom w:w="0" w:type="dxa"/>
          <w:right w:w="0" w:type="dxa"/>
        </w:tblCellMar>
      </w:tblPr>
      <w:tblGrid>
        <w:gridCol w:w="230"/>
        <w:gridCol w:w="9290"/>
      </w:tblGrid>
      <w:tr>
        <w:trPr/>
        <w:tc>
          <w:tcPr>
            <w:tcW w:w="230" w:type="dxa"/>
            <w:tcBorders/>
            <w:vAlign w:val="center"/>
          </w:tcPr>
          <w:p>
            <w:pPr>
              <w:pStyle w:val="TableContents"/>
              <w:bidi w:val="0"/>
              <w:spacing w:before="0" w:after="0"/>
              <w:ind w:left="0" w:right="0" w:hanging="0"/>
              <w:jc w:val="left"/>
              <w:rPr/>
            </w:pPr>
            <w:r>
              <w:rPr/>
              <w:t>☐</w:t>
            </w:r>
          </w:p>
        </w:tc>
        <w:tc>
          <w:tcPr>
            <w:tcW w:w="9290"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TRANSITION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 xml:space="preserve">For the transition period from </w:t>
      </w:r>
      <w:r>
        <w:rPr>
          <w:rFonts w:ascii="Times New Roman" w:hAnsi="Times New Roman"/>
          <w:sz w:val="18"/>
          <w:u w:val="single"/>
        </w:rPr>
        <w:t>                    </w:t>
      </w:r>
      <w:r>
        <w:rPr>
          <w:rFonts w:ascii="Times New Roman" w:hAnsi="Times New Roman"/>
          <w:sz w:val="18"/>
        </w:rPr>
        <w:t xml:space="preserve"> </w:t>
      </w:r>
      <w:r>
        <w:rPr>
          <w:rFonts w:ascii="Times New Roman" w:hAnsi="Times New Roman"/>
          <w:b/>
          <w:sz w:val="18"/>
        </w:rPr>
        <w:t xml:space="preserve">to </w:t>
      </w:r>
      <w:r>
        <w:rPr>
          <w:rFonts w:ascii="Times New Roman" w:hAnsi="Times New Roman"/>
          <w:sz w:val="18"/>
          <w:u w:val="single"/>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Commission File Number: 001-36083</w:t>
      </w:r>
      <w:r>
        <w:rPr>
          <w:rFonts w:ascii="Times New Roman" w:hAnsi="Times New Roman"/>
          <w:sz w:val="18"/>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Applied Optoelectronics, Inc.</w:t>
      </w:r>
      <w:r>
        <w:rPr>
          <w:rFonts w:ascii="Times New Roman" w:hAnsi="Times New Roman"/>
          <w:sz w:val="18"/>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(Exact name of registrant as specified in its charter)</w:t>
      </w:r>
      <w:r>
        <w:rPr>
          <w:rFonts w:ascii="Times New Roman" w:hAnsi="Times New Roman"/>
          <w:sz w:val="18"/>
        </w:rPr>
        <w:t>   </w:t>
      </w:r>
    </w:p>
    <w:tbl>
      <w:tblPr>
        <w:tblW w:w="7405" w:type="dxa"/>
        <w:jc w:val="left"/>
        <w:tblInd w:w="0" w:type="dxa"/>
        <w:tblLayout w:type="fixed"/>
        <w:tblCellMar>
          <w:top w:w="0" w:type="dxa"/>
          <w:left w:w="0" w:type="dxa"/>
          <w:bottom w:w="0" w:type="dxa"/>
          <w:right w:w="0" w:type="dxa"/>
        </w:tblCellMar>
      </w:tblPr>
      <w:tblGrid>
        <w:gridCol w:w="4625"/>
        <w:gridCol w:w="2780"/>
      </w:tblGrid>
      <w:tr>
        <w:trPr/>
        <w:tc>
          <w:tcPr>
            <w:tcW w:w="4625"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Delaware</w:t>
            </w:r>
          </w:p>
        </w:tc>
        <w:tc>
          <w:tcPr>
            <w:tcW w:w="2780"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76-0533927</w:t>
            </w:r>
          </w:p>
        </w:tc>
      </w:tr>
      <w:tr>
        <w:trPr/>
        <w:tc>
          <w:tcPr>
            <w:tcW w:w="4625"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(State or other jurisdiction of incorporation or organization)</w:t>
            </w:r>
          </w:p>
        </w:tc>
        <w:tc>
          <w:tcPr>
            <w:tcW w:w="2780" w:type="dxa"/>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(I.R.S. Employer Identification No.)</w:t>
            </w:r>
          </w:p>
        </w:tc>
      </w:tr>
    </w:tbl>
    <w:p>
      <w:pPr>
        <w:pStyle w:val="TextBody"/>
        <w:bidi w:val="0"/>
        <w:spacing w:before="0" w:after="0"/>
        <w:ind w:left="0" w:right="0" w:hanging="0"/>
        <w:jc w:val="center"/>
        <w:rPr>
          <w:rFonts w:ascii="Times New Roman" w:hAnsi="Times New Roman"/>
          <w:sz w:val="18"/>
        </w:rPr>
      </w:pPr>
      <w:r>
        <w:rPr>
          <w:rFonts w:ascii="Times New Roman" w:hAnsi="Times New Roman"/>
          <w:b/>
          <w:sz w:val="18"/>
        </w:rPr>
        <w:t>13139 Jess Pirtle Blvd.</w:t>
      </w:r>
      <w:r>
        <w:rPr>
          <w:rFonts w:ascii="Times New Roman" w:hAnsi="Times New Roman"/>
          <w:sz w:val="18"/>
        </w:rPr>
        <w:t>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Sugar Land, TX 77478</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(Address of principal executive offices)</w:t>
      </w:r>
      <w:r>
        <w:rPr>
          <w:rFonts w:ascii="Times New Roman" w:hAnsi="Times New Roman"/>
          <w:sz w:val="18"/>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(281) 295-1800</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(Registrant’s telephone number)</w:t>
      </w:r>
      <w:r>
        <w:rPr>
          <w:rFonts w:ascii="Times New Roman" w:hAnsi="Times New Roman"/>
          <w:sz w:val="18"/>
        </w:rPr>
        <w:t>  </w:t>
      </w:r>
    </w:p>
    <w:p>
      <w:pPr>
        <w:pStyle w:val="TextBody"/>
        <w:bidi w:val="0"/>
        <w:spacing w:before="0" w:after="0"/>
        <w:ind w:left="440" w:right="0" w:hanging="0"/>
        <w:jc w:val="left"/>
        <w:rPr>
          <w:rFonts w:ascii="Times New Roman" w:hAnsi="Times New Roman"/>
          <w:sz w:val="18"/>
        </w:rPr>
      </w:pPr>
      <w:r>
        <w:rPr>
          <w:rFonts w:ascii="Times New Roman" w:hAnsi="Times New Roman"/>
          <w:sz w:val="18"/>
        </w:rPr>
        <w:t>Securities registered pursuant to Section 12(b) of the Act:</w:t>
      </w:r>
    </w:p>
    <w:tbl>
      <w:tblPr>
        <w:tblW w:w="7530" w:type="dxa"/>
        <w:jc w:val="left"/>
        <w:tblInd w:w="0" w:type="dxa"/>
        <w:tblLayout w:type="fixed"/>
        <w:tblCellMar>
          <w:top w:w="0" w:type="dxa"/>
          <w:left w:w="0" w:type="dxa"/>
          <w:bottom w:w="28" w:type="dxa"/>
          <w:right w:w="0" w:type="dxa"/>
        </w:tblCellMar>
      </w:tblPr>
      <w:tblGrid>
        <w:gridCol w:w="2420"/>
        <w:gridCol w:w="1370"/>
        <w:gridCol w:w="3740"/>
      </w:tblGrid>
      <w:tr>
        <w:trPr/>
        <w:tc>
          <w:tcPr>
            <w:tcW w:w="2420" w:type="dxa"/>
            <w:tcBorders>
              <w:bottom w:val="single" w:sz="12" w:space="0" w:color="000000"/>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Title of each class</w:t>
            </w:r>
          </w:p>
        </w:tc>
        <w:tc>
          <w:tcPr>
            <w:tcW w:w="1370" w:type="dxa"/>
            <w:tcBorders>
              <w:bottom w:val="single" w:sz="12" w:space="0" w:color="000000"/>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Trading Symbol(s)</w:t>
            </w:r>
          </w:p>
        </w:tc>
        <w:tc>
          <w:tcPr>
            <w:tcW w:w="3740" w:type="dxa"/>
            <w:tcBorders>
              <w:bottom w:val="single" w:sz="12" w:space="0" w:color="000000"/>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Trading Name of each exchange on which registered</w:t>
            </w:r>
          </w:p>
        </w:tc>
      </w:tr>
      <w:tr>
        <w:trPr/>
        <w:tc>
          <w:tcPr>
            <w:tcW w:w="2420" w:type="dxa"/>
            <w:tcBorders/>
            <w:tcMar>
              <w:bottom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Common Stock, Par value $0.001</w:t>
            </w:r>
          </w:p>
        </w:tc>
        <w:tc>
          <w:tcPr>
            <w:tcW w:w="1370" w:type="dxa"/>
            <w:tcBorders/>
            <w:tcMar>
              <w:bottom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AAOI</w:t>
            </w:r>
          </w:p>
        </w:tc>
        <w:tc>
          <w:tcPr>
            <w:tcW w:w="3740" w:type="dxa"/>
            <w:tcBorders/>
            <w:tcMar>
              <w:bottom w:w="0"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NASDAQ Global Market</w:t>
            </w:r>
          </w:p>
        </w:tc>
      </w:tr>
    </w:tbl>
    <w:p>
      <w:pPr>
        <w:pStyle w:val="TextBody"/>
        <w:bidi w:val="0"/>
        <w:spacing w:before="0" w:after="0"/>
        <w:ind w:left="0" w:right="0" w:hanging="0"/>
        <w:jc w:val="left"/>
        <w:rPr/>
      </w:pPr>
      <w:r>
        <w:rPr/>
        <w:t>  </w:t>
      </w:r>
    </w:p>
    <w:p>
      <w:pPr>
        <w:pStyle w:val="TextBody"/>
        <w:bidi w:val="0"/>
        <w:spacing w:before="0" w:after="0"/>
        <w:ind w:left="440" w:right="0" w:hanging="0"/>
        <w:jc w:val="left"/>
        <w:rPr>
          <w:rFonts w:ascii="Times New Roman" w:hAnsi="Times New Roman"/>
          <w:sz w:val="18"/>
        </w:rPr>
      </w:pPr>
      <w:r>
        <w:rPr>
          <w:rFonts w:ascii="Times New Roman" w:hAnsi="Times New Roman"/>
          <w:sz w:val="18"/>
        </w:rPr>
        <w:t>Securities registered pursuant to Section 12(g) of the Act: None</w:t>
      </w:r>
    </w:p>
    <w:p>
      <w:pPr>
        <w:pStyle w:val="TextBody"/>
        <w:bidi w:val="0"/>
        <w:spacing w:before="0" w:after="0"/>
        <w:ind w:left="0" w:right="0" w:hanging="0"/>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if the registrant is a well-known seasoned issuer, as defined in Rule 405 of the Securities Act of 1933  Yes  ☒  No ☐</w:t>
      </w:r>
    </w:p>
    <w:p>
      <w:pPr>
        <w:pStyle w:val="TextBody"/>
        <w:bidi w:val="0"/>
        <w:spacing w:before="0" w:after="0"/>
        <w:ind w:left="0" w:right="0" w:firstLine="432"/>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if the registrant is not required to file reports pursuant to Section 13 or Section 15(d) of the Act  Yes ☐   No ☒</w:t>
      </w:r>
    </w:p>
    <w:p>
      <w:pPr>
        <w:pStyle w:val="TextBody"/>
        <w:bidi w:val="0"/>
        <w:spacing w:before="0" w:after="0"/>
        <w:ind w:left="0" w:right="0" w:firstLine="432"/>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432"/>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432"/>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432"/>
        <w:jc w:val="left"/>
        <w:rPr>
          <w:rFonts w:ascii="Times New Roman;Times;serif" w:hAnsi="Times New Roman;Times;serif"/>
          <w:sz w:val="18"/>
        </w:rPr>
      </w:pPr>
      <w:r>
        <w:rPr>
          <w:rFonts w:ascii="Times New Roman;Times;serif" w:hAnsi="Times New Roman;Times;serif"/>
          <w:sz w:val="18"/>
        </w:rPr>
        <w:t xml:space="preserve">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w:t>
      </w:r>
    </w:p>
    <w:tbl>
      <w:tblPr>
        <w:tblW w:w="4820" w:type="dxa"/>
        <w:jc w:val="left"/>
        <w:tblInd w:w="0" w:type="dxa"/>
        <w:tblLayout w:type="fixed"/>
        <w:tblCellMar>
          <w:top w:w="0" w:type="dxa"/>
          <w:left w:w="0" w:type="dxa"/>
          <w:bottom w:w="0" w:type="dxa"/>
          <w:right w:w="0" w:type="dxa"/>
        </w:tblCellMar>
      </w:tblPr>
      <w:tblGrid>
        <w:gridCol w:w="2285"/>
        <w:gridCol w:w="350"/>
        <w:gridCol w:w="1955"/>
        <w:gridCol w:w="230"/>
      </w:tblGrid>
      <w:tr>
        <w:trPr/>
        <w:tc>
          <w:tcPr>
            <w:tcW w:w="2285" w:type="dxa"/>
            <w:tcBorders/>
            <w:vAlign w:val="center"/>
          </w:tcPr>
          <w:p>
            <w:pPr>
              <w:pStyle w:val="TableContents"/>
              <w:bidi w:val="0"/>
              <w:spacing w:before="0" w:after="0"/>
              <w:ind w:left="0" w:right="0" w:firstLine="720"/>
              <w:jc w:val="left"/>
              <w:rPr>
                <w:rFonts w:ascii="Times New Roman" w:hAnsi="Times New Roman"/>
                <w:sz w:val="18"/>
              </w:rPr>
            </w:pPr>
            <w:r>
              <w:rPr>
                <w:rFonts w:ascii="Times New Roman" w:hAnsi="Times New Roman"/>
                <w:sz w:val="18"/>
              </w:rPr>
              <w:t>Large accelerated filer</w:t>
            </w:r>
          </w:p>
        </w:tc>
        <w:tc>
          <w:tcPr>
            <w:tcW w:w="35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Accelerated filer</w:t>
            </w:r>
          </w:p>
        </w:tc>
        <w:tc>
          <w:tcPr>
            <w:tcW w:w="230" w:type="dxa"/>
            <w:tcBorders/>
            <w:vAlign w:val="center"/>
          </w:tcPr>
          <w:p>
            <w:pPr>
              <w:pStyle w:val="TableContents"/>
              <w:bidi w:val="0"/>
              <w:spacing w:before="0" w:after="283"/>
              <w:jc w:val="left"/>
              <w:rPr/>
            </w:pPr>
            <w:r>
              <w:rPr/>
              <w:t>☐</w:t>
            </w:r>
          </w:p>
        </w:tc>
      </w:tr>
      <w:tr>
        <w:trPr/>
        <w:tc>
          <w:tcPr>
            <w:tcW w:w="2285" w:type="dxa"/>
            <w:tcBorders/>
            <w:vAlign w:val="center"/>
          </w:tcPr>
          <w:p>
            <w:pPr>
              <w:pStyle w:val="TableContents"/>
              <w:bidi w:val="0"/>
              <w:spacing w:before="0" w:after="0"/>
              <w:ind w:left="0" w:right="0" w:firstLine="720"/>
              <w:jc w:val="left"/>
              <w:rPr>
                <w:rFonts w:ascii="Times New Roman" w:hAnsi="Times New Roman"/>
                <w:sz w:val="18"/>
              </w:rPr>
            </w:pPr>
            <w:r>
              <w:rPr>
                <w:rFonts w:ascii="Times New Roman" w:hAnsi="Times New Roman"/>
                <w:sz w:val="18"/>
              </w:rPr>
              <w:t>Non-accelerated filer</w:t>
            </w:r>
          </w:p>
        </w:tc>
        <w:tc>
          <w:tcPr>
            <w:tcW w:w="35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2285" w:type="dxa"/>
            <w:tcBorders/>
            <w:vAlign w:val="center"/>
          </w:tcPr>
          <w:p>
            <w:pPr>
              <w:pStyle w:val="TableContents"/>
              <w:bidi w:val="0"/>
              <w:spacing w:before="0" w:after="0"/>
              <w:ind w:left="0" w:right="0" w:firstLine="72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1955"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440"/>
        <w:jc w:val="left"/>
        <w:rPr>
          <w:rFonts w:ascii="Times New Roman" w:hAnsi="Times New Roman"/>
          <w:sz w:val="18"/>
        </w:rPr>
      </w:pPr>
      <w:r>
        <w:rPr>
          <w:rFonts w:ascii="Times New Roman" w:hAnsi="Times New Roman"/>
          <w:sz w:val="18"/>
        </w:rPr>
        <w:t>If an emerging growth company, indicate by check mark whether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40"/>
        <w:jc w:val="both"/>
        <w:rPr/>
      </w:pPr>
      <w:r>
        <w:rPr/>
        <w:t>  </w:t>
      </w:r>
    </w:p>
    <w:p>
      <w:pPr>
        <w:pStyle w:val="TextBody"/>
        <w:bidi w:val="0"/>
        <w:spacing w:before="0" w:after="0"/>
        <w:ind w:left="0" w:right="0" w:firstLine="440"/>
        <w:jc w:val="left"/>
        <w:rPr>
          <w:rFonts w:ascii="Times New Roman" w:hAnsi="Times New Roman"/>
          <w:sz w:val="18"/>
        </w:rPr>
      </w:pPr>
      <w:r>
        <w:rPr>
          <w:rFonts w:ascii="Times New Roman" w:hAnsi="Times New Roman"/>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Indicate by check mark whether the Registrant is a shell company (as defined in Rule 12b-2 of the Act).  Yes ☐   No ☒</w:t>
      </w:r>
    </w:p>
    <w:p>
      <w:pPr>
        <w:pStyle w:val="TextBody"/>
        <w:bidi w:val="0"/>
        <w:spacing w:before="0" w:after="0"/>
        <w:ind w:left="0" w:right="0" w:firstLine="432"/>
        <w:jc w:val="left"/>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As of June 30, 2025, the aggregate market value of the common stock held by non-affiliates of the Registrant was $1,491,234,829 based upon the closing sales price of the Registrant’s common stock as reported on the NASDAQ Global Markets on June 30, 2025 of $25.69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pStyle w:val="TextBody"/>
        <w:bidi w:val="0"/>
        <w:spacing w:before="0" w:after="0"/>
        <w:ind w:left="0" w:right="0" w:firstLine="432"/>
        <w:jc w:val="left"/>
        <w:rPr/>
      </w:pPr>
      <w:r>
        <w:rPr/>
        <w:t> </w:t>
      </w:r>
    </w:p>
    <w:p>
      <w:pPr>
        <w:pStyle w:val="TextBody"/>
        <w:bidi w:val="0"/>
        <w:spacing w:before="0" w:after="0"/>
        <w:ind w:left="0" w:right="0" w:firstLine="440"/>
        <w:jc w:val="both"/>
        <w:rPr>
          <w:rFonts w:ascii="Times New Roman" w:hAnsi="Times New Roman"/>
          <w:sz w:val="18"/>
        </w:rPr>
      </w:pPr>
      <w:r>
        <w:rPr>
          <w:rFonts w:ascii="Times New Roman" w:hAnsi="Times New Roman"/>
          <w:sz w:val="18"/>
        </w:rPr>
        <w:t>As of February 24, 2026, the Registrant had 75,198,817</w:t>
      </w:r>
      <w:r>
        <w:rPr>
          <w:rFonts w:ascii="Times New Roman" w:hAnsi="Times New Roman"/>
          <w:sz w:val="18"/>
          <w:shd w:fill="FFFFFF" w:val="clear"/>
        </w:rPr>
        <w:t> </w:t>
      </w:r>
      <w:r>
        <w:rPr>
          <w:rFonts w:ascii="Times New Roman" w:hAnsi="Times New Roman"/>
          <w:sz w:val="18"/>
        </w:rPr>
        <w:t>outstanding shares of Common Stock.</w:t>
      </w:r>
    </w:p>
    <w:p>
      <w:pPr>
        <w:pStyle w:val="TextBody"/>
        <w:bidi w:val="0"/>
        <w:spacing w:before="0" w:after="0"/>
        <w:ind w:left="0" w:right="0" w:firstLine="440"/>
        <w:jc w:val="both"/>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sz w:val="18"/>
        </w:rPr>
        <w:t>DOCUMENTS INCORPORATED BY REFERENCE</w:t>
      </w:r>
    </w:p>
    <w:p>
      <w:pPr>
        <w:pStyle w:val="TextBody"/>
        <w:bidi w:val="0"/>
        <w:spacing w:before="0" w:after="0"/>
        <w:ind w:left="0" w:right="0" w:firstLine="440"/>
        <w:jc w:val="both"/>
        <w:rPr/>
      </w:pPr>
      <w:r>
        <w:rPr/>
        <w:t> </w:t>
      </w:r>
    </w:p>
    <w:p>
      <w:pPr>
        <w:pStyle w:val="TextBody"/>
        <w:bidi w:val="0"/>
        <w:spacing w:before="0" w:after="0"/>
        <w:ind w:left="0" w:right="0" w:firstLine="432"/>
        <w:jc w:val="left"/>
        <w:rPr>
          <w:rFonts w:ascii="Times New Roman" w:hAnsi="Times New Roman"/>
          <w:sz w:val="18"/>
        </w:rPr>
      </w:pPr>
      <w:r>
        <w:rPr>
          <w:rFonts w:ascii="Times New Roman" w:hAnsi="Times New Roman"/>
          <w:sz w:val="18"/>
        </w:rPr>
        <w:t>Portions of the Registrant’s definitive Proxy Statement for the Registrant’s 2026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2025.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b/>
          <w:sz w:val="20"/>
          <w:shd w:fill="FFFFFF" w:val="clear"/>
        </w:rPr>
        <w:t>Applied Optoelectronics, Inc.</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Table of Contents</w:t>
      </w:r>
      <w:r>
        <w:rPr>
          <w:rFonts w:ascii="Times New Roman;Times;serif" w:hAnsi="Times New Roman;Times;serif"/>
          <w:sz w:val="20"/>
        </w:rPr>
        <w:t>  </w:t>
      </w:r>
    </w:p>
    <w:tbl>
      <w:tblPr>
        <w:tblW w:w="9030" w:type="dxa"/>
        <w:jc w:val="left"/>
        <w:tblInd w:w="0" w:type="dxa"/>
        <w:tblLayout w:type="fixed"/>
        <w:tblCellMar>
          <w:top w:w="0" w:type="dxa"/>
          <w:left w:w="0" w:type="dxa"/>
          <w:bottom w:w="0" w:type="dxa"/>
          <w:right w:w="0" w:type="dxa"/>
        </w:tblCellMar>
      </w:tblPr>
      <w:tblGrid>
        <w:gridCol w:w="665"/>
        <w:gridCol w:w="7985"/>
        <w:gridCol w:w="380"/>
      </w:tblGrid>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sz w:val="18"/>
                <w:shd w:fill="FFFFFF" w:val="clear"/>
              </w:rPr>
            </w:pPr>
            <w:r>
              <w:rPr>
                <w:rFonts w:ascii="Times New Roman;Times;serif" w:hAnsi="Times New Roman;Times;serif"/>
                <w:sz w:val="18"/>
                <w:shd w:fill="FFFFFF" w:val="clear"/>
              </w:rPr>
              <w:t>Page</w:t>
            </w:r>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Part_I">
              <w:r>
                <w:rPr>
                  <w:rStyle w:val="InternetLink"/>
                  <w:rFonts w:ascii="Times New Roman;Times;serif" w:hAnsi="Times New Roman;Times;serif"/>
                  <w:sz w:val="18"/>
                  <w:shd w:fill="FFFFFF" w:val="clear"/>
                </w:rPr>
                <w:t>Part I</w:t>
              </w:r>
            </w:hyperlink>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hyperlink w:anchor="Part_I">
              <w:r>
                <w:rPr>
                  <w:rStyle w:val="InternetLink"/>
                  <w:rFonts w:ascii="Times New Roman;Times;serif" w:hAnsi="Times New Roman;Times;serif"/>
                  <w:sz w:val="18"/>
                </w:rPr>
                <w:t>3</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
              <w:r>
                <w:rPr>
                  <w:rStyle w:val="InternetLink"/>
                  <w:rFonts w:ascii="Times New Roman;Times;serif" w:hAnsi="Times New Roman;Times;serif"/>
                  <w:sz w:val="18"/>
                  <w:shd w:fill="FFFFFF" w:val="clear"/>
                </w:rPr>
                <w:t>Item 1.</w:t>
              </w:r>
            </w:hyperlink>
          </w:p>
        </w:tc>
        <w:tc>
          <w:tcPr>
            <w:tcW w:w="7985" w:type="dxa"/>
            <w:tcBorders/>
            <w:vAlign w:val="center"/>
          </w:tcPr>
          <w:p>
            <w:pPr>
              <w:pStyle w:val="TableContents"/>
              <w:bidi w:val="0"/>
              <w:spacing w:before="0" w:after="0"/>
              <w:ind w:left="0" w:right="0" w:hanging="0"/>
              <w:jc w:val="left"/>
              <w:rPr/>
            </w:pPr>
            <w:hyperlink w:anchor="Item_1">
              <w:r>
                <w:rPr>
                  <w:rStyle w:val="InternetLink"/>
                  <w:rFonts w:ascii="Times New Roman;Times;serif" w:hAnsi="Times New Roman;Times;serif"/>
                  <w:sz w:val="18"/>
                  <w:shd w:fill="FFFFFF" w:val="clear"/>
                </w:rPr>
                <w:t>Business</w:t>
              </w:r>
            </w:hyperlink>
          </w:p>
        </w:tc>
        <w:tc>
          <w:tcPr>
            <w:tcW w:w="380" w:type="dxa"/>
            <w:tcBorders/>
            <w:vAlign w:val="center"/>
          </w:tcPr>
          <w:p>
            <w:pPr>
              <w:pStyle w:val="TableContents"/>
              <w:bidi w:val="0"/>
              <w:spacing w:before="0" w:after="0"/>
              <w:ind w:left="0" w:right="0" w:hanging="0"/>
              <w:jc w:val="center"/>
              <w:rPr/>
            </w:pPr>
            <w:hyperlink w:anchor="Item_1">
              <w:r>
                <w:rPr>
                  <w:rStyle w:val="InternetLink"/>
                  <w:rFonts w:ascii="Times New Roman;Times;serif" w:hAnsi="Times New Roman;Times;serif"/>
                  <w:sz w:val="18"/>
                </w:rPr>
                <w:t>3</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A">
              <w:r>
                <w:rPr>
                  <w:rStyle w:val="InternetLink"/>
                  <w:rFonts w:ascii="Times New Roman;Times;serif" w:hAnsi="Times New Roman;Times;serif"/>
                  <w:sz w:val="18"/>
                  <w:shd w:fill="FFFFFF" w:val="clear"/>
                </w:rPr>
                <w:t>Item 1A.</w:t>
              </w:r>
            </w:hyperlink>
          </w:p>
        </w:tc>
        <w:tc>
          <w:tcPr>
            <w:tcW w:w="7985" w:type="dxa"/>
            <w:tcBorders/>
            <w:vAlign w:val="center"/>
          </w:tcPr>
          <w:p>
            <w:pPr>
              <w:pStyle w:val="TableContents"/>
              <w:bidi w:val="0"/>
              <w:spacing w:before="0" w:after="0"/>
              <w:ind w:left="0" w:right="0" w:hanging="0"/>
              <w:jc w:val="left"/>
              <w:rPr/>
            </w:pPr>
            <w:hyperlink w:anchor="Item_1A">
              <w:r>
                <w:rPr>
                  <w:rStyle w:val="InternetLink"/>
                  <w:rFonts w:ascii="Times New Roman;Times;serif" w:hAnsi="Times New Roman;Times;serif"/>
                  <w:sz w:val="18"/>
                  <w:shd w:fill="FFFFFF" w:val="clear"/>
                </w:rPr>
                <w:t>Risk Factors</w:t>
              </w:r>
            </w:hyperlink>
          </w:p>
        </w:tc>
        <w:tc>
          <w:tcPr>
            <w:tcW w:w="380" w:type="dxa"/>
            <w:tcBorders/>
            <w:vAlign w:val="center"/>
          </w:tcPr>
          <w:p>
            <w:pPr>
              <w:pStyle w:val="TableContents"/>
              <w:bidi w:val="0"/>
              <w:spacing w:before="0" w:after="0"/>
              <w:ind w:left="0" w:right="0" w:hanging="0"/>
              <w:jc w:val="center"/>
              <w:rPr/>
            </w:pPr>
            <w:hyperlink w:anchor="Item_1A">
              <w:r>
                <w:rPr>
                  <w:rStyle w:val="InternetLink"/>
                  <w:rFonts w:ascii="Times New Roman;Times;serif" w:hAnsi="Times New Roman;Times;serif"/>
                  <w:sz w:val="18"/>
                </w:rPr>
                <w:t>15</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B">
              <w:r>
                <w:rPr>
                  <w:rStyle w:val="InternetLink"/>
                  <w:rFonts w:ascii="Times New Roman;Times;serif" w:hAnsi="Times New Roman;Times;serif"/>
                  <w:sz w:val="18"/>
                  <w:shd w:fill="FFFFFF" w:val="clear"/>
                </w:rPr>
                <w:t>Item 1B.</w:t>
              </w:r>
            </w:hyperlink>
          </w:p>
        </w:tc>
        <w:tc>
          <w:tcPr>
            <w:tcW w:w="7985" w:type="dxa"/>
            <w:tcBorders/>
            <w:vAlign w:val="center"/>
          </w:tcPr>
          <w:p>
            <w:pPr>
              <w:pStyle w:val="TableContents"/>
              <w:bidi w:val="0"/>
              <w:spacing w:before="0" w:after="0"/>
              <w:ind w:left="0" w:right="0" w:hanging="0"/>
              <w:jc w:val="left"/>
              <w:rPr/>
            </w:pPr>
            <w:hyperlink w:anchor="Item_1B">
              <w:r>
                <w:rPr>
                  <w:rStyle w:val="InternetLink"/>
                  <w:rFonts w:ascii="Times New Roman;Times;serif" w:hAnsi="Times New Roman;Times;serif"/>
                  <w:sz w:val="18"/>
                  <w:shd w:fill="FFFFFF" w:val="clear"/>
                </w:rPr>
                <w:t>Unresolved Staff Comments</w:t>
              </w:r>
            </w:hyperlink>
          </w:p>
        </w:tc>
        <w:tc>
          <w:tcPr>
            <w:tcW w:w="380" w:type="dxa"/>
            <w:tcBorders/>
            <w:vAlign w:val="center"/>
          </w:tcPr>
          <w:p>
            <w:pPr>
              <w:pStyle w:val="TableContents"/>
              <w:bidi w:val="0"/>
              <w:spacing w:before="0" w:after="0"/>
              <w:ind w:left="0" w:right="0" w:hanging="0"/>
              <w:jc w:val="center"/>
              <w:rPr/>
            </w:pPr>
            <w:hyperlink w:anchor="Item_1B">
              <w:r>
                <w:rPr>
                  <w:rStyle w:val="InternetLink"/>
                  <w:rFonts w:ascii="Times New Roman;Times;serif" w:hAnsi="Times New Roman;Times;serif"/>
                  <w:sz w:val="18"/>
                </w:rPr>
                <w:t>35</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283"/>
              <w:jc w:val="left"/>
              <w:rPr/>
            </w:pPr>
            <w:hyperlink w:anchor="Cybersecurity">
              <w:r>
                <w:rPr>
                  <w:rStyle w:val="InternetLink"/>
                  <w:rFonts w:ascii="Times New Roman;Times;serif" w:hAnsi="Times New Roman;Times;serif"/>
                  <w:sz w:val="18"/>
                </w:rPr>
                <w:t>Item 1C.</w:t>
              </w:r>
            </w:hyperlink>
          </w:p>
        </w:tc>
        <w:tc>
          <w:tcPr>
            <w:tcW w:w="7985" w:type="dxa"/>
            <w:tcBorders/>
            <w:vAlign w:val="center"/>
          </w:tcPr>
          <w:p>
            <w:pPr>
              <w:pStyle w:val="TableContents"/>
              <w:bidi w:val="0"/>
              <w:spacing w:before="0" w:after="283"/>
              <w:jc w:val="left"/>
              <w:rPr/>
            </w:pPr>
            <w:hyperlink w:anchor="Cybersecurity">
              <w:r>
                <w:rPr>
                  <w:rStyle w:val="InternetLink"/>
                  <w:rFonts w:ascii="Times New Roman;Times;serif" w:hAnsi="Times New Roman;Times;serif"/>
                  <w:sz w:val="18"/>
                  <w:shd w:fill="FFFFFF" w:val="clear"/>
                </w:rPr>
                <w:t>Cybersecurity</w:t>
              </w:r>
            </w:hyperlink>
          </w:p>
        </w:tc>
        <w:tc>
          <w:tcPr>
            <w:tcW w:w="380" w:type="dxa"/>
            <w:tcBorders/>
            <w:vAlign w:val="center"/>
          </w:tcPr>
          <w:p>
            <w:pPr>
              <w:pStyle w:val="TableContents"/>
              <w:bidi w:val="0"/>
              <w:spacing w:before="0" w:after="283"/>
              <w:jc w:val="center"/>
              <w:rPr/>
            </w:pPr>
            <w:hyperlink w:anchor="Cybersecurity">
              <w:r>
                <w:rPr>
                  <w:rStyle w:val="InternetLink"/>
                  <w:rFonts w:ascii="Times New Roman;Times;serif" w:hAnsi="Times New Roman;Times;serif"/>
                  <w:sz w:val="18"/>
                </w:rPr>
                <w:t>35</w:t>
              </w:r>
            </w:hyperlink>
          </w:p>
        </w:tc>
      </w:tr>
      <w:tr>
        <w:trPr/>
        <w:tc>
          <w:tcPr>
            <w:tcW w:w="665"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sz w:val="18"/>
                  <w:shd w:fill="FFFFFF" w:val="clear"/>
                </w:rPr>
                <w:t>Item 2.</w:t>
              </w:r>
            </w:hyperlink>
          </w:p>
        </w:tc>
        <w:tc>
          <w:tcPr>
            <w:tcW w:w="7985"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sz w:val="18"/>
                  <w:shd w:fill="FFFFFF" w:val="clear"/>
                </w:rPr>
                <w:t>Properties</w:t>
              </w:r>
            </w:hyperlink>
          </w:p>
        </w:tc>
        <w:tc>
          <w:tcPr>
            <w:tcW w:w="380" w:type="dxa"/>
            <w:tcBorders/>
            <w:vAlign w:val="center"/>
          </w:tcPr>
          <w:p>
            <w:pPr>
              <w:pStyle w:val="TableContents"/>
              <w:bidi w:val="0"/>
              <w:spacing w:before="0" w:after="0"/>
              <w:ind w:left="0" w:right="0" w:hanging="0"/>
              <w:jc w:val="center"/>
              <w:rPr/>
            </w:pPr>
            <w:hyperlink w:anchor="Item_2">
              <w:r>
                <w:rPr>
                  <w:rStyle w:val="InternetLink"/>
                  <w:rFonts w:ascii="Times New Roman;Times;serif" w:hAnsi="Times New Roman;Times;serif"/>
                  <w:sz w:val="18"/>
                </w:rPr>
                <w:t>36</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3">
              <w:r>
                <w:rPr>
                  <w:rStyle w:val="InternetLink"/>
                  <w:rFonts w:ascii="Times New Roman;Times;serif" w:hAnsi="Times New Roman;Times;serif"/>
                  <w:sz w:val="18"/>
                  <w:shd w:fill="FFFFFF" w:val="clear"/>
                </w:rPr>
                <w:t>Item 3.</w:t>
              </w:r>
            </w:hyperlink>
          </w:p>
        </w:tc>
        <w:tc>
          <w:tcPr>
            <w:tcW w:w="7985" w:type="dxa"/>
            <w:tcBorders/>
            <w:vAlign w:val="center"/>
          </w:tcPr>
          <w:p>
            <w:pPr>
              <w:pStyle w:val="TableContents"/>
              <w:bidi w:val="0"/>
              <w:spacing w:before="0" w:after="0"/>
              <w:ind w:left="0" w:right="0" w:hanging="0"/>
              <w:jc w:val="left"/>
              <w:rPr/>
            </w:pPr>
            <w:hyperlink w:anchor="Item_3">
              <w:r>
                <w:rPr>
                  <w:rStyle w:val="InternetLink"/>
                  <w:rFonts w:ascii="Times New Roman;Times;serif" w:hAnsi="Times New Roman;Times;serif"/>
                  <w:sz w:val="18"/>
                  <w:shd w:fill="FFFFFF" w:val="clear"/>
                </w:rPr>
                <w:t>Legal Proceedings</w:t>
              </w:r>
            </w:hyperlink>
          </w:p>
        </w:tc>
        <w:tc>
          <w:tcPr>
            <w:tcW w:w="380" w:type="dxa"/>
            <w:tcBorders/>
            <w:vAlign w:val="center"/>
          </w:tcPr>
          <w:p>
            <w:pPr>
              <w:pStyle w:val="TableContents"/>
              <w:bidi w:val="0"/>
              <w:spacing w:before="0" w:after="0"/>
              <w:ind w:left="0" w:right="0" w:hanging="0"/>
              <w:jc w:val="center"/>
              <w:rPr/>
            </w:pPr>
            <w:hyperlink w:anchor="Item_3">
              <w:r>
                <w:rPr>
                  <w:rStyle w:val="InternetLink"/>
                  <w:rFonts w:ascii="Times New Roman;Times;serif" w:hAnsi="Times New Roman;Times;serif"/>
                  <w:sz w:val="18"/>
                </w:rPr>
                <w:t>36</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4">
              <w:r>
                <w:rPr>
                  <w:rStyle w:val="InternetLink"/>
                  <w:rFonts w:ascii="Times New Roman;Times;serif" w:hAnsi="Times New Roman;Times;serif"/>
                  <w:sz w:val="18"/>
                  <w:shd w:fill="FFFFFF" w:val="clear"/>
                </w:rPr>
                <w:t>Item 4.</w:t>
              </w:r>
            </w:hyperlink>
          </w:p>
        </w:tc>
        <w:tc>
          <w:tcPr>
            <w:tcW w:w="7985" w:type="dxa"/>
            <w:tcBorders/>
            <w:vAlign w:val="center"/>
          </w:tcPr>
          <w:p>
            <w:pPr>
              <w:pStyle w:val="TableContents"/>
              <w:bidi w:val="0"/>
              <w:spacing w:before="0" w:after="0"/>
              <w:ind w:left="0" w:right="0" w:hanging="0"/>
              <w:jc w:val="left"/>
              <w:rPr/>
            </w:pPr>
            <w:hyperlink w:anchor="Item_4">
              <w:r>
                <w:rPr>
                  <w:rStyle w:val="InternetLink"/>
                  <w:rFonts w:ascii="Times New Roman;Times;serif" w:hAnsi="Times New Roman;Times;serif"/>
                  <w:sz w:val="18"/>
                  <w:shd w:fill="FFFFFF" w:val="clear"/>
                </w:rPr>
                <w:t>Mine Safety Disclosure</w:t>
              </w:r>
            </w:hyperlink>
          </w:p>
        </w:tc>
        <w:tc>
          <w:tcPr>
            <w:tcW w:w="380" w:type="dxa"/>
            <w:tcBorders/>
            <w:vAlign w:val="center"/>
          </w:tcPr>
          <w:p>
            <w:pPr>
              <w:pStyle w:val="TableContents"/>
              <w:bidi w:val="0"/>
              <w:spacing w:before="0" w:after="0"/>
              <w:ind w:left="0" w:right="0" w:hanging="0"/>
              <w:jc w:val="center"/>
              <w:rPr/>
            </w:pPr>
            <w:hyperlink w:anchor="Item_4">
              <w:r>
                <w:rPr>
                  <w:rStyle w:val="InternetLink"/>
                  <w:rFonts w:ascii="Times New Roman;Times;serif" w:hAnsi="Times New Roman;Times;serif"/>
                  <w:sz w:val="18"/>
                </w:rPr>
                <w:t>36</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Part_II">
              <w:r>
                <w:rPr>
                  <w:rStyle w:val="InternetLink"/>
                  <w:rFonts w:ascii="Times New Roman;Times;serif" w:hAnsi="Times New Roman;Times;serif"/>
                  <w:sz w:val="18"/>
                  <w:shd w:fill="FFFFFF" w:val="clear"/>
                </w:rPr>
                <w:t>Part II</w:t>
              </w:r>
            </w:hyperlink>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hyperlink w:anchor="Part_II">
              <w:r>
                <w:rPr>
                  <w:rStyle w:val="InternetLink"/>
                  <w:rFonts w:ascii="Times New Roman;Times;serif" w:hAnsi="Times New Roman;Times;serif"/>
                  <w:sz w:val="18"/>
                </w:rPr>
                <w:t>37</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5">
              <w:r>
                <w:rPr>
                  <w:rStyle w:val="InternetLink"/>
                  <w:rFonts w:ascii="Times New Roman;Times;serif" w:hAnsi="Times New Roman;Times;serif"/>
                  <w:sz w:val="18"/>
                  <w:shd w:fill="FFFFFF" w:val="clear"/>
                </w:rPr>
                <w:t>Item 5.</w:t>
              </w:r>
            </w:hyperlink>
          </w:p>
        </w:tc>
        <w:tc>
          <w:tcPr>
            <w:tcW w:w="7985" w:type="dxa"/>
            <w:tcBorders/>
            <w:vAlign w:val="center"/>
          </w:tcPr>
          <w:p>
            <w:pPr>
              <w:pStyle w:val="TableContents"/>
              <w:bidi w:val="0"/>
              <w:spacing w:before="0" w:after="0"/>
              <w:ind w:left="0" w:right="0" w:hanging="0"/>
              <w:jc w:val="left"/>
              <w:rPr/>
            </w:pPr>
            <w:hyperlink w:anchor="Item_5">
              <w:r>
                <w:rPr>
                  <w:rStyle w:val="InternetLink"/>
                  <w:rFonts w:ascii="Times New Roman;Times;serif" w:hAnsi="Times New Roman;Times;serif"/>
                  <w:sz w:val="18"/>
                  <w:shd w:fill="FFFFFF" w:val="clear"/>
                </w:rPr>
                <w:t>Market for Registrant’s Common Equity, Related Stockholder Matters and Issuer Purchases of Equity Securities</w:t>
              </w:r>
            </w:hyperlink>
          </w:p>
        </w:tc>
        <w:tc>
          <w:tcPr>
            <w:tcW w:w="380" w:type="dxa"/>
            <w:tcBorders/>
            <w:vAlign w:val="center"/>
          </w:tcPr>
          <w:p>
            <w:pPr>
              <w:pStyle w:val="TableContents"/>
              <w:bidi w:val="0"/>
              <w:spacing w:before="0" w:after="0"/>
              <w:ind w:left="0" w:right="0" w:hanging="0"/>
              <w:jc w:val="center"/>
              <w:rPr/>
            </w:pPr>
            <w:hyperlink w:anchor="Item_5">
              <w:r>
                <w:rPr>
                  <w:rStyle w:val="InternetLink"/>
                  <w:rFonts w:ascii="Times New Roman;Times;serif" w:hAnsi="Times New Roman;Times;serif"/>
                  <w:sz w:val="18"/>
                </w:rPr>
                <w:t>37</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6">
              <w:r>
                <w:rPr>
                  <w:rStyle w:val="InternetLink"/>
                  <w:rFonts w:ascii="Times New Roman;Times;serif" w:hAnsi="Times New Roman;Times;serif"/>
                  <w:sz w:val="18"/>
                  <w:shd w:fill="FFFFFF" w:val="clear"/>
                </w:rPr>
                <w:t>Item 6.</w:t>
              </w:r>
            </w:hyperlink>
          </w:p>
        </w:tc>
        <w:tc>
          <w:tcPr>
            <w:tcW w:w="7985" w:type="dxa"/>
            <w:tcBorders/>
            <w:vAlign w:val="center"/>
          </w:tcPr>
          <w:p>
            <w:pPr>
              <w:pStyle w:val="TableContents"/>
              <w:bidi w:val="0"/>
              <w:spacing w:before="0" w:after="0"/>
              <w:ind w:left="0" w:right="0" w:hanging="0"/>
              <w:jc w:val="left"/>
              <w:rPr/>
            </w:pPr>
            <w:hyperlink w:anchor="Item_6">
              <w:r>
                <w:rPr>
                  <w:rStyle w:val="InternetLink"/>
                  <w:rFonts w:ascii="Times New Roman;Times;serif" w:hAnsi="Times New Roman;Times;serif"/>
                  <w:sz w:val="18"/>
                  <w:shd w:fill="FFFFFF" w:val="clear"/>
                </w:rPr>
                <w:t>[Reserved]</w:t>
              </w:r>
            </w:hyperlink>
          </w:p>
        </w:tc>
        <w:tc>
          <w:tcPr>
            <w:tcW w:w="380" w:type="dxa"/>
            <w:tcBorders/>
            <w:vAlign w:val="center"/>
          </w:tcPr>
          <w:p>
            <w:pPr>
              <w:pStyle w:val="TableContents"/>
              <w:bidi w:val="0"/>
              <w:spacing w:before="0" w:after="0"/>
              <w:ind w:left="0" w:right="0" w:hanging="0"/>
              <w:jc w:val="center"/>
              <w:rPr/>
            </w:pPr>
            <w:hyperlink w:anchor="Item_6">
              <w:r>
                <w:rPr>
                  <w:rStyle w:val="InternetLink"/>
                  <w:rFonts w:ascii="Times New Roman;Times;serif" w:hAnsi="Times New Roman;Times;serif"/>
                  <w:sz w:val="18"/>
                </w:rPr>
                <w:t>38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7">
              <w:r>
                <w:rPr>
                  <w:rStyle w:val="InternetLink"/>
                  <w:rFonts w:ascii="Times New Roman;Times;serif" w:hAnsi="Times New Roman;Times;serif"/>
                  <w:sz w:val="18"/>
                  <w:shd w:fill="FFFFFF" w:val="clear"/>
                </w:rPr>
                <w:t>Item 7.</w:t>
              </w:r>
            </w:hyperlink>
          </w:p>
        </w:tc>
        <w:tc>
          <w:tcPr>
            <w:tcW w:w="7985" w:type="dxa"/>
            <w:tcBorders/>
            <w:vAlign w:val="center"/>
          </w:tcPr>
          <w:p>
            <w:pPr>
              <w:pStyle w:val="TableContents"/>
              <w:bidi w:val="0"/>
              <w:spacing w:before="0" w:after="0"/>
              <w:ind w:left="0" w:right="0" w:hanging="0"/>
              <w:jc w:val="left"/>
              <w:rPr/>
            </w:pPr>
            <w:hyperlink w:anchor="Item_7">
              <w:r>
                <w:rPr>
                  <w:rStyle w:val="InternetLink"/>
                  <w:rFonts w:ascii="Times New Roman;Times;serif" w:hAnsi="Times New Roman;Times;serif"/>
                  <w:sz w:val="18"/>
                  <w:shd w:fill="FFFFFF" w:val="clear"/>
                </w:rPr>
                <w:t>Management’s Discussion and Analysis of Financial Condition and Results of Operations</w:t>
              </w:r>
            </w:hyperlink>
          </w:p>
        </w:tc>
        <w:tc>
          <w:tcPr>
            <w:tcW w:w="380" w:type="dxa"/>
            <w:tcBorders/>
            <w:vAlign w:val="center"/>
          </w:tcPr>
          <w:p>
            <w:pPr>
              <w:pStyle w:val="TableContents"/>
              <w:bidi w:val="0"/>
              <w:spacing w:before="0" w:after="0"/>
              <w:ind w:left="0" w:right="0" w:hanging="0"/>
              <w:jc w:val="center"/>
              <w:rPr/>
            </w:pPr>
            <w:hyperlink w:anchor="Item_7">
              <w:r>
                <w:rPr>
                  <w:rStyle w:val="InternetLink"/>
                  <w:rFonts w:ascii="Times New Roman;Times;serif" w:hAnsi="Times New Roman;Times;serif"/>
                  <w:sz w:val="18"/>
                </w:rPr>
                <w:t>38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7A">
              <w:r>
                <w:rPr>
                  <w:rStyle w:val="InternetLink"/>
                  <w:rFonts w:ascii="Times New Roman;Times;serif" w:hAnsi="Times New Roman;Times;serif"/>
                  <w:sz w:val="18"/>
                  <w:shd w:fill="FFFFFF" w:val="clear"/>
                </w:rPr>
                <w:t>Item 7A.</w:t>
              </w:r>
            </w:hyperlink>
          </w:p>
        </w:tc>
        <w:tc>
          <w:tcPr>
            <w:tcW w:w="7985" w:type="dxa"/>
            <w:tcBorders/>
            <w:vAlign w:val="center"/>
          </w:tcPr>
          <w:p>
            <w:pPr>
              <w:pStyle w:val="TableContents"/>
              <w:bidi w:val="0"/>
              <w:spacing w:before="0" w:after="0"/>
              <w:ind w:left="0" w:right="0" w:hanging="0"/>
              <w:jc w:val="left"/>
              <w:rPr/>
            </w:pPr>
            <w:hyperlink w:anchor="Item_7A">
              <w:r>
                <w:rPr>
                  <w:rStyle w:val="InternetLink"/>
                  <w:rFonts w:ascii="Times New Roman;Times;serif" w:hAnsi="Times New Roman;Times;serif"/>
                  <w:sz w:val="18"/>
                  <w:shd w:fill="FFFFFF" w:val="clear"/>
                </w:rPr>
                <w:t>Quantitative and Qualitative Disclosures about Market Risk</w:t>
              </w:r>
            </w:hyperlink>
          </w:p>
        </w:tc>
        <w:tc>
          <w:tcPr>
            <w:tcW w:w="380" w:type="dxa"/>
            <w:tcBorders/>
            <w:vAlign w:val="center"/>
          </w:tcPr>
          <w:p>
            <w:pPr>
              <w:pStyle w:val="TableContents"/>
              <w:bidi w:val="0"/>
              <w:spacing w:before="0" w:after="0"/>
              <w:ind w:left="0" w:right="0" w:hanging="0"/>
              <w:jc w:val="center"/>
              <w:rPr/>
            </w:pPr>
            <w:hyperlink w:anchor="Item_7A">
              <w:r>
                <w:rPr>
                  <w:rStyle w:val="InternetLink"/>
                  <w:rFonts w:ascii="Times New Roman;Times;serif" w:hAnsi="Times New Roman;Times;serif"/>
                  <w:sz w:val="18"/>
                </w:rPr>
                <w:t>52</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8">
              <w:r>
                <w:rPr>
                  <w:rStyle w:val="InternetLink"/>
                  <w:rFonts w:ascii="Times New Roman;Times;serif" w:hAnsi="Times New Roman;Times;serif"/>
                  <w:sz w:val="18"/>
                  <w:shd w:fill="FFFFFF" w:val="clear"/>
                </w:rPr>
                <w:t>Item 8.</w:t>
              </w:r>
            </w:hyperlink>
          </w:p>
        </w:tc>
        <w:tc>
          <w:tcPr>
            <w:tcW w:w="7985" w:type="dxa"/>
            <w:tcBorders/>
            <w:vAlign w:val="center"/>
          </w:tcPr>
          <w:p>
            <w:pPr>
              <w:pStyle w:val="TableContents"/>
              <w:bidi w:val="0"/>
              <w:spacing w:before="0" w:after="0"/>
              <w:ind w:left="0" w:right="0" w:hanging="0"/>
              <w:jc w:val="left"/>
              <w:rPr/>
            </w:pPr>
            <w:hyperlink w:anchor="Item_8">
              <w:r>
                <w:rPr>
                  <w:rStyle w:val="InternetLink"/>
                  <w:rFonts w:ascii="Times New Roman;Times;serif" w:hAnsi="Times New Roman;Times;serif"/>
                  <w:sz w:val="18"/>
                  <w:shd w:fill="FFFFFF" w:val="clear"/>
                </w:rPr>
                <w:t>Financial Statements and Supplementary Data</w:t>
              </w:r>
            </w:hyperlink>
          </w:p>
        </w:tc>
        <w:tc>
          <w:tcPr>
            <w:tcW w:w="380" w:type="dxa"/>
            <w:tcBorders/>
            <w:vAlign w:val="center"/>
          </w:tcPr>
          <w:p>
            <w:pPr>
              <w:pStyle w:val="TableContents"/>
              <w:bidi w:val="0"/>
              <w:spacing w:before="0" w:after="0"/>
              <w:ind w:left="0" w:right="0" w:hanging="0"/>
              <w:jc w:val="center"/>
              <w:rPr/>
            </w:pPr>
            <w:hyperlink w:anchor="Item_8">
              <w:r>
                <w:rPr>
                  <w:rStyle w:val="InternetLink"/>
                  <w:rFonts w:ascii="Times New Roman;Times;serif" w:hAnsi="Times New Roman;Times;serif"/>
                  <w:sz w:val="18"/>
                </w:rPr>
                <w:t>53</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9">
              <w:r>
                <w:rPr>
                  <w:rStyle w:val="InternetLink"/>
                  <w:rFonts w:ascii="Times New Roman;Times;serif" w:hAnsi="Times New Roman;Times;serif"/>
                  <w:sz w:val="18"/>
                  <w:shd w:fill="FFFFFF" w:val="clear"/>
                </w:rPr>
                <w:t>Item 9.</w:t>
              </w:r>
            </w:hyperlink>
          </w:p>
        </w:tc>
        <w:tc>
          <w:tcPr>
            <w:tcW w:w="7985" w:type="dxa"/>
            <w:tcBorders/>
            <w:vAlign w:val="center"/>
          </w:tcPr>
          <w:p>
            <w:pPr>
              <w:pStyle w:val="TableContents"/>
              <w:bidi w:val="0"/>
              <w:spacing w:before="0" w:after="0"/>
              <w:ind w:left="0" w:right="0" w:hanging="0"/>
              <w:jc w:val="left"/>
              <w:rPr/>
            </w:pPr>
            <w:hyperlink w:anchor="Item_9">
              <w:r>
                <w:rPr>
                  <w:rStyle w:val="InternetLink"/>
                  <w:rFonts w:ascii="Times New Roman;Times;serif" w:hAnsi="Times New Roman;Times;serif"/>
                  <w:sz w:val="18"/>
                  <w:shd w:fill="FFFFFF" w:val="clear"/>
                </w:rPr>
                <w:t>Changes in and Disagreements with Accountants on Accounting and Financial Disclosure</w:t>
              </w:r>
            </w:hyperlink>
          </w:p>
        </w:tc>
        <w:tc>
          <w:tcPr>
            <w:tcW w:w="380" w:type="dxa"/>
            <w:tcBorders/>
            <w:vAlign w:val="center"/>
          </w:tcPr>
          <w:p>
            <w:pPr>
              <w:pStyle w:val="TableContents"/>
              <w:bidi w:val="0"/>
              <w:spacing w:before="0" w:after="0"/>
              <w:ind w:left="0" w:right="0" w:hanging="0"/>
              <w:jc w:val="center"/>
              <w:rPr/>
            </w:pPr>
            <w:hyperlink w:anchor="Item_9">
              <w:r>
                <w:rPr>
                  <w:rStyle w:val="InternetLink"/>
                  <w:rFonts w:ascii="Times New Roman;Times;serif" w:hAnsi="Times New Roman;Times;serif"/>
                  <w:sz w:val="18"/>
                </w:rPr>
                <w:t>53</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9A">
              <w:r>
                <w:rPr>
                  <w:rStyle w:val="InternetLink"/>
                  <w:rFonts w:ascii="Times New Roman;Times;serif" w:hAnsi="Times New Roman;Times;serif"/>
                  <w:sz w:val="18"/>
                  <w:shd w:fill="FFFFFF" w:val="clear"/>
                </w:rPr>
                <w:t>Item 9A.</w:t>
              </w:r>
            </w:hyperlink>
          </w:p>
        </w:tc>
        <w:tc>
          <w:tcPr>
            <w:tcW w:w="7985" w:type="dxa"/>
            <w:tcBorders/>
            <w:vAlign w:val="center"/>
          </w:tcPr>
          <w:p>
            <w:pPr>
              <w:pStyle w:val="TableContents"/>
              <w:bidi w:val="0"/>
              <w:spacing w:before="0" w:after="0"/>
              <w:ind w:left="0" w:right="0" w:hanging="0"/>
              <w:jc w:val="left"/>
              <w:rPr/>
            </w:pPr>
            <w:hyperlink w:anchor="Item_9A">
              <w:r>
                <w:rPr>
                  <w:rStyle w:val="InternetLink"/>
                  <w:rFonts w:ascii="Times New Roman;Times;serif" w:hAnsi="Times New Roman;Times;serif"/>
                  <w:sz w:val="18"/>
                  <w:shd w:fill="FFFFFF" w:val="clear"/>
                </w:rPr>
                <w:t>Controls and Procedures</w:t>
              </w:r>
            </w:hyperlink>
          </w:p>
        </w:tc>
        <w:tc>
          <w:tcPr>
            <w:tcW w:w="380" w:type="dxa"/>
            <w:tcBorders/>
            <w:vAlign w:val="center"/>
          </w:tcPr>
          <w:p>
            <w:pPr>
              <w:pStyle w:val="TableContents"/>
              <w:bidi w:val="0"/>
              <w:spacing w:before="0" w:after="0"/>
              <w:ind w:left="0" w:right="0" w:hanging="0"/>
              <w:jc w:val="center"/>
              <w:rPr/>
            </w:pPr>
            <w:hyperlink w:anchor="Item_9A">
              <w:r>
                <w:rPr>
                  <w:rStyle w:val="InternetLink"/>
                  <w:rFonts w:ascii="Times New Roman;Times;serif" w:hAnsi="Times New Roman;Times;serif"/>
                  <w:sz w:val="18"/>
                </w:rPr>
                <w:t>54</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9B">
              <w:r>
                <w:rPr>
                  <w:rStyle w:val="InternetLink"/>
                  <w:rFonts w:ascii="Times New Roman;Times;serif" w:hAnsi="Times New Roman;Times;serif"/>
                  <w:sz w:val="18"/>
                  <w:shd w:fill="FFFFFF" w:val="clear"/>
                </w:rPr>
                <w:t>Item 9B.</w:t>
              </w:r>
            </w:hyperlink>
          </w:p>
        </w:tc>
        <w:tc>
          <w:tcPr>
            <w:tcW w:w="7985" w:type="dxa"/>
            <w:tcBorders/>
            <w:vAlign w:val="center"/>
          </w:tcPr>
          <w:p>
            <w:pPr>
              <w:pStyle w:val="TableContents"/>
              <w:bidi w:val="0"/>
              <w:spacing w:before="0" w:after="0"/>
              <w:ind w:left="0" w:right="0" w:hanging="0"/>
              <w:jc w:val="left"/>
              <w:rPr/>
            </w:pPr>
            <w:hyperlink w:anchor="Item_9B">
              <w:r>
                <w:rPr>
                  <w:rStyle w:val="InternetLink"/>
                  <w:rFonts w:ascii="Times New Roman;Times;serif" w:hAnsi="Times New Roman;Times;serif"/>
                  <w:sz w:val="18"/>
                  <w:shd w:fill="FFFFFF" w:val="clear"/>
                </w:rPr>
                <w:t>Other Information</w:t>
              </w:r>
            </w:hyperlink>
          </w:p>
        </w:tc>
        <w:tc>
          <w:tcPr>
            <w:tcW w:w="380" w:type="dxa"/>
            <w:tcBorders/>
            <w:vAlign w:val="center"/>
          </w:tcPr>
          <w:p>
            <w:pPr>
              <w:pStyle w:val="TableContents"/>
              <w:bidi w:val="0"/>
              <w:spacing w:before="0" w:after="0"/>
              <w:ind w:left="0" w:right="0" w:hanging="0"/>
              <w:jc w:val="center"/>
              <w:rPr/>
            </w:pPr>
            <w:hyperlink w:anchor="Item_9B">
              <w:r>
                <w:rPr>
                  <w:rStyle w:val="InternetLink"/>
                  <w:rFonts w:ascii="Times New Roman;Times;serif" w:hAnsi="Times New Roman;Times;serif"/>
                  <w:sz w:val="18"/>
                </w:rPr>
                <w:t>57</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sz w:val="18"/>
                  <w:shd w:fill="FFFFFF" w:val="clear"/>
                </w:rPr>
                <w:t>Item 9C</w:t>
              </w:r>
            </w:hyperlink>
          </w:p>
        </w:tc>
        <w:tc>
          <w:tcPr>
            <w:tcW w:w="7985"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sz w:val="18"/>
                  <w:shd w:fill="FFFFFF" w:val="clear"/>
                </w:rPr>
                <w:t>Disclosure Regarding Foreign Jurisdictions that Prevent Inspections</w:t>
              </w:r>
            </w:hyperlink>
          </w:p>
        </w:tc>
        <w:tc>
          <w:tcPr>
            <w:tcW w:w="380" w:type="dxa"/>
            <w:tcBorders/>
            <w:vAlign w:val="center"/>
          </w:tcPr>
          <w:p>
            <w:pPr>
              <w:pStyle w:val="TableContents"/>
              <w:bidi w:val="0"/>
              <w:spacing w:before="0" w:after="283"/>
              <w:jc w:val="center"/>
              <w:rPr/>
            </w:pPr>
            <w:hyperlink w:anchor="item9c">
              <w:r>
                <w:rPr>
                  <w:rStyle w:val="InternetLink"/>
                  <w:rFonts w:ascii="Times New Roman;Times;serif" w:hAnsi="Times New Roman;Times;serif"/>
                  <w:sz w:val="18"/>
                </w:rPr>
                <w:t>57</w:t>
              </w:r>
            </w:hyperlink>
          </w:p>
        </w:tc>
      </w:tr>
      <w:tr>
        <w:trPr/>
        <w:tc>
          <w:tcPr>
            <w:tcW w:w="665"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w:anchor="Part_III">
              <w:r>
                <w:rPr>
                  <w:rStyle w:val="InternetLink"/>
                  <w:rFonts w:ascii="Times New Roman;Times;serif" w:hAnsi="Times New Roman;Times;serif"/>
                  <w:sz w:val="18"/>
                  <w:shd w:fill="FFFFFF" w:val="clear"/>
                </w:rPr>
                <w:t>Part III</w:t>
              </w:r>
            </w:hyperlink>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hyperlink w:anchor="Part_III">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0">
              <w:r>
                <w:rPr>
                  <w:rStyle w:val="InternetLink"/>
                  <w:rFonts w:ascii="Times New Roman;Times;serif" w:hAnsi="Times New Roman;Times;serif"/>
                  <w:sz w:val="18"/>
                  <w:shd w:fill="FFFFFF" w:val="clear"/>
                </w:rPr>
                <w:t>Item 10.</w:t>
              </w:r>
            </w:hyperlink>
          </w:p>
        </w:tc>
        <w:tc>
          <w:tcPr>
            <w:tcW w:w="7985" w:type="dxa"/>
            <w:tcBorders/>
            <w:vAlign w:val="center"/>
          </w:tcPr>
          <w:p>
            <w:pPr>
              <w:pStyle w:val="TableContents"/>
              <w:bidi w:val="0"/>
              <w:spacing w:before="0" w:after="0"/>
              <w:ind w:left="0" w:right="0" w:hanging="0"/>
              <w:jc w:val="left"/>
              <w:rPr/>
            </w:pPr>
            <w:hyperlink w:anchor="Item_10">
              <w:r>
                <w:rPr>
                  <w:rStyle w:val="InternetLink"/>
                  <w:rFonts w:ascii="Times New Roman;Times;serif" w:hAnsi="Times New Roman;Times;serif"/>
                  <w:sz w:val="18"/>
                  <w:shd w:fill="FFFFFF" w:val="clear"/>
                </w:rPr>
                <w:t>Directors, Executive Officers and Corporate Governance</w:t>
              </w:r>
            </w:hyperlink>
          </w:p>
        </w:tc>
        <w:tc>
          <w:tcPr>
            <w:tcW w:w="380" w:type="dxa"/>
            <w:tcBorders/>
            <w:vAlign w:val="center"/>
          </w:tcPr>
          <w:p>
            <w:pPr>
              <w:pStyle w:val="TableContents"/>
              <w:bidi w:val="0"/>
              <w:spacing w:before="0" w:after="0"/>
              <w:ind w:left="0" w:right="0" w:hanging="0"/>
              <w:jc w:val="center"/>
              <w:rPr/>
            </w:pPr>
            <w:hyperlink w:anchor="Item_10">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1">
              <w:r>
                <w:rPr>
                  <w:rStyle w:val="InternetLink"/>
                  <w:rFonts w:ascii="Times New Roman;Times;serif" w:hAnsi="Times New Roman;Times;serif"/>
                  <w:sz w:val="18"/>
                  <w:shd w:fill="FFFFFF" w:val="clear"/>
                </w:rPr>
                <w:t>Item 11.</w:t>
              </w:r>
            </w:hyperlink>
          </w:p>
        </w:tc>
        <w:tc>
          <w:tcPr>
            <w:tcW w:w="7985" w:type="dxa"/>
            <w:tcBorders/>
            <w:vAlign w:val="center"/>
          </w:tcPr>
          <w:p>
            <w:pPr>
              <w:pStyle w:val="TableContents"/>
              <w:bidi w:val="0"/>
              <w:spacing w:before="0" w:after="0"/>
              <w:ind w:left="0" w:right="0" w:hanging="0"/>
              <w:jc w:val="left"/>
              <w:rPr/>
            </w:pPr>
            <w:hyperlink w:anchor="Item_11">
              <w:r>
                <w:rPr>
                  <w:rStyle w:val="InternetLink"/>
                  <w:rFonts w:ascii="Times New Roman;Times;serif" w:hAnsi="Times New Roman;Times;serif"/>
                  <w:sz w:val="18"/>
                  <w:shd w:fill="FFFFFF" w:val="clear"/>
                </w:rPr>
                <w:t>Executive Compensation</w:t>
              </w:r>
            </w:hyperlink>
          </w:p>
        </w:tc>
        <w:tc>
          <w:tcPr>
            <w:tcW w:w="380" w:type="dxa"/>
            <w:tcBorders/>
            <w:vAlign w:val="center"/>
          </w:tcPr>
          <w:p>
            <w:pPr>
              <w:pStyle w:val="TableContents"/>
              <w:bidi w:val="0"/>
              <w:spacing w:before="0" w:after="0"/>
              <w:ind w:left="0" w:right="0" w:hanging="0"/>
              <w:jc w:val="center"/>
              <w:rPr/>
            </w:pPr>
            <w:hyperlink w:anchor="Item_11">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2">
              <w:r>
                <w:rPr>
                  <w:rStyle w:val="InternetLink"/>
                  <w:rFonts w:ascii="Times New Roman;Times;serif" w:hAnsi="Times New Roman;Times;serif"/>
                  <w:sz w:val="18"/>
                  <w:shd w:fill="FFFFFF" w:val="clear"/>
                </w:rPr>
                <w:t>Item 12.</w:t>
              </w:r>
            </w:hyperlink>
          </w:p>
        </w:tc>
        <w:tc>
          <w:tcPr>
            <w:tcW w:w="7985" w:type="dxa"/>
            <w:tcBorders/>
            <w:vAlign w:val="center"/>
          </w:tcPr>
          <w:p>
            <w:pPr>
              <w:pStyle w:val="TableContents"/>
              <w:bidi w:val="0"/>
              <w:spacing w:before="0" w:after="0"/>
              <w:ind w:left="0" w:right="0" w:hanging="0"/>
              <w:jc w:val="left"/>
              <w:rPr/>
            </w:pPr>
            <w:hyperlink w:anchor="Item_12">
              <w:r>
                <w:rPr>
                  <w:rStyle w:val="InternetLink"/>
                  <w:rFonts w:ascii="Times New Roman;Times;serif" w:hAnsi="Times New Roman;Times;serif"/>
                  <w:sz w:val="18"/>
                  <w:shd w:fill="FFFFFF" w:val="clear"/>
                </w:rPr>
                <w:t>Security Ownership of Certain Beneficial Owners and Management and Related Stockholder Matters</w:t>
              </w:r>
            </w:hyperlink>
          </w:p>
        </w:tc>
        <w:tc>
          <w:tcPr>
            <w:tcW w:w="380" w:type="dxa"/>
            <w:tcBorders/>
            <w:vAlign w:val="center"/>
          </w:tcPr>
          <w:p>
            <w:pPr>
              <w:pStyle w:val="TableContents"/>
              <w:bidi w:val="0"/>
              <w:spacing w:before="0" w:after="0"/>
              <w:ind w:left="0" w:right="0" w:hanging="0"/>
              <w:jc w:val="center"/>
              <w:rPr/>
            </w:pPr>
            <w:hyperlink w:anchor="Item_12">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3">
              <w:r>
                <w:rPr>
                  <w:rStyle w:val="InternetLink"/>
                  <w:rFonts w:ascii="Times New Roman;Times;serif" w:hAnsi="Times New Roman;Times;serif"/>
                  <w:sz w:val="18"/>
                  <w:shd w:fill="FFFFFF" w:val="clear"/>
                </w:rPr>
                <w:t>Item 13.</w:t>
              </w:r>
            </w:hyperlink>
          </w:p>
        </w:tc>
        <w:tc>
          <w:tcPr>
            <w:tcW w:w="7985" w:type="dxa"/>
            <w:tcBorders/>
            <w:vAlign w:val="center"/>
          </w:tcPr>
          <w:p>
            <w:pPr>
              <w:pStyle w:val="TableContents"/>
              <w:bidi w:val="0"/>
              <w:spacing w:before="0" w:after="0"/>
              <w:ind w:left="0" w:right="0" w:hanging="0"/>
              <w:jc w:val="left"/>
              <w:rPr/>
            </w:pPr>
            <w:hyperlink w:anchor="Item_13">
              <w:r>
                <w:rPr>
                  <w:rStyle w:val="InternetLink"/>
                  <w:rFonts w:ascii="Times New Roman;Times;serif" w:hAnsi="Times New Roman;Times;serif"/>
                  <w:sz w:val="18"/>
                  <w:shd w:fill="FFFFFF" w:val="clear"/>
                </w:rPr>
                <w:t>Certain Relationships and Related Transactions, and Director Independence</w:t>
              </w:r>
            </w:hyperlink>
          </w:p>
        </w:tc>
        <w:tc>
          <w:tcPr>
            <w:tcW w:w="380" w:type="dxa"/>
            <w:tcBorders/>
            <w:vAlign w:val="center"/>
          </w:tcPr>
          <w:p>
            <w:pPr>
              <w:pStyle w:val="TableContents"/>
              <w:bidi w:val="0"/>
              <w:spacing w:before="0" w:after="0"/>
              <w:ind w:left="0" w:right="0" w:hanging="0"/>
              <w:jc w:val="center"/>
              <w:rPr/>
            </w:pPr>
            <w:hyperlink w:anchor="Item_13">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4">
              <w:r>
                <w:rPr>
                  <w:rStyle w:val="InternetLink"/>
                  <w:rFonts w:ascii="Times New Roman;Times;serif" w:hAnsi="Times New Roman;Times;serif"/>
                  <w:sz w:val="18"/>
                  <w:shd w:fill="FFFFFF" w:val="clear"/>
                </w:rPr>
                <w:t>Item 14.</w:t>
              </w:r>
            </w:hyperlink>
          </w:p>
        </w:tc>
        <w:tc>
          <w:tcPr>
            <w:tcW w:w="7985" w:type="dxa"/>
            <w:tcBorders/>
            <w:vAlign w:val="center"/>
          </w:tcPr>
          <w:p>
            <w:pPr>
              <w:pStyle w:val="TableContents"/>
              <w:bidi w:val="0"/>
              <w:spacing w:before="0" w:after="0"/>
              <w:ind w:left="0" w:right="0" w:hanging="0"/>
              <w:jc w:val="left"/>
              <w:rPr/>
            </w:pPr>
            <w:hyperlink w:anchor="Item_14">
              <w:r>
                <w:rPr>
                  <w:rStyle w:val="InternetLink"/>
                  <w:rFonts w:ascii="Times New Roman;Times;serif" w:hAnsi="Times New Roman;Times;serif"/>
                  <w:sz w:val="18"/>
                  <w:shd w:fill="FFFFFF" w:val="clear"/>
                </w:rPr>
                <w:t>Principal Accounting Fees and Services</w:t>
              </w:r>
            </w:hyperlink>
          </w:p>
        </w:tc>
        <w:tc>
          <w:tcPr>
            <w:tcW w:w="380" w:type="dxa"/>
            <w:tcBorders/>
            <w:vAlign w:val="center"/>
          </w:tcPr>
          <w:p>
            <w:pPr>
              <w:pStyle w:val="TableContents"/>
              <w:bidi w:val="0"/>
              <w:spacing w:before="0" w:after="0"/>
              <w:ind w:left="0" w:right="0" w:hanging="0"/>
              <w:jc w:val="center"/>
              <w:rPr/>
            </w:pPr>
            <w:hyperlink w:anchor="Item_14">
              <w:r>
                <w:rPr>
                  <w:rStyle w:val="InternetLink"/>
                  <w:rFonts w:ascii="Times New Roman;Times;serif" w:hAnsi="Times New Roman;Times;serif"/>
                  <w:sz w:val="18"/>
                </w:rPr>
                <w:t>58</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Part_IV">
              <w:r>
                <w:rPr>
                  <w:rStyle w:val="InternetLink"/>
                  <w:rFonts w:ascii="Times New Roman;Times;serif" w:hAnsi="Times New Roman;Times;serif"/>
                  <w:sz w:val="18"/>
                  <w:shd w:fill="FFFFFF" w:val="clear"/>
                </w:rPr>
                <w:t>Part IV</w:t>
              </w:r>
            </w:hyperlink>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hyperlink w:anchor="Items_15">
              <w:r>
                <w:rPr>
                  <w:rStyle w:val="InternetLink"/>
                  <w:rFonts w:ascii="Times New Roman;Times;serif" w:hAnsi="Times New Roman;Times;serif"/>
                  <w:sz w:val="18"/>
                </w:rPr>
                <w:t>59</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s_15">
              <w:r>
                <w:rPr>
                  <w:rStyle w:val="InternetLink"/>
                  <w:rFonts w:ascii="Times New Roman;Times;serif" w:hAnsi="Times New Roman;Times;serif"/>
                  <w:sz w:val="18"/>
                  <w:shd w:fill="FFFFFF" w:val="clear"/>
                </w:rPr>
                <w:t>Item 15.</w:t>
              </w:r>
            </w:hyperlink>
          </w:p>
        </w:tc>
        <w:tc>
          <w:tcPr>
            <w:tcW w:w="7985" w:type="dxa"/>
            <w:tcBorders/>
            <w:vAlign w:val="center"/>
          </w:tcPr>
          <w:p>
            <w:pPr>
              <w:pStyle w:val="TableContents"/>
              <w:bidi w:val="0"/>
              <w:spacing w:before="0" w:after="0"/>
              <w:ind w:left="0" w:right="0" w:hanging="0"/>
              <w:jc w:val="left"/>
              <w:rPr/>
            </w:pPr>
            <w:hyperlink w:anchor="Items_15">
              <w:r>
                <w:rPr>
                  <w:rStyle w:val="InternetLink"/>
                  <w:rFonts w:ascii="Times New Roman;Times;serif" w:hAnsi="Times New Roman;Times;serif"/>
                  <w:sz w:val="18"/>
                  <w:shd w:fill="FFFFFF" w:val="clear"/>
                </w:rPr>
                <w:t>Exhibits and Financial Statement Schedules</w:t>
              </w:r>
            </w:hyperlink>
          </w:p>
        </w:tc>
        <w:tc>
          <w:tcPr>
            <w:tcW w:w="380" w:type="dxa"/>
            <w:tcBorders/>
            <w:vAlign w:val="center"/>
          </w:tcPr>
          <w:p>
            <w:pPr>
              <w:pStyle w:val="TableContents"/>
              <w:bidi w:val="0"/>
              <w:spacing w:before="0" w:after="0"/>
              <w:ind w:left="0" w:right="0" w:hanging="0"/>
              <w:jc w:val="center"/>
              <w:rPr/>
            </w:pPr>
            <w:hyperlink w:anchor="Part_IV">
              <w:r>
                <w:rPr>
                  <w:rStyle w:val="InternetLink"/>
                  <w:rFonts w:ascii="Times New Roman;Times;serif" w:hAnsi="Times New Roman;Times;serif"/>
                  <w:sz w:val="18"/>
                </w:rPr>
                <w:t>59</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665" w:type="dxa"/>
            <w:tcBorders/>
            <w:vAlign w:val="center"/>
          </w:tcPr>
          <w:p>
            <w:pPr>
              <w:pStyle w:val="TableContents"/>
              <w:bidi w:val="0"/>
              <w:spacing w:before="0" w:after="0"/>
              <w:ind w:left="0" w:right="0" w:hanging="0"/>
              <w:jc w:val="left"/>
              <w:rPr/>
            </w:pPr>
            <w:hyperlink w:anchor="Item_16">
              <w:r>
                <w:rPr>
                  <w:rStyle w:val="InternetLink"/>
                  <w:rFonts w:ascii="Times New Roman;Times;serif" w:hAnsi="Times New Roman;Times;serif"/>
                  <w:sz w:val="18"/>
                  <w:shd w:fill="FFFFFF" w:val="clear"/>
                </w:rPr>
                <w:t>Item 16.</w:t>
              </w:r>
            </w:hyperlink>
          </w:p>
        </w:tc>
        <w:tc>
          <w:tcPr>
            <w:tcW w:w="7985" w:type="dxa"/>
            <w:tcBorders/>
            <w:vAlign w:val="center"/>
          </w:tcPr>
          <w:p>
            <w:pPr>
              <w:pStyle w:val="TableContents"/>
              <w:bidi w:val="0"/>
              <w:spacing w:before="0" w:after="0"/>
              <w:ind w:left="0" w:right="0" w:hanging="0"/>
              <w:jc w:val="left"/>
              <w:rPr/>
            </w:pPr>
            <w:hyperlink w:anchor="Item_16">
              <w:r>
                <w:rPr>
                  <w:rStyle w:val="InternetLink"/>
                  <w:rFonts w:ascii="Times New Roman;Times;serif" w:hAnsi="Times New Roman;Times;serif"/>
                  <w:sz w:val="18"/>
                  <w:shd w:fill="FFFFFF" w:val="clear"/>
                </w:rPr>
                <w:t>Form 10-K Summary</w:t>
              </w:r>
            </w:hyperlink>
          </w:p>
        </w:tc>
        <w:tc>
          <w:tcPr>
            <w:tcW w:w="380" w:type="dxa"/>
            <w:tcBorders/>
            <w:vAlign w:val="center"/>
          </w:tcPr>
          <w:p>
            <w:pPr>
              <w:pStyle w:val="TableContents"/>
              <w:bidi w:val="0"/>
              <w:spacing w:before="0" w:after="0"/>
              <w:ind w:left="0" w:right="0" w:hanging="0"/>
              <w:jc w:val="center"/>
              <w:rPr/>
            </w:pPr>
            <w:hyperlink w:anchor="Items_15">
              <w:r>
                <w:rPr>
                  <w:rStyle w:val="InternetLink"/>
                  <w:rFonts w:ascii="Times New Roman;Times;serif" w:hAnsi="Times New Roman;Times;serif"/>
                  <w:sz w:val="18"/>
                </w:rPr>
                <w:t>59</w:t>
              </w:r>
            </w:hyperlink>
          </w:p>
        </w:tc>
      </w:tr>
      <w:tr>
        <w:trPr/>
        <w:tc>
          <w:tcPr>
            <w:tcW w:w="665" w:type="dxa"/>
            <w:tcBorders/>
            <w:vAlign w:val="center"/>
          </w:tcPr>
          <w:p>
            <w:pPr>
              <w:pStyle w:val="TableContents"/>
              <w:bidi w:val="0"/>
              <w:spacing w:before="0" w:after="0"/>
              <w:ind w:left="0" w:right="0" w:hanging="0"/>
              <w:jc w:val="left"/>
              <w:rPr/>
            </w:pPr>
            <w:r>
              <w:rPr/>
              <w:t> </w:t>
            </w:r>
          </w:p>
        </w:tc>
        <w:tc>
          <w:tcPr>
            <w:tcW w:w="7985"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center"/>
              <w:rPr/>
            </w:pPr>
            <w:r>
              <w:rPr/>
              <w:t> </w:t>
            </w:r>
          </w:p>
        </w:tc>
      </w:tr>
      <w:tr>
        <w:trPr/>
        <w:tc>
          <w:tcPr>
            <w:tcW w:w="8650" w:type="dxa"/>
            <w:gridSpan w:val="2"/>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sz w:val="18"/>
                  <w:shd w:fill="FFFFFF" w:val="clear"/>
                </w:rPr>
                <w:t>Signatures</w:t>
              </w:r>
            </w:hyperlink>
          </w:p>
        </w:tc>
        <w:tc>
          <w:tcPr>
            <w:tcW w:w="380" w:type="dxa"/>
            <w:tcBorders/>
            <w:vAlign w:val="center"/>
          </w:tcPr>
          <w:p>
            <w:pPr>
              <w:pStyle w:val="TableContents"/>
              <w:bidi w:val="0"/>
              <w:spacing w:before="0" w:after="0"/>
              <w:ind w:left="0" w:right="0" w:hanging="0"/>
              <w:jc w:val="center"/>
              <w:rPr/>
            </w:pPr>
            <w:hyperlink w:anchor="Signatures">
              <w:r>
                <w:rPr>
                  <w:rStyle w:val="InternetLink"/>
                  <w:rFonts w:ascii="Times New Roman;Times;serif" w:hAnsi="Times New Roman;Times;serif"/>
                  <w:sz w:val="18"/>
                </w:rPr>
                <w:t>64</w:t>
              </w:r>
            </w:hyperlink>
          </w:p>
        </w:tc>
      </w:tr>
    </w:tbl>
    <w:p>
      <w:pPr>
        <w:pStyle w:val="TextBody"/>
        <w:bidi w:val="0"/>
        <w:jc w:val="center"/>
        <w:rPr>
          <w:shd w:fill="FFFFFF" w:val="clear"/>
        </w:rPr>
      </w:pPr>
      <w:r>
        <w:rPr>
          <w:shd w:fill="FFFFFF" w:val="clea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Forward-Looking Information</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pStyle w:val="TextBody"/>
        <w:bidi w:val="0"/>
        <w:spacing w:before="0" w:after="0"/>
        <w:ind w:left="0" w:right="0" w:hanging="0"/>
        <w:jc w:val="left"/>
        <w:rPr/>
      </w:pPr>
      <w:r>
        <w:rPr/>
        <w:t> </w:t>
      </w:r>
    </w:p>
    <w:p>
      <w:pPr>
        <w:pStyle w:val="TextBody"/>
        <w:bidi w:val="0"/>
        <w:spacing w:before="0" w:after="0"/>
        <w:ind w:left="0" w:right="0" w:firstLine="720"/>
        <w:jc w:val="center"/>
        <w:rPr/>
      </w:pPr>
      <w:r>
        <w:rPr>
          <w:shd w:fill="FFFFFF" w:val="clear"/>
        </w:rPr>
        <w:t>  </w:t>
      </w:r>
      <w:bookmarkStart w:id="3" w:name="Part_I"/>
      <w:bookmarkEnd w:id="3"/>
      <w:r>
        <w:rPr>
          <w:rFonts w:ascii="Times New Roman;Times;serif" w:hAnsi="Times New Roman;Times;serif"/>
          <w:b/>
          <w:sz w:val="20"/>
          <w:shd w:fill="FFFFFF" w:val="clear"/>
        </w:rPr>
        <w:t>PART I</w:t>
      </w:r>
      <w:r>
        <w:rPr>
          <w:rFonts w:ascii="Times New Roman;Times;serif" w:hAnsi="Times New Roman;Times;serif"/>
          <w:sz w:val="20"/>
          <w:shd w:fill="FFFFFF" w:val="clear"/>
        </w:rPr>
        <w:t> </w:t>
      </w:r>
    </w:p>
    <w:p>
      <w:pPr>
        <w:pStyle w:val="TextBody"/>
        <w:bidi w:val="0"/>
        <w:spacing w:before="0" w:after="0"/>
        <w:ind w:left="0" w:right="0" w:hanging="0"/>
        <w:jc w:val="left"/>
        <w:rPr>
          <w:rFonts w:ascii="Times New Roman;Times;serif" w:hAnsi="Times New Roman;Times;serif"/>
          <w:b/>
          <w:sz w:val="20"/>
          <w:shd w:fill="FFFFFF" w:val="clear"/>
        </w:rPr>
      </w:pPr>
      <w:bookmarkStart w:id="4" w:name="Item_1"/>
      <w:bookmarkEnd w:id="4"/>
      <w:r>
        <w:rPr>
          <w:rFonts w:ascii="Times New Roman;Times;serif" w:hAnsi="Times New Roman;Times;serif"/>
          <w:b/>
          <w:sz w:val="20"/>
          <w:shd w:fill="FFFFFF" w:val="clear"/>
        </w:rPr>
        <w:t>Item 1. Business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Overview</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CATV market is our most established business,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who have continued to outsource both the design and manufacturing of this equipment.  In 2023, we began offering many of our CATV products directly to MSO customers, under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internet data center market is currently our fastest-growing business. Our customers in 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 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 In addition, we believe that the significant automation employed in our production process for data center optical modules gives us advantages over our competitors in the ability to scale production rapidly, which is beneficial because the rapid adoption of artificial intelligence ("AI") is fueling a new wave of investment by hyperscale data center operators, as AI computing is very compute and bandwidth intensive.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the complexity of CATV networks has increased over the years, equipment vendors, many of whom are our customers, have been under pressure to supply a wider variety of increasingly complex equipment to MSOs. In order to meet these demands, many equipment vendors have looked to engage with suppliers like us who have the capability to design and manufacture various network equipment or subassemblies, rather than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 2024 and 2023</w:t>
      </w:r>
      <w:r>
        <w:rPr>
          <w:rFonts w:ascii="Times New Roman;Times;serif" w:hAnsi="Times New Roman;Times;serif"/>
          <w:sz w:val="20"/>
          <w:shd w:fill="FFFFFF" w:val="clear"/>
        </w:rPr>
        <w:t xml:space="preserve">, our revenue was $455.7 million, $249.4 million and $217.6 million and our gross margin was 30.0%, 24.8% and 27.1%, respectively. In the years ended </w:t>
      </w:r>
      <w:r>
        <w:rPr>
          <w:rFonts w:ascii="Times New Roman;Times;serif" w:hAnsi="Times New Roman;Times;serif"/>
          <w:sz w:val="20"/>
        </w:rPr>
        <w:t>December 31, 2025, 2024 and 2023</w:t>
      </w:r>
      <w:r>
        <w:rPr>
          <w:rFonts w:ascii="Times New Roman;Times;serif" w:hAnsi="Times New Roman;Times;serif"/>
          <w:sz w:val="20"/>
          <w:shd w:fill="FFFFFF" w:val="clear"/>
        </w:rPr>
        <w:t>, we had net loss of $38.2 million, $186.7 million and $56.0 million, respectively. At </w:t>
      </w:r>
      <w:r>
        <w:rPr>
          <w:rFonts w:ascii="Times New Roman;Times;serif" w:hAnsi="Times New Roman;Times;serif"/>
          <w:sz w:val="20"/>
        </w:rPr>
        <w:t>December 31, 2025 and 2024</w:t>
      </w:r>
      <w:r>
        <w:rPr>
          <w:rFonts w:ascii="Times New Roman;Times;serif" w:hAnsi="Times New Roman;Times;serif"/>
          <w:sz w:val="20"/>
          <w:shd w:fill="FFFFFF" w:val="clear"/>
        </w:rPr>
        <w:t xml:space="preserve">, our accumulated deficits were $493.1 million and $451.9 million, respectively. In </w:t>
      </w:r>
      <w:r>
        <w:rPr>
          <w:rFonts w:ascii="Times New Roman;Times;serif" w:hAnsi="Times New Roman;Times;serif"/>
          <w:sz w:val="20"/>
        </w:rPr>
        <w:t>2025</w:t>
      </w:r>
      <w:r>
        <w:rPr>
          <w:rFonts w:ascii="Times New Roman;Times;serif" w:hAnsi="Times New Roman;Times;serif"/>
          <w:sz w:val="20"/>
          <w:shd w:fill="FFFFFF" w:val="clear"/>
        </w:rPr>
        <w:t xml:space="preserve">, we earned 53.8% of our total revenue from the CATV market and 42.9% of our total revenue from the internet data center market. </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w:t>
      </w:r>
      <w:r>
        <w:rPr>
          <w:rFonts w:ascii="Times New Roman;Times;serif" w:hAnsi="Times New Roman;Times;serif"/>
          <w:sz w:val="20"/>
          <w:shd w:fill="FFFFFF" w:val="clear"/>
        </w:rPr>
        <w:t xml:space="preserve">, our key customer in the CATV market was Digicomm. In </w:t>
      </w:r>
      <w:r>
        <w:rPr>
          <w:rFonts w:ascii="Times New Roman;Times;serif" w:hAnsi="Times New Roman;Times;serif"/>
          <w:sz w:val="20"/>
        </w:rPr>
        <w:t>2025</w:t>
      </w:r>
      <w:r>
        <w:rPr>
          <w:rFonts w:ascii="Times New Roman;Times;serif" w:hAnsi="Times New Roman;Times;serif"/>
          <w:sz w:val="20"/>
          <w:shd w:fill="FFFFFF" w:val="clear"/>
        </w:rPr>
        <w:t xml:space="preserve">, </w:t>
      </w:r>
      <w:r>
        <w:rPr>
          <w:rFonts w:ascii="Times New Roman;Times;serif" w:hAnsi="Times New Roman;Times;serif"/>
          <w:sz w:val="20"/>
        </w:rPr>
        <w:t>2024</w:t>
      </w:r>
      <w:r>
        <w:rPr>
          <w:rFonts w:ascii="Times New Roman;Times;serif" w:hAnsi="Times New Roman;Times;serif"/>
          <w:sz w:val="20"/>
          <w:shd w:fill="FFFFFF" w:val="clear"/>
        </w:rPr>
        <w:t xml:space="preserve">, and </w:t>
      </w:r>
      <w:r>
        <w:rPr>
          <w:rFonts w:ascii="Times New Roman;Times;serif" w:hAnsi="Times New Roman;Times;serif"/>
          <w:sz w:val="20"/>
        </w:rPr>
        <w:t>2023</w:t>
      </w:r>
      <w:r>
        <w:rPr>
          <w:rFonts w:ascii="Times New Roman;Times;serif" w:hAnsi="Times New Roman;Times;serif"/>
          <w:sz w:val="20"/>
          <w:shd w:fill="FFFFFF" w:val="clear"/>
        </w:rPr>
        <w:t xml:space="preserve">, Digicomm accounted for 53.1%, 34.1% and 11.3% of our revenue, respectively, and in 2023, ATX Networks accounted for 15.6% of our revenue. In </w:t>
      </w:r>
      <w:r>
        <w:rPr>
          <w:rFonts w:ascii="Times New Roman;Times;serif" w:hAnsi="Times New Roman;Times;serif"/>
          <w:sz w:val="20"/>
        </w:rPr>
        <w:t>2025</w:t>
      </w:r>
      <w:r>
        <w:rPr>
          <w:rFonts w:ascii="Times New Roman;Times;serif" w:hAnsi="Times New Roman;Times;serif"/>
          <w:sz w:val="20"/>
          <w:shd w:fill="FFFFFF" w:val="clear"/>
        </w:rPr>
        <w:t xml:space="preserve">, our key customer in the internet data center market was Microsoft. In </w:t>
      </w:r>
      <w:r>
        <w:rPr>
          <w:rFonts w:ascii="Times New Roman;Times;serif" w:hAnsi="Times New Roman;Times;serif"/>
          <w:sz w:val="20"/>
        </w:rPr>
        <w:t>2025, 2024 and 2023</w:t>
      </w:r>
      <w:r>
        <w:rPr>
          <w:rFonts w:ascii="Times New Roman;Times;serif" w:hAnsi="Times New Roman;Times;serif"/>
          <w:sz w:val="20"/>
          <w:shd w:fill="FFFFFF" w:val="clear"/>
        </w:rPr>
        <w:t>, Microsoft accounted for 28.8%, 43.7% and 46.6% of our revenue, respectively, and in 2024, Oracle accounted for 12.4% of our revenue.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Industry Background</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During </w:t>
      </w:r>
      <w:r>
        <w:rPr>
          <w:rFonts w:ascii="Times New Roman;Times;serif" w:hAnsi="Times New Roman;Times;serif"/>
          <w:sz w:val="20"/>
        </w:rPr>
        <w:t>2025</w:t>
      </w:r>
      <w:r>
        <w:rPr>
          <w:rFonts w:ascii="Times New Roman;Times;serif" w:hAnsi="Times New Roman;Times;serif"/>
          <w:sz w:val="20"/>
          <w:shd w:fill="FFFFFF" w:val="clear"/>
        </w:rPr>
        <w:t>, our four target markets, internet data center, CATV, telecom and FTTH, experienced a significant growth in bandwidth consumption and the corresponding need for network infrastructure improvement to support this growth.</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prevailing trends in our target markets include:</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Trends in the Internet Data Center Market. </w:t>
            </w:r>
            <w:r>
              <w:rPr>
                <w:rFonts w:ascii="Times New Roman;Times;serif" w:hAnsi="Times New Roman;Times;serif"/>
                <w:sz w:val="20"/>
                <w:shd w:fill="FFFFFF" w:val="clear"/>
              </w:rPr>
              <w:t>To support the substantial increase in bandwidth consumption, internet data center operators are increasing the scale of their internet data centers and deploying infrastructure capable of higher data transmission rates. As a result, there is an ongoing transition from the use of copper cable, typically at speeds of up to 1 gigabit per second ("Gbps"), to optical fiber as a transport medium, typically providing speeds from 10 Gbps to 1.6 Tbps.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 In recent years, supply chain disruptions have become increasingly concerning to our customers. As a result, we believe that our ability to manufacture lasers and other data center products in the US represents a competitive advantage compared with many of our competitors who have most or all of their production outside the US. We have developed a highly-automated production process for many of our data center products, and we believe that this gives us advantages over many of our competitors in terms of ability to scale production rapidly, as well as being able to locate production in favorable geographic locations while maintaining relatively low production costs. Hyperscale data center operators have consistently sought and deployed the most advanced technologies to support the compute and bandwidth needs within their facilities, driving the growth of optical networking within data centers. These operators have adopted more open internet data center architectures and have designed their own networking equipment, both of which use a mix of systems and components from a variety of vendors. We have benefited from these trends over the past several years, and we expect to continue to benefit from them. Recently the hyperscale data center operators have begun to build and upgrade their data centers to support AI, offering us a new growth opportunity. The leading-edge AI applications require significantly more compute capacity and bandwidth, driving the need for faster (800Gbps and higher) and innovative optical networking solutions to support the intra-data center connectivity needs.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pPr>
            <w:r>
              <w:rPr>
                <w:rFonts w:ascii="Times New Roman;Times;serif" w:hAnsi="Times New Roman;Times;serif"/>
                <w:b/>
                <w:i/>
                <w:sz w:val="20"/>
                <w:shd w:fill="FFFFFF" w:val="clear"/>
              </w:rPr>
              <w:t>Trends in the CATV Market.</w:t>
            </w:r>
            <w:r>
              <w:rPr>
                <w:rFonts w:ascii="Times New Roman;Times;serif" w:hAnsi="Times New Roman;Times;serif"/>
                <w:sz w:val="20"/>
              </w:rPr>
              <w:t xml:space="preserve"> </w:t>
            </w:r>
            <w:r>
              <w:rPr>
                <w:rFonts w:cs="Times New Roman;Times;serif"/>
                <w:szCs w:val="20"/>
              </w:rPr>
              <w:t>﻿</w:t>
            </w:r>
            <w:r>
              <w:rPr>
                <w:rFonts w:ascii="Times New Roman;Times;serif" w:hAnsi="Times New Roman;Times;serif"/>
                <w:sz w:val="20"/>
                <w:shd w:fill="FFFFFF" w:val="clear"/>
              </w:rPr>
              <w:t>Beginning over two decades ago, CATV service providers have invested extensively to support high speed, two-way communications over their networks and we expect that they will continue to do so. In North America, CATV service providers have most recently upgraded their networks with technologies like DOCSIS 3.1, which enables them to offer high speed internet connections to their customers. In order to increase available bandwidth for their customers beyond the bandwidth possible with DOCSIS 3.1, cable MSOs have supported the development of DOCSIS 4.0, which is primarily aimed at increasing the amount of bandwidth available to offer to customers, and also to making the distribution of bandwidth between "forward-path" (i.e. from the MSO office to the customer) and "return-path" (i.e. from the customer to the MSO office) more flexible. In part, enabling the flexible deployment of bandwidth between forward-path and return-path is an effort by MSOs to enable their networks to more effectively scale with consumer demand trends in the future. MSOs like Comcast and Charter have announced plans to spend billions of dollars over the next few years to upgrade to DOCSIS 4.0 network equipment. As one of the early developers of DOCSIS 4.0 equipment, we believe that this represents a significant opportunity for sales of CATV equipment in the next few years. Beginning in 2025, nearly all of our CATV equipment sold meets DOCSIS 4.0 standards.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Trends in the Telecom Market.</w:t>
            </w:r>
            <w:r>
              <w:rPr>
                <w:rFonts w:ascii="Times New Roman;Times;serif" w:hAnsi="Times New Roman;Times;serif"/>
                <w:b/>
                <w:sz w:val="20"/>
              </w:rPr>
              <w:t xml:space="preserve"> </w:t>
            </w:r>
            <w:r>
              <w:rPr>
                <w:rFonts w:ascii="Times New Roman;Times;serif" w:hAnsi="Times New Roman;Times;serif"/>
                <w:sz w:val="20"/>
                <w:shd w:fill="FFFFFF" w:val="clear"/>
              </w:rPr>
              <w:t>The telecom market is composed of customers who deploy wireline optical networks, other than Passive Optical 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w:t>
            </w:r>
          </w:p>
        </w:tc>
      </w:tr>
    </w:tbl>
    <w:p>
      <w:pPr>
        <w:pStyle w:val="TextBody"/>
        <w:bidi w:val="0"/>
        <w:spacing w:before="0" w:after="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Trends in the FTTH Market. </w:t>
            </w:r>
            <w:r>
              <w:rPr>
                <w:rFonts w:ascii="Times New Roman;Times;serif" w:hAnsi="Times New Roman;Times;serif"/>
                <w:sz w:val="20"/>
              </w:rPr>
              <w:t>The FTTH market generally refers to the PONs that telecom service providers deploy. The most commonly 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Another approach is XGS-PON, which offers 10 Gbps over a single fiber strand. We also see opportunities for 10 Gbps Ethernet Passive Optical Network ("EPON") and higher data rate PON networks in the future.  We have also developed solutions for 25 Gbps PON networks and 50 Gbps PON networks, which we believe will one day be adopted by customers. We have seen trends towards cable television MSOs beginning to deploy PON networks.  We see opportunities with these customers particularly given our knowledge and experience in CATV.</w:t>
            </w:r>
          </w:p>
        </w:tc>
      </w:tr>
    </w:tbl>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Our Solutions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By addressing the challenges in our target markets, we provide the following benefits to our customers:</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Enable customers to deliver innovative products. </w:t>
            </w:r>
            <w:r>
              <w:rPr>
                <w:rFonts w:ascii="Times New Roman;Times;serif" w:hAnsi="Times New Roman;Times;serif"/>
                <w:sz w:val="20"/>
                <w:shd w:fill="FFFFFF" w:val="clear"/>
              </w:rPr>
              <w:t>We leverage our extensive expertise in high-speed optical, mixed-signal semiconductor and mechanical engineering, and MOCVD and our proprietary MBE laser fabrication process to deliver technologically advanced products to our customers.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Enhance efficiency and cost effectiveness of our customers’ supply chains. </w:t>
            </w:r>
            <w:r>
              <w:rPr>
                <w:rFonts w:ascii="Times New Roman;Times;serif" w:hAnsi="Times New Roman;Times;serif"/>
                <w:sz w:val="20"/>
                <w:shd w:fill="FFFFFF" w:val="clear"/>
              </w:rPr>
              <w:t>We design and sell products at the level of integration desired by a customer, from components to turn-key equipment, providing our customers a dependable, cost-effective and simplified supply chain. Our relatively more automated production process for certain optical modules also allows us more freedom in locating our manufacturing operations in customer-favored geographic locations while maintaining relatively low labor costs.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Deliver high quality, reliable products in high volume. </w:t>
            </w:r>
            <w:r>
              <w:rPr>
                <w:rFonts w:ascii="Times New Roman;Times;serif" w:hAnsi="Times New Roman;Times;serif"/>
                <w:sz w:val="20"/>
                <w:shd w:fill="FFFFFF" w:val="clear"/>
              </w:rPr>
              <w:t>As a vertically integrated supplier, we are able to monitor and maintain quality 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Provide sophisticated design solutions to our customers. </w:t>
            </w:r>
            <w:r>
              <w:rPr>
                <w:rFonts w:ascii="Times New Roman;Times;serif" w:hAnsi="Times New Roman;Times;serif"/>
                <w:sz w:val="20"/>
                <w:shd w:fill="FFFFFF" w:val="clear"/>
              </w:rPr>
              <w:t>We believe our in-house expertise in both analog and digital optical engineering enables us to design comprehensive solutions that meet many of the different network architectures and protocols used by our customers.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Our Strengths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key competitive strengths include the following:</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Proprietary technological expertise and track record of innovation. </w:t>
            </w:r>
            <w:r>
              <w:rPr>
                <w:rFonts w:ascii="Times New Roman;Times;serif" w:hAnsi="Times New Roman;Times;serif"/>
                <w:sz w:val="20"/>
                <w:shd w:fill="FFFFFF" w:val="clear"/>
              </w:rPr>
              <w:t>We continue to develop innovative products by leveraging our technological expertise, including our proprietary MBE and MOCVD laser fabrication process.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Innovative light engine design and manufacturing. </w:t>
            </w:r>
            <w:r>
              <w:rPr>
                <w:rFonts w:ascii="Times New Roman;Times;serif" w:hAnsi="Times New Roman;Times;serif"/>
                <w:sz w:val="20"/>
                <w:shd w:fill="FFFFFF" w:val="clear"/>
              </w:rPr>
              <w:t>High-speed data center interconnect transceivers increasingly rely on multiple parallel 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tc>
      </w:tr>
    </w:tbl>
    <w:p>
      <w:pPr>
        <w:pStyle w:val="TextBody"/>
        <w:bidi w:val="0"/>
        <w:spacing w:before="0" w:after="0"/>
        <w:ind w:left="1080" w:right="0" w:hanging="36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Proven system design capabilities. </w:t>
            </w:r>
            <w:r>
              <w:rPr>
                <w:rFonts w:ascii="Times New Roman;Times;serif" w:hAnsi="Times New Roman;Times;serif"/>
                <w:sz w:val="20"/>
                <w:shd w:fill="FFFFFF" w:val="clear"/>
              </w:rPr>
              <w:t>We have extensive expertise and proven design capabilities in high-speed optical, mixed-signal semiconductor and mechanical engineering, which we believe position us to take advantage of the continuing shift to outsourced design and manufacturing among CATV equipment vendors.</w:t>
            </w:r>
          </w:p>
        </w:tc>
      </w:tr>
    </w:tbl>
    <w:p>
      <w:pPr>
        <w:pStyle w:val="TextBody"/>
        <w:bidi w:val="0"/>
        <w:spacing w:before="0" w:after="0"/>
        <w:ind w:left="0" w:right="0" w:hanging="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Industry-leading position in the CATV market. </w:t>
            </w:r>
            <w:r>
              <w:rPr>
                <w:rFonts w:ascii="Times New Roman;Times;serif" w:hAnsi="Times New Roman;Times;serif"/>
                <w:sz w:val="20"/>
                <w:shd w:fill="FFFFFF" w:val="clear"/>
              </w:rPr>
              <w:t>We continue to be awarded new design and manufacturing opportunities for CATV components and equipment. We serve a majority of the largest CATV equipment manufacturers in the world and our knowledge of both their requirements and the needs of their customers (the CATV network operators) allows us to access these new opportunities.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Vertically integrated, highly automated and geographically distributed manufacturing model. </w:t>
            </w:r>
            <w:r>
              <w:rPr>
                <w:rFonts w:ascii="Times New Roman;Times;serif" w:hAnsi="Times New Roman;Times;serif"/>
                <w:sz w:val="20"/>
                <w:shd w:fill="FFFFFF" w:val="clear"/>
              </w:rPr>
              <w:t>Our vertically integrated design and manufacturing process 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 In addition, we have developed many automated processes used in our production which we believe give us advantages in terms of scalability and control of labor costs.</w:t>
            </w:r>
          </w:p>
        </w:tc>
      </w:tr>
    </w:tbl>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Our Strategy</w:t>
      </w:r>
      <w:r>
        <w:rPr>
          <w:rFonts w:ascii="Times New Roman;Times;serif" w:hAnsi="Times New Roman;Times;serif"/>
          <w:sz w:val="20"/>
          <w:shd w:fill="FFFFFF" w:val="clear"/>
        </w:rPr>
        <w:t> </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seek to be the leading global provider of optical components, modules and equipment for each of our four target markets: internet data centers, CATV, telecom and FTTH. Our strategy includes the following key elements: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Continue to penetrate the internet data center market. </w:t>
            </w:r>
            <w:r>
              <w:rPr>
                <w:rFonts w:ascii="Times New Roman;Times;serif" w:hAnsi="Times New Roman;Times;serif"/>
                <w:sz w:val="20"/>
                <w:shd w:fill="FFFFFF" w:val="clear"/>
              </w:rPr>
              <w:t xml:space="preserve">In the internet data center market, we primarily target internet data center operators who have adopted an open system architecture—one in which the optical connectivity solutions can be provided by a different vendor than the vendor which provides their servers and switches.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ind w:left="0" w:right="0" w:hanging="0"/>
              <w:jc w:val="left"/>
              <w:rPr/>
            </w:pPr>
            <w: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Invest in US production capacity for data center products.</w:t>
            </w:r>
            <w:r>
              <w:rPr>
                <w:rFonts w:ascii="Times New Roman;Times;serif" w:hAnsi="Times New Roman;Times;serif"/>
                <w:b/>
                <w:sz w:val="20"/>
              </w:rPr>
              <w:t xml:space="preserve"> </w:t>
            </w:r>
            <w:r>
              <w:rPr>
                <w:rFonts w:ascii="Times New Roman;Times;serif" w:hAnsi="Times New Roman;Times;serif"/>
                <w:sz w:val="20"/>
              </w:rPr>
              <w:t>We believe that our flexible and highly-automated production process gives us a competitive advantage by allowing us to locate production in the U.S., which is desirable to our customers, without dramatically increasing the cost of production by doing so. We intend to enhance this advantage by continuing to aggressively invest in U.S.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p>
            <w:pPr>
              <w:pStyle w:val="TableContents"/>
              <w:bidi w:val="0"/>
              <w:spacing w:before="0" w:after="0"/>
              <w:ind w:left="0" w:right="0" w:hanging="0"/>
              <w:jc w:val="left"/>
              <w:rPr/>
            </w:pPr>
            <w:r>
              <w:rPr/>
              <w:t> </w:t>
            </w:r>
          </w:p>
        </w:tc>
        <w:tc>
          <w:tcPr>
            <w:tcW w:w="10010" w:type="dxa"/>
            <w:tcBorders/>
            <w:vAlign w:val="center"/>
          </w:tcPr>
          <w:p>
            <w:pPr>
              <w:pStyle w:val="TableContents"/>
              <w:bidi w:val="0"/>
              <w:spacing w:before="0" w:after="0"/>
              <w:ind w:left="0" w:right="0" w:hanging="0"/>
              <w:jc w:val="left"/>
              <w:rPr/>
            </w:pPr>
            <w:r>
              <w:rPr>
                <w:rFonts w:ascii="Times New Roman;Times;serif" w:hAnsi="Times New Roman;Times;serif"/>
                <w:b/>
                <w:i/>
                <w:sz w:val="20"/>
              </w:rPr>
              <w:t xml:space="preserve">Extend our leadership in CATV networking. </w:t>
            </w:r>
            <w:r>
              <w:rPr>
                <w:rFonts w:cs="Times New Roman;Times;serif"/>
                <w:bCs/>
                <w:iCs/>
                <w:szCs w:val="20"/>
                <w:shd w:fill="FFFFFF" w:val="clear"/>
              </w:rPr>
              <w:t>﻿</w:t>
            </w:r>
            <w:r>
              <w:rPr>
                <w:rFonts w:ascii="Times New Roman;Times;serif" w:hAnsi="Times New Roman;Times;serif"/>
                <w:sz w:val="20"/>
                <w:shd w:fill="FFFFFF" w:val="clear"/>
              </w:rPr>
              <w:t>We intend to add to our product portfolio in the CATV market following our launch in 2023 of our own branded products to sell directly to MSOs, which we believe offers us further opportunity to enhance our presence as a supplier in the CATV market.</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Continue to invest in our capabilities, especially our automated module production, and infrastructure. </w:t>
            </w:r>
            <w:r>
              <w:rPr>
                <w:rFonts w:ascii="Times New Roman;Times;serif" w:hAnsi="Times New Roman;Times;serif"/>
                <w:sz w:val="20"/>
                <w:shd w:fill="FFFFFF" w:val="clear"/>
              </w:rPr>
              <w:t>We intend to continue to invest in new products, new technology and our highly-automated production infrastructure and facilities to maintain and strengthen our competitive position. We engage in an active research and development program to develop new products and enhance existing products.</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Selectively pursue other opportunities that leverage our existing expertise. </w:t>
            </w:r>
            <w:r>
              <w:rPr>
                <w:rFonts w:ascii="Times New Roman;Times;serif" w:hAnsi="Times New Roman;Times;serif"/>
                <w:sz w:val="20"/>
                <w:shd w:fill="FFFFFF" w:val="clear"/>
              </w:rPr>
              <w:t>Our expertise in designing and manufacturing outdoor equipment for the CATV industry positions us well to pursue applications that are also characterized by having varying and demanding environments, including wireless and wireline telecom infrastructure, industrial robotics, aerospace and defense, and oil and gas exploration.</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Pursue complementary acquisition and strategic alliance opportunities. </w:t>
            </w:r>
            <w:r>
              <w:rPr>
                <w:rFonts w:ascii="Times New Roman;Times;serif" w:hAnsi="Times New Roman;Times;serif"/>
                <w:sz w:val="20"/>
                <w:shd w:fill="FFFFFF" w:val="clear"/>
              </w:rPr>
              <w:t>We evaluate and selectively pursue acquisition opportunities or strategic alliances that we believe will enhance or complement our current product offerings, augment our technology roadmap, or diversify our revenue base.</w:t>
            </w:r>
          </w:p>
        </w:tc>
      </w:tr>
    </w:tbl>
    <w:p>
      <w:pPr>
        <w:pStyle w:val="TextBody"/>
        <w:bidi w:val="0"/>
        <w:spacing w:before="0" w:after="0"/>
        <w:ind w:left="0" w:right="0" w:hanging="0"/>
        <w:jc w:val="both"/>
        <w:rPr>
          <w:shd w:fill="FFFFFF" w:val="clear"/>
        </w:rPr>
      </w:pPr>
      <w:r>
        <w:rPr>
          <w:shd w:fill="FFFFFF" w:val="clea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Our Technology</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believe that we have technology leadership in four key areas: semiconductor laser manufacturing, electronic technologies that enhance the performance of our lasers, optical hybrid integration and mixed-signal semiconductor design.</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Differentiated semiconductor laser manufacturing. </w:t>
            </w:r>
            <w:r>
              <w:rPr>
                <w:rFonts w:ascii="Times New Roman;Times;serif" w:hAnsi="Times New Roman;Times;serif"/>
                <w:sz w:val="20"/>
                <w:shd w:fill="FFFFFF" w:val="clear"/>
              </w:rPr>
              <w:t>We use a combination of MBE and MOCVD processes in the fabrication of our lasers. 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Laser enhancement technology. </w:t>
            </w:r>
            <w:r>
              <w:rPr>
                <w:rFonts w:ascii="Times New Roman;Times;serif" w:hAnsi="Times New Roman;Times;serif"/>
                <w:sz w:val="20"/>
                <w:shd w:fill="FFFFFF" w:val="clear"/>
              </w:rPr>
              <w:t>Certain properties of the semiconductor lasers predominantly used in traditional communications devices, 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tc>
      </w:tr>
    </w:tbl>
    <w:p>
      <w:pPr>
        <w:pStyle w:val="TextBody"/>
        <w:bidi w:val="0"/>
        <w:spacing w:before="0" w:after="0"/>
        <w:ind w:left="1080" w:right="0" w:hanging="36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75"/>
        <w:gridCol w:w="10055"/>
      </w:tblGrid>
      <w:tr>
        <w:trPr/>
        <w:tc>
          <w:tcPr>
            <w:tcW w:w="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Optical hybrid-integration technology. </w:t>
            </w:r>
            <w:r>
              <w:rPr>
                <w:rFonts w:ascii="Times New Roman;Times;serif" w:hAnsi="Times New Roman;Times;serif"/>
                <w:sz w:val="20"/>
                <w:shd w:fill="FFFFFF" w:val="clear"/>
              </w:rPr>
              <w:t>Reducing the size, power consumption and complexity of optical devices is essential for achieving the 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tc>
      </w:tr>
      <w:tr>
        <w:trPr/>
        <w:tc>
          <w:tcPr>
            <w:tcW w:w="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tc>
      </w:tr>
    </w:tbl>
    <w:p>
      <w:pPr>
        <w:pStyle w:val="TextBody"/>
        <w:bidi w:val="0"/>
        <w:spacing w:before="0" w:after="0"/>
        <w:ind w:left="1440" w:right="0" w:hanging="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 xml:space="preserve">Mixed-signal design. </w:t>
            </w:r>
            <w:r>
              <w:rPr>
                <w:rFonts w:ascii="Times New Roman;Times;serif" w:hAnsi="Times New Roman;Times;serif"/>
                <w:sz w:val="20"/>
                <w:shd w:fill="FFFFFF" w:val="clear"/>
              </w:rPr>
              <w:t>As CATV providers continue to evolve from primarily broadcast-video content providers to a mixture of HD video 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Our Products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products include an array of optical communications solutions at varying levels of integration. We commonly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 Notwithstanding our expertise in optical transmission equipment, in some cases we utilize our technical expertise in radio frequency ("RF") design to develop products that do not have significant optical technology incorporated, for example our CATV amplifier products which serve to amplify the RF signals in the coaxial-cable portion of an MSO's network do not incorporate optics, but do rely on advanced mixed-signal RF and digital electronic design as well as software and firmware which we develop in house.</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Research and Development</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To maintain our growth and competitiveness, we engage in an active research and development program to develop new products and enhance existing products. As a result of these efforts, we anticipate releasing various new or enhanced products over the next several years.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 xml:space="preserve">December 31, 2025 </w:t>
      </w:r>
      <w:r>
        <w:rPr>
          <w:rFonts w:ascii="Times New Roman;Times;serif" w:hAnsi="Times New Roman;Times;serif"/>
          <w:sz w:val="20"/>
          <w:shd w:fill="FFFFFF" w:val="clear"/>
        </w:rPr>
        <w:t>, we had a total of 425 employees working in the R&amp;D department, including 14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r>
        <w:rPr>
          <w:rFonts w:ascii="Times New Roman;Times;serif" w:hAnsi="Times New Roman;Times;serif"/>
          <w:sz w:val="20"/>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r>
        <w:rPr>
          <w:rFonts w:ascii="Times New Roman;Times;serif" w:hAnsi="Times New Roman;Times;serif"/>
          <w:sz w:val="20"/>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Intellectual Property</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Patents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December 31, 2025</w:t>
      </w:r>
      <w:r>
        <w:rPr>
          <w:rFonts w:ascii="Times New Roman;Times;serif" w:hAnsi="Times New Roman;Times;serif"/>
          <w:sz w:val="20"/>
          <w:shd w:fill="FFFFFF" w:val="clear"/>
        </w:rPr>
        <w:t>, we owned a total of 199 U.S. issued patents, 140 patents issued in China and Taiwan and 10 patents issued in Europe, plus a number of pending U.S. and foreign/international patent applications. Our issued U.S. and foreign patents will expire between 2026 and 2046. While our patents are an important element of our success, our business as a whole is not dependent on any one patent or group of patents. We do not anticipate any material effect on our business due to any patents expiring in 2025, and we continue to obtain new patents through our ongoing research and development.</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portfolio of patents and patent applications covers several different technology families including:</w:t>
      </w:r>
    </w:p>
    <w:p>
      <w:pPr>
        <w:pStyle w:val="TextBody"/>
        <w:bidi w:val="0"/>
        <w:spacing w:before="0" w:after="0"/>
        <w:ind w:left="0" w:right="0" w:firstLine="720"/>
        <w:jc w:val="both"/>
        <w:rPr>
          <w:shd w:fill="FFFFFF" w:val="clear"/>
        </w:rPr>
      </w:pPr>
      <w:r>
        <w:rPr>
          <w:shd w:fill="FFFFFF" w:val="clear"/>
        </w:rPr>
        <w:t>  </w:t>
      </w:r>
    </w:p>
    <w:tbl>
      <w:tblPr>
        <w:tblW w:w="2270" w:type="dxa"/>
        <w:jc w:val="left"/>
        <w:tblInd w:w="0" w:type="dxa"/>
        <w:tblLayout w:type="fixed"/>
        <w:tblCellMar>
          <w:top w:w="0" w:type="dxa"/>
          <w:left w:w="0" w:type="dxa"/>
          <w:bottom w:w="0" w:type="dxa"/>
          <w:right w:w="0" w:type="dxa"/>
        </w:tblCellMar>
      </w:tblPr>
      <w:tblGrid>
        <w:gridCol w:w="60"/>
        <w:gridCol w:w="75"/>
        <w:gridCol w:w="213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213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laser structure and design;</w:t>
            </w:r>
          </w:p>
        </w:tc>
      </w:tr>
    </w:tbl>
    <w:p>
      <w:pPr>
        <w:pStyle w:val="TextBody"/>
        <w:bidi w:val="0"/>
        <w:spacing w:before="0" w:after="0"/>
        <w:ind w:left="1080" w:right="0" w:hanging="360"/>
        <w:jc w:val="both"/>
        <w:rPr>
          <w:shd w:fill="FFFFFF" w:val="clear"/>
        </w:rPr>
      </w:pPr>
      <w:r>
        <w:rPr>
          <w:shd w:fill="FFFFFF" w:val="clear"/>
        </w:rPr>
        <w:t>  </w:t>
      </w:r>
    </w:p>
    <w:tbl>
      <w:tblPr>
        <w:tblW w:w="3830" w:type="dxa"/>
        <w:jc w:val="left"/>
        <w:tblInd w:w="0" w:type="dxa"/>
        <w:tblLayout w:type="fixed"/>
        <w:tblCellMar>
          <w:top w:w="0" w:type="dxa"/>
          <w:left w:w="0" w:type="dxa"/>
          <w:bottom w:w="0" w:type="dxa"/>
          <w:right w:w="0" w:type="dxa"/>
        </w:tblCellMar>
      </w:tblPr>
      <w:tblGrid>
        <w:gridCol w:w="60"/>
        <w:gridCol w:w="75"/>
        <w:gridCol w:w="369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369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optical signal conditioning and laser control;</w:t>
            </w:r>
          </w:p>
        </w:tc>
      </w:tr>
    </w:tbl>
    <w:p>
      <w:pPr>
        <w:pStyle w:val="TextBody"/>
        <w:bidi w:val="0"/>
        <w:spacing w:before="0" w:after="0"/>
        <w:ind w:left="1080" w:right="0" w:hanging="360"/>
        <w:jc w:val="both"/>
        <w:rPr>
          <w:shd w:fill="FFFFFF" w:val="clear"/>
        </w:rPr>
      </w:pPr>
      <w:r>
        <w:rPr>
          <w:shd w:fill="FFFFFF" w:val="clear"/>
        </w:rPr>
        <w:t>  </w:t>
      </w:r>
    </w:p>
    <w:tbl>
      <w:tblPr>
        <w:tblW w:w="1580" w:type="dxa"/>
        <w:jc w:val="left"/>
        <w:tblInd w:w="0" w:type="dxa"/>
        <w:tblLayout w:type="fixed"/>
        <w:tblCellMar>
          <w:top w:w="0" w:type="dxa"/>
          <w:left w:w="0" w:type="dxa"/>
          <w:bottom w:w="0" w:type="dxa"/>
          <w:right w:w="0" w:type="dxa"/>
        </w:tblCellMar>
      </w:tblPr>
      <w:tblGrid>
        <w:gridCol w:w="60"/>
        <w:gridCol w:w="135"/>
        <w:gridCol w:w="138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3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laser fabrication;</w:t>
            </w:r>
          </w:p>
        </w:tc>
      </w:tr>
    </w:tbl>
    <w:p>
      <w:pPr>
        <w:pStyle w:val="TextBody"/>
        <w:bidi w:val="0"/>
        <w:spacing w:before="0" w:after="0"/>
        <w:ind w:left="1080" w:right="0" w:hanging="360"/>
        <w:jc w:val="both"/>
        <w:rPr>
          <w:shd w:fill="FFFFFF" w:val="clear"/>
        </w:rPr>
      </w:pPr>
      <w:r>
        <w:rPr>
          <w:shd w:fill="FFFFFF" w:val="clear"/>
        </w:rPr>
        <w:t>  </w:t>
      </w:r>
    </w:p>
    <w:tbl>
      <w:tblPr>
        <w:tblW w:w="4730" w:type="dxa"/>
        <w:jc w:val="left"/>
        <w:tblInd w:w="0" w:type="dxa"/>
        <w:tblLayout w:type="fixed"/>
        <w:tblCellMar>
          <w:top w:w="0" w:type="dxa"/>
          <w:left w:w="0" w:type="dxa"/>
          <w:bottom w:w="0" w:type="dxa"/>
          <w:right w:w="0" w:type="dxa"/>
        </w:tblCellMar>
      </w:tblPr>
      <w:tblGrid>
        <w:gridCol w:w="60"/>
        <w:gridCol w:w="135"/>
        <w:gridCol w:w="453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453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photodiode and optical receiver design and fabrication;</w:t>
            </w:r>
          </w:p>
        </w:tc>
      </w:tr>
    </w:tbl>
    <w:p>
      <w:pPr>
        <w:pStyle w:val="TextBody"/>
        <w:bidi w:val="0"/>
        <w:spacing w:before="0" w:after="0"/>
        <w:ind w:left="1080" w:right="0" w:hanging="360"/>
        <w:jc w:val="both"/>
        <w:rPr>
          <w:shd w:fill="FFFFFF" w:val="clear"/>
        </w:rPr>
      </w:pPr>
      <w:r>
        <w:rPr>
          <w:shd w:fill="FFFFFF" w:val="clear"/>
        </w:rPr>
        <w:t>  </w:t>
      </w:r>
    </w:p>
    <w:tbl>
      <w:tblPr>
        <w:tblW w:w="3035" w:type="dxa"/>
        <w:jc w:val="left"/>
        <w:tblInd w:w="0" w:type="dxa"/>
        <w:tblLayout w:type="fixed"/>
        <w:tblCellMar>
          <w:top w:w="0" w:type="dxa"/>
          <w:left w:w="0" w:type="dxa"/>
          <w:bottom w:w="0" w:type="dxa"/>
          <w:right w:w="0" w:type="dxa"/>
        </w:tblCellMar>
      </w:tblPr>
      <w:tblGrid>
        <w:gridCol w:w="60"/>
        <w:gridCol w:w="75"/>
        <w:gridCol w:w="290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290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optical device and module designs;</w:t>
            </w:r>
          </w:p>
        </w:tc>
      </w:tr>
    </w:tbl>
    <w:p>
      <w:pPr>
        <w:pStyle w:val="TextBody"/>
        <w:bidi w:val="0"/>
        <w:spacing w:before="0" w:after="0"/>
        <w:ind w:left="1080" w:right="0" w:hanging="360"/>
        <w:jc w:val="both"/>
        <w:rPr>
          <w:shd w:fill="FFFFFF" w:val="clear"/>
        </w:rPr>
      </w:pPr>
      <w:r>
        <w:rPr>
          <w:shd w:fill="FFFFFF" w:val="clear"/>
        </w:rPr>
        <w:t>  </w:t>
      </w:r>
    </w:p>
    <w:tbl>
      <w:tblPr>
        <w:tblW w:w="4520" w:type="dxa"/>
        <w:jc w:val="left"/>
        <w:tblInd w:w="0" w:type="dxa"/>
        <w:tblLayout w:type="fixed"/>
        <w:tblCellMar>
          <w:top w:w="0" w:type="dxa"/>
          <w:left w:w="0" w:type="dxa"/>
          <w:bottom w:w="0" w:type="dxa"/>
          <w:right w:w="0" w:type="dxa"/>
        </w:tblCellMar>
      </w:tblPr>
      <w:tblGrid>
        <w:gridCol w:w="60"/>
        <w:gridCol w:w="135"/>
        <w:gridCol w:w="432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432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optical device packaging equipment and techniques;</w:t>
            </w:r>
          </w:p>
        </w:tc>
      </w:tr>
    </w:tbl>
    <w:p>
      <w:pPr>
        <w:pStyle w:val="TextBody"/>
        <w:bidi w:val="0"/>
        <w:spacing w:before="0" w:after="0"/>
        <w:ind w:left="1080" w:right="0" w:hanging="360"/>
        <w:jc w:val="both"/>
        <w:rPr>
          <w:shd w:fill="FFFFFF" w:val="clear"/>
        </w:rPr>
      </w:pPr>
      <w:r>
        <w:rPr>
          <w:shd w:fill="FFFFFF" w:val="clear"/>
        </w:rPr>
        <w:t>  </w:t>
      </w:r>
    </w:p>
    <w:tbl>
      <w:tblPr>
        <w:tblW w:w="3095" w:type="dxa"/>
        <w:jc w:val="left"/>
        <w:tblInd w:w="0" w:type="dxa"/>
        <w:tblLayout w:type="fixed"/>
        <w:tblCellMar>
          <w:top w:w="0" w:type="dxa"/>
          <w:left w:w="0" w:type="dxa"/>
          <w:bottom w:w="0" w:type="dxa"/>
          <w:right w:w="0" w:type="dxa"/>
        </w:tblCellMar>
      </w:tblPr>
      <w:tblGrid>
        <w:gridCol w:w="60"/>
        <w:gridCol w:w="135"/>
        <w:gridCol w:w="290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90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optical network enhancements; and</w:t>
            </w:r>
          </w:p>
        </w:tc>
      </w:tr>
    </w:tbl>
    <w:p>
      <w:pPr>
        <w:pStyle w:val="TextBody"/>
        <w:bidi w:val="0"/>
        <w:spacing w:before="0" w:after="0"/>
        <w:ind w:left="0" w:right="0" w:hanging="0"/>
        <w:jc w:val="both"/>
        <w:rPr>
          <w:shd w:fill="FFFFFF" w:val="clear"/>
        </w:rPr>
      </w:pPr>
      <w:r>
        <w:rPr>
          <w:shd w:fill="FFFFFF" w:val="clear"/>
        </w:rPr>
        <w:t>  </w:t>
      </w:r>
    </w:p>
    <w:tbl>
      <w:tblPr>
        <w:tblW w:w="2815" w:type="dxa"/>
        <w:jc w:val="left"/>
        <w:tblInd w:w="0" w:type="dxa"/>
        <w:tblLayout w:type="fixed"/>
        <w:tblCellMar>
          <w:top w:w="0" w:type="dxa"/>
          <w:left w:w="0" w:type="dxa"/>
          <w:bottom w:w="0" w:type="dxa"/>
          <w:right w:w="0" w:type="dxa"/>
        </w:tblCellMar>
      </w:tblPr>
      <w:tblGrid>
        <w:gridCol w:w="60"/>
        <w:gridCol w:w="95"/>
        <w:gridCol w:w="2660"/>
      </w:tblGrid>
      <w:tr>
        <w:trPr/>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w:t>
            </w:r>
            <w:r>
              <w:rPr/>
              <w:t>﻿</w:t>
            </w:r>
          </w:p>
        </w:tc>
        <w:tc>
          <w:tcPr>
            <w:tcW w:w="2660" w:type="dxa"/>
            <w:tcBorders/>
            <w:vAlign w:val="center"/>
          </w:tcPr>
          <w:p>
            <w:pPr>
              <w:pStyle w:val="TableContents"/>
              <w:bidi w:val="0"/>
              <w:spacing w:before="0" w:after="0"/>
              <w:ind w:left="0" w:right="0" w:hanging="0"/>
              <w:jc w:val="left"/>
              <w:rPr/>
            </w:pPr>
            <w:r>
              <w:rPr>
                <w:rFonts w:ascii="Times New Roman;Times;serif" w:hAnsi="Times New Roman;Times;serif"/>
                <w:sz w:val="20"/>
              </w:rPr>
              <w:t>CATV networking technologies.</w:t>
            </w:r>
            <w:r>
              <w:rPr>
                <w:rFonts w:cs="Times New Roman;Times;serif"/>
                <w:szCs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Trademarks</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p>
      <w:pPr>
        <w:pStyle w:val="TextBody"/>
        <w:bidi w:val="0"/>
        <w:ind w:left="0" w:right="0" w:firstLine="720"/>
        <w:jc w:val="left"/>
        <w:rPr>
          <w:sz w:val="20"/>
        </w:rPr>
      </w:pPr>
      <w:r>
        <w:rPr>
          <w:sz w:val="20"/>
        </w:rPr>
        <w:t xml:space="preserve">We have registered the trademarks APPLIED OPTOELECTRONICS, INC., AOI, and Quantum Bandwidth with the U.S. Patent and Trademark Office on the Principal Register. These marks are also registered in, or have applications for registration pending in, various foreign trademark offices. </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Manufacturing and Operations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which comprises several buildings in close proximity to each other,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and we also manufacture CATV outdoor equipment including amplifiers. In our China facility, we take advantage of lower labor costs and manufacture certain more labor intensive components and optical equipment systems, such as optical subassemblies and transceivers for the CATV transmitters (at the headend), internet data center market, and CATV outdoor equipment. Each manufacturing facility conducts testing on the components, modules or subsystems it manufactures and each facility is certified to ISO 9001:2015 and ISO 14001:2015.</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Sources of Raw Materials</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r>
        <w:rPr>
          <w:rFonts w:ascii="Times New Roman;Times;serif" w:hAnsi="Times New Roman;Times;serif"/>
          <w:sz w:val="20"/>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Customers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customers are primarily internet data center operators, CATV and telecom equipment manufacturers, and internet service providers. We generally employ a direct sales model in North America and in the rest of the world we use both direct and indirect sales channels. In </w:t>
      </w:r>
      <w:r>
        <w:rPr>
          <w:rFonts w:ascii="Times New Roman;Times;serif" w:hAnsi="Times New Roman;Times;serif"/>
          <w:sz w:val="20"/>
        </w:rPr>
        <w:t>2025, 2024 and 2023</w:t>
      </w:r>
      <w:r>
        <w:rPr>
          <w:rFonts w:ascii="Times New Roman;Times;serif" w:hAnsi="Times New Roman;Times;serif"/>
          <w:sz w:val="20"/>
          <w:shd w:fill="FFFFFF" w:val="clear"/>
        </w:rPr>
        <w:t xml:space="preserve">, we obtained </w:t>
      </w:r>
      <w:r>
        <w:rPr>
          <w:rFonts w:ascii="Times New Roman;Times;serif" w:hAnsi="Times New Roman;Times;serif"/>
          <w:color w:val="000000"/>
          <w:sz w:val="20"/>
          <w:shd w:fill="FFFFFF" w:val="clear"/>
        </w:rPr>
        <w:t>44.7%,</w:t>
      </w:r>
      <w:r>
        <w:rPr>
          <w:rFonts w:ascii="Times New Roman;Times;serif" w:hAnsi="Times New Roman;Times;serif"/>
          <w:sz w:val="20"/>
          <w:shd w:fill="FFFFFF" w:val="clear"/>
        </w:rPr>
        <w:t> 64.4% and 88.6%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We also from time to time offer design or manufacturing services to customers to assist them in more effectively using our products and realizing time-to-market advantages.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taken several actions to increase the diversity of our customer base. These actions include hiring sales staff to improve our ability to serve new customers and the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w:t>
      </w:r>
      <w:r>
        <w:rPr>
          <w:rFonts w:ascii="Times New Roman;Times;serif" w:hAnsi="Times New Roman;Times;serif"/>
          <w:sz w:val="20"/>
          <w:shd w:fill="FFFFFF" w:val="clear"/>
        </w:rPr>
        <w:t xml:space="preserve">, the largest customer who contributed most to our internet data center revenue was Microsoft. In 2025, our largest CATV customer was Digicomm. In </w:t>
      </w:r>
      <w:r>
        <w:rPr>
          <w:rFonts w:ascii="Times New Roman;Times;serif" w:hAnsi="Times New Roman;Times;serif"/>
          <w:sz w:val="20"/>
        </w:rPr>
        <w:t>2025</w:t>
      </w:r>
      <w:r>
        <w:rPr>
          <w:rFonts w:ascii="Times New Roman;Times;serif" w:hAnsi="Times New Roman;Times;serif"/>
          <w:sz w:val="20"/>
          <w:shd w:fill="FFFFFF" w:val="clear"/>
        </w:rPr>
        <w:t xml:space="preserve">, revenue from CATV market, the internet data center market, telecom market, FTTH and other markets provided 53.8%, 42.9%, 3.0% and 0.3% of our revenue, respectively, compared to 35.2%, 59.5%, 4.4% and 0.9%, respectively, in </w:t>
      </w:r>
      <w:r>
        <w:rPr>
          <w:rFonts w:ascii="Times New Roman;Times;serif" w:hAnsi="Times New Roman;Times;serif"/>
          <w:sz w:val="20"/>
        </w:rPr>
        <w:t>2024</w:t>
      </w:r>
      <w:r>
        <w:rPr>
          <w:rFonts w:ascii="Times New Roman;Times;serif" w:hAnsi="Times New Roman;Times;serif"/>
          <w:sz w:val="20"/>
          <w:shd w:fill="FFFFFF" w:val="clear"/>
        </w:rPr>
        <w:t>.</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support our sales efforts by attendance at industry trade shows, technical conferences and other promotional efforts. These efforts are aimed at attracting new customers and enhancing our existing customer relationships.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Backlog</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Competition</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Coherent Corporation, Eoptolink Technology Inc., Ltd., Foxconn Interconnect Technology Ltd., InnoLight Technology (Suzhou) Ltd., Intel Corporation, Lumentum Holdings, Inc., Mitsubishi, Molex, LLC, Source Photonics, Inc. and Sumitomo Electric Industries, Ltd.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Many of our competitors are larger than we are and have significantly greater financial, marketing and other resources.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believe the principal competitive factors in our target markets include the following:</w:t>
      </w:r>
    </w:p>
    <w:p>
      <w:pPr>
        <w:pStyle w:val="TextBody"/>
        <w:bidi w:val="0"/>
        <w:spacing w:before="0" w:after="0"/>
        <w:ind w:left="0" w:right="0" w:firstLine="720"/>
        <w:jc w:val="both"/>
        <w:rPr>
          <w:shd w:fill="FFFFFF" w:val="clear"/>
        </w:rPr>
      </w:pPr>
      <w:r>
        <w:rPr>
          <w:shd w:fill="FFFFFF" w:val="clear"/>
        </w:rPr>
        <w:t>  </w:t>
      </w:r>
    </w:p>
    <w:tbl>
      <w:tblPr>
        <w:tblW w:w="3725" w:type="dxa"/>
        <w:jc w:val="left"/>
        <w:tblInd w:w="0" w:type="dxa"/>
        <w:tblLayout w:type="fixed"/>
        <w:tblCellMar>
          <w:top w:w="0" w:type="dxa"/>
          <w:left w:w="0" w:type="dxa"/>
          <w:bottom w:w="0" w:type="dxa"/>
          <w:right w:w="0" w:type="dxa"/>
        </w:tblCellMar>
      </w:tblPr>
      <w:tblGrid>
        <w:gridCol w:w="60"/>
        <w:gridCol w:w="75"/>
        <w:gridCol w:w="359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59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use of internally manufactured components;</w:t>
            </w:r>
          </w:p>
        </w:tc>
      </w:tr>
    </w:tbl>
    <w:p>
      <w:pPr>
        <w:pStyle w:val="TextBody"/>
        <w:bidi w:val="0"/>
        <w:spacing w:before="0" w:after="0"/>
        <w:ind w:left="1080" w:right="0" w:hanging="360"/>
        <w:jc w:val="both"/>
        <w:rPr>
          <w:shd w:fill="FFFFFF" w:val="clear"/>
        </w:rPr>
      </w:pPr>
      <w:r>
        <w:rPr>
          <w:shd w:fill="FFFFFF" w:val="clear"/>
        </w:rPr>
        <w:t>  </w:t>
      </w:r>
    </w:p>
    <w:tbl>
      <w:tblPr>
        <w:tblW w:w="3020" w:type="dxa"/>
        <w:jc w:val="left"/>
        <w:tblInd w:w="0" w:type="dxa"/>
        <w:tblLayout w:type="fixed"/>
        <w:tblCellMar>
          <w:top w:w="0" w:type="dxa"/>
          <w:left w:w="0" w:type="dxa"/>
          <w:bottom w:w="0" w:type="dxa"/>
          <w:right w:w="0" w:type="dxa"/>
        </w:tblCellMar>
      </w:tblPr>
      <w:tblGrid>
        <w:gridCol w:w="60"/>
        <w:gridCol w:w="135"/>
        <w:gridCol w:w="282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82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product breadth and functionality;</w:t>
            </w:r>
          </w:p>
        </w:tc>
      </w:tr>
    </w:tbl>
    <w:p>
      <w:pPr>
        <w:pStyle w:val="TextBody"/>
        <w:bidi w:val="0"/>
        <w:spacing w:before="0" w:after="0"/>
        <w:ind w:left="1080" w:right="0" w:hanging="360"/>
        <w:jc w:val="both"/>
        <w:rPr>
          <w:shd w:fill="FFFFFF" w:val="clear"/>
        </w:rPr>
      </w:pPr>
      <w:r>
        <w:rPr>
          <w:shd w:fill="FFFFFF" w:val="clear"/>
        </w:rPr>
        <w:t>  </w:t>
      </w:r>
    </w:p>
    <w:tbl>
      <w:tblPr>
        <w:tblW w:w="3890" w:type="dxa"/>
        <w:jc w:val="left"/>
        <w:tblInd w:w="0" w:type="dxa"/>
        <w:tblLayout w:type="fixed"/>
        <w:tblCellMar>
          <w:top w:w="0" w:type="dxa"/>
          <w:left w:w="0" w:type="dxa"/>
          <w:bottom w:w="0" w:type="dxa"/>
          <w:right w:w="0" w:type="dxa"/>
        </w:tblCellMar>
      </w:tblPr>
      <w:tblGrid>
        <w:gridCol w:w="60"/>
        <w:gridCol w:w="75"/>
        <w:gridCol w:w="375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75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timing and pace of new product development;</w:t>
            </w:r>
          </w:p>
        </w:tc>
      </w:tr>
    </w:tbl>
    <w:p>
      <w:pPr>
        <w:pStyle w:val="TextBody"/>
        <w:bidi w:val="0"/>
        <w:spacing w:before="0" w:after="0"/>
        <w:ind w:left="1080" w:right="0" w:hanging="360"/>
        <w:jc w:val="both"/>
        <w:rPr>
          <w:shd w:fill="FFFFFF" w:val="clear"/>
        </w:rPr>
      </w:pPr>
      <w:r>
        <w:rPr>
          <w:shd w:fill="FFFFFF" w:val="clear"/>
        </w:rPr>
        <w:t>  </w:t>
      </w:r>
    </w:p>
    <w:tbl>
      <w:tblPr>
        <w:tblW w:w="2285" w:type="dxa"/>
        <w:jc w:val="left"/>
        <w:tblInd w:w="0" w:type="dxa"/>
        <w:tblLayout w:type="fixed"/>
        <w:tblCellMar>
          <w:top w:w="0" w:type="dxa"/>
          <w:left w:w="0" w:type="dxa"/>
          <w:bottom w:w="0" w:type="dxa"/>
          <w:right w:w="0" w:type="dxa"/>
        </w:tblCellMar>
      </w:tblPr>
      <w:tblGrid>
        <w:gridCol w:w="60"/>
        <w:gridCol w:w="135"/>
        <w:gridCol w:w="209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09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breadth of customer base;</w:t>
            </w:r>
          </w:p>
        </w:tc>
      </w:tr>
    </w:tbl>
    <w:p>
      <w:pPr>
        <w:pStyle w:val="TextBody"/>
        <w:bidi w:val="0"/>
        <w:spacing w:before="0" w:after="0"/>
        <w:ind w:left="1080" w:right="0" w:hanging="360"/>
        <w:jc w:val="both"/>
        <w:rPr>
          <w:shd w:fill="FFFFFF" w:val="clear"/>
        </w:rPr>
      </w:pPr>
      <w:r>
        <w:rPr>
          <w:shd w:fill="FFFFFF" w:val="clear"/>
        </w:rPr>
        <w:t>  </w:t>
      </w:r>
    </w:p>
    <w:tbl>
      <w:tblPr>
        <w:tblW w:w="2180" w:type="dxa"/>
        <w:jc w:val="left"/>
        <w:tblInd w:w="0" w:type="dxa"/>
        <w:tblLayout w:type="fixed"/>
        <w:tblCellMar>
          <w:top w:w="0" w:type="dxa"/>
          <w:left w:w="0" w:type="dxa"/>
          <w:bottom w:w="0" w:type="dxa"/>
          <w:right w:w="0" w:type="dxa"/>
        </w:tblCellMar>
      </w:tblPr>
      <w:tblGrid>
        <w:gridCol w:w="60"/>
        <w:gridCol w:w="135"/>
        <w:gridCol w:w="198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9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technological expertise;</w:t>
            </w:r>
          </w:p>
        </w:tc>
      </w:tr>
    </w:tbl>
    <w:p>
      <w:pPr>
        <w:pStyle w:val="TextBody"/>
        <w:bidi w:val="0"/>
        <w:spacing w:before="0" w:after="0"/>
        <w:ind w:left="1080" w:right="0" w:hanging="360"/>
        <w:jc w:val="both"/>
        <w:rPr>
          <w:shd w:fill="FFFFFF" w:val="clear"/>
        </w:rPr>
      </w:pPr>
      <w:r>
        <w:rPr>
          <w:shd w:fill="FFFFFF" w:val="clear"/>
        </w:rPr>
        <w:t>  </w:t>
      </w:r>
    </w:p>
    <w:tbl>
      <w:tblPr>
        <w:tblW w:w="2045" w:type="dxa"/>
        <w:jc w:val="left"/>
        <w:tblInd w:w="0" w:type="dxa"/>
        <w:tblLayout w:type="fixed"/>
        <w:tblCellMar>
          <w:top w:w="0" w:type="dxa"/>
          <w:left w:w="0" w:type="dxa"/>
          <w:bottom w:w="0" w:type="dxa"/>
          <w:right w:w="0" w:type="dxa"/>
        </w:tblCellMar>
      </w:tblPr>
      <w:tblGrid>
        <w:gridCol w:w="60"/>
        <w:gridCol w:w="135"/>
        <w:gridCol w:w="185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85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reliability of products;</w:t>
            </w:r>
          </w:p>
        </w:tc>
      </w:tr>
    </w:tbl>
    <w:p>
      <w:pPr>
        <w:pStyle w:val="TextBody"/>
        <w:bidi w:val="0"/>
        <w:spacing w:before="0" w:after="0"/>
        <w:ind w:left="1080" w:right="0" w:hanging="360"/>
        <w:jc w:val="both"/>
        <w:rPr>
          <w:shd w:fill="FFFFFF" w:val="clear"/>
        </w:rPr>
      </w:pPr>
      <w:r>
        <w:rPr>
          <w:shd w:fill="FFFFFF" w:val="clear"/>
        </w:rPr>
        <w:t>  </w:t>
      </w:r>
    </w:p>
    <w:tbl>
      <w:tblPr>
        <w:tblW w:w="1880" w:type="dxa"/>
        <w:jc w:val="left"/>
        <w:tblInd w:w="0" w:type="dxa"/>
        <w:tblLayout w:type="fixed"/>
        <w:tblCellMar>
          <w:top w:w="0" w:type="dxa"/>
          <w:left w:w="0" w:type="dxa"/>
          <w:bottom w:w="0" w:type="dxa"/>
          <w:right w:w="0" w:type="dxa"/>
        </w:tblCellMar>
      </w:tblPr>
      <w:tblGrid>
        <w:gridCol w:w="60"/>
        <w:gridCol w:w="135"/>
        <w:gridCol w:w="168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6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product pricing; and</w:t>
            </w:r>
          </w:p>
        </w:tc>
      </w:tr>
    </w:tbl>
    <w:p>
      <w:pPr>
        <w:pStyle w:val="TextBody"/>
        <w:bidi w:val="0"/>
        <w:spacing w:before="0" w:after="0"/>
        <w:ind w:left="1080" w:right="0" w:hanging="360"/>
        <w:jc w:val="both"/>
        <w:rPr>
          <w:shd w:fill="FFFFFF" w:val="clear"/>
        </w:rPr>
      </w:pPr>
      <w:r>
        <w:rPr>
          <w:shd w:fill="FFFFFF" w:val="clear"/>
        </w:rPr>
        <w:t>  </w:t>
      </w:r>
    </w:p>
    <w:tbl>
      <w:tblPr>
        <w:tblW w:w="2300" w:type="dxa"/>
        <w:jc w:val="left"/>
        <w:tblInd w:w="0" w:type="dxa"/>
        <w:tblLayout w:type="fixed"/>
        <w:tblCellMar>
          <w:top w:w="0" w:type="dxa"/>
          <w:left w:w="0" w:type="dxa"/>
          <w:bottom w:w="0" w:type="dxa"/>
          <w:right w:w="0" w:type="dxa"/>
        </w:tblCellMar>
      </w:tblPr>
      <w:tblGrid>
        <w:gridCol w:w="60"/>
        <w:gridCol w:w="135"/>
        <w:gridCol w:w="210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10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manufacturing efficiency.</w:t>
            </w:r>
          </w:p>
        </w:tc>
      </w:tr>
    </w:tbl>
    <w:p>
      <w:pPr>
        <w:pStyle w:val="TextBody"/>
        <w:bidi w:val="0"/>
        <w:spacing w:before="0" w:after="0"/>
        <w:ind w:left="1440" w:right="0" w:hanging="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Seasonality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See Part II, Item 7, "Management’s Discussion and Analysis of Financial Condition and Results of Operations—Seasonality," regarding seasonality of certain of the Company’s products.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Human Capital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Employees</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December 31, 2025</w:t>
      </w:r>
      <w:r>
        <w:rPr>
          <w:rFonts w:ascii="Times New Roman;Times;serif" w:hAnsi="Times New Roman;Times;serif"/>
          <w:sz w:val="20"/>
          <w:shd w:fill="FFFFFF" w:val="clear"/>
        </w:rPr>
        <w:t>, we employed 4,691 full-time employees, of which 69 held Ph.D. degrees in a science or engineering field. Of our employees, 548 are located in the U.S., 1,262 are located in Taiwan and 2,881 are located in China.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December 31, 2025</w:t>
      </w:r>
      <w:r>
        <w:rPr>
          <w:rFonts w:ascii="Times New Roman;Times;serif" w:hAnsi="Times New Roman;Times;serif"/>
          <w:sz w:val="20"/>
          <w:shd w:fill="FFFFFF" w:val="clear"/>
        </w:rPr>
        <w:t>,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Employee Engagement, Development and Career Planning</w:t>
      </w:r>
      <w:r>
        <w:rPr>
          <w:rFonts w:ascii="Times New Roman;Times;serif" w:hAnsi="Times New Roman;Times;serif"/>
          <w:sz w:val="20"/>
          <w:shd w:fill="FFFFFF" w:val="clear"/>
        </w:rPr>
        <w:t xml:space="preserve">  </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In the past, we have conducted confidential surveys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Employee Safety</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Compensation, Benefits and Wellness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 xml:space="preserve">Governmental Regulations </w:t>
      </w:r>
      <w:r>
        <w:rPr>
          <w:rFonts w:ascii="Times New Roman;Times;serif" w:hAnsi="Times New Roman;Times;serif"/>
          <w:sz w:val="20"/>
          <w:shd w:fill="FFFFFF" w:val="clear"/>
        </w:rPr>
        <w:t> </w:t>
      </w:r>
    </w:p>
    <w:p>
      <w:pPr>
        <w:pStyle w:val="TextBody"/>
        <w:bidi w:val="0"/>
        <w:spacing w:before="0" w:after="283"/>
        <w:jc w:val="left"/>
        <w:rPr/>
      </w:pPr>
      <w:r>
        <w:rPr>
          <w:shd w:fill="FFFFFF" w:val="clear"/>
        </w:rPr>
        <w:t>  </w:t>
      </w:r>
      <w:r>
        <w:rPr/>
        <w:t xml:space="preserve">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To date, costs and accruals incurred to comply with these governmental regulations have not been material to our capital expenditures, results of operations, and competitive position.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Environment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committed to maintaining compliance with all environmental laws applicable to our operations, products, and services and to reducing our environmental impact across our business. Our operations and many of our products are subject to various federal, state, local, and foreign regulations that have been adopted with respect to the environment, such as the Directive on the Restriction of the Use of Certain Hazardous Substances in Electrical and Electronic Equipment; Registration, Evaluation, Authorization, and Restriction of Chemicals; and Substances of Concern In Products, regulations adopted by the European Union, or EU.</w:t>
      </w:r>
    </w:p>
    <w:p>
      <w:pPr>
        <w:pStyle w:val="TextBody"/>
        <w:bidi w:val="0"/>
        <w:spacing w:before="0" w:after="0"/>
        <w:ind w:left="0" w:right="0" w:firstLine="720"/>
        <w:jc w:val="center"/>
        <w:rPr>
          <w:rFonts w:ascii="Times New Roman" w:hAnsi="Times New Roman"/>
          <w:sz w:val="20"/>
        </w:rPr>
      </w:pPr>
      <w:r>
        <w:rPr>
          <w:rFonts w:ascii="Times New Roman" w:hAnsi="Times New Roman"/>
          <w:sz w:val="20"/>
        </w:rPr>
        <w:t xml:space="preserve">13 </w:t>
      </w:r>
    </w:p>
    <w:p>
      <w:pPr>
        <w:pStyle w:val="HorizontalLine"/>
        <w:bidi w:val="0"/>
        <w:ind w:left="0" w:right="0" w:firstLine="720"/>
        <w:jc w:val="both"/>
        <w:rPr/>
      </w:pPr>
      <w:r>
        <w:rPr/>
      </w:r>
    </w:p>
    <w:p>
      <w:pPr>
        <w:pStyle w:val="TextBody"/>
        <w:bidi w:val="0"/>
        <w:ind w:left="0" w:right="0" w:firstLine="720"/>
        <w:jc w:val="left"/>
        <w:rPr/>
      </w:pPr>
      <w:hyperlink w:anchor="toc">
        <w:r>
          <w:rPr>
            <w:rStyle w:val="InternetLink"/>
            <w:rFonts w:ascii="Times New Roman;Times;serif" w:hAnsi="Times New Roman;Times;serif"/>
            <w:sz w:val="20"/>
          </w:rPr>
          <w:t>Table of Contents</w:t>
        </w:r>
      </w:hyperlink>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shd w:fill="FFFFFF" w:val="clear"/>
        </w:rPr>
        <w:t>Over and above our commitment to compliance with all environmental laws, we have further committed ourselves to the following environment goals:</w:t>
      </w:r>
      <w:r>
        <w:rPr>
          <w:rFonts w:ascii="Times New Roman" w:hAnsi="Times New Roman"/>
          <w:sz w:val="20"/>
        </w:rPr>
        <w:t xml:space="preserve"> </w:t>
      </w:r>
    </w:p>
    <w:p>
      <w:pPr>
        <w:pStyle w:val="TextBody"/>
        <w:bidi w:val="0"/>
        <w:spacing w:before="0" w:after="0"/>
        <w:ind w:left="0" w:right="0" w:firstLine="720"/>
        <w:jc w:val="both"/>
        <w:rPr/>
      </w:pPr>
      <w:r>
        <w:rPr/>
        <w:t xml:space="preserve">  </w:t>
      </w:r>
    </w:p>
    <w:tbl>
      <w:tblPr>
        <w:tblW w:w="6700" w:type="dxa"/>
        <w:jc w:val="left"/>
        <w:tblInd w:w="0" w:type="dxa"/>
        <w:tblLayout w:type="fixed"/>
        <w:tblCellMar>
          <w:top w:w="0" w:type="dxa"/>
          <w:left w:w="0" w:type="dxa"/>
          <w:bottom w:w="0" w:type="dxa"/>
          <w:right w:w="0" w:type="dxa"/>
        </w:tblCellMar>
      </w:tblPr>
      <w:tblGrid>
        <w:gridCol w:w="60"/>
        <w:gridCol w:w="140"/>
        <w:gridCol w:w="650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shd w:fill="FFFFFF" w:val="clear"/>
              </w:rPr>
            </w:pPr>
            <w:r>
              <w:rPr>
                <w:shd w:fill="FFFFFF" w:val="clear"/>
              </w:rPr>
              <w:t>–</w:t>
            </w:r>
          </w:p>
        </w:tc>
        <w:tc>
          <w:tcPr>
            <w:tcW w:w="6500" w:type="dxa"/>
            <w:tcBorders/>
            <w:vAlign w:val="center"/>
          </w:tcPr>
          <w:p>
            <w:pPr>
              <w:pStyle w:val="TableContents"/>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Obtain at least 20% of the energy used in our operations from renewable sources</w:t>
            </w:r>
          </w:p>
        </w:tc>
      </w:tr>
    </w:tbl>
    <w:tbl>
      <w:tblPr>
        <w:tblW w:w="7660" w:type="dxa"/>
        <w:jc w:val="left"/>
        <w:tblInd w:w="0" w:type="dxa"/>
        <w:tblLayout w:type="fixed"/>
        <w:tblCellMar>
          <w:top w:w="0" w:type="dxa"/>
          <w:left w:w="0" w:type="dxa"/>
          <w:bottom w:w="0" w:type="dxa"/>
          <w:right w:w="0" w:type="dxa"/>
        </w:tblCellMar>
      </w:tblPr>
      <w:tblGrid>
        <w:gridCol w:w="60"/>
        <w:gridCol w:w="140"/>
        <w:gridCol w:w="746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pPr>
            <w:r>
              <w:rPr/>
              <w:t>–</w:t>
            </w:r>
          </w:p>
        </w:tc>
        <w:tc>
          <w:tcPr>
            <w:tcW w:w="7460" w:type="dxa"/>
            <w:tcBorders/>
            <w:vAlign w:val="center"/>
          </w:tcPr>
          <w:p>
            <w:pPr>
              <w:pStyle w:val="TableContents"/>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Properly recycle waste materials including paper, electronic components, glass and batteries</w:t>
            </w:r>
          </w:p>
        </w:tc>
      </w:tr>
    </w:tbl>
    <w:tbl>
      <w:tblPr>
        <w:tblW w:w="8515" w:type="dxa"/>
        <w:jc w:val="left"/>
        <w:tblInd w:w="0" w:type="dxa"/>
        <w:tblLayout w:type="fixed"/>
        <w:tblCellMar>
          <w:top w:w="0" w:type="dxa"/>
          <w:left w:w="0" w:type="dxa"/>
          <w:bottom w:w="0" w:type="dxa"/>
          <w:right w:w="0" w:type="dxa"/>
        </w:tblCellMar>
      </w:tblPr>
      <w:tblGrid>
        <w:gridCol w:w="60"/>
        <w:gridCol w:w="140"/>
        <w:gridCol w:w="831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both"/>
              <w:rPr>
                <w:shd w:fill="FFFFFF" w:val="clear"/>
              </w:rPr>
            </w:pPr>
            <w:r>
              <w:rPr>
                <w:shd w:fill="FFFFFF" w:val="clear"/>
              </w:rPr>
              <w:t>–</w:t>
            </w:r>
          </w:p>
        </w:tc>
        <w:tc>
          <w:tcPr>
            <w:tcW w:w="8315" w:type="dxa"/>
            <w:tcBorders/>
            <w:vAlign w:val="center"/>
          </w:tcPr>
          <w:p>
            <w:pPr>
              <w:pStyle w:val="TableContents"/>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Reduce our generation of hazardous waste by at least 10% over the five year period beginning in 2024</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 order to meet these goals, we maintain an Integrated Environmental and Safety Management System.</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Climate Change and Sustainability</w:t>
      </w:r>
    </w:p>
    <w:p>
      <w:pPr>
        <w:pStyle w:val="TextBody"/>
        <w:bidi w:val="0"/>
        <w:spacing w:before="0" w:after="0"/>
        <w:ind w:left="0" w:right="0" w:firstLine="720"/>
        <w:jc w:val="both"/>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We are spreading initiatives that aim to drive sustainability and reduce our environmental impact. In addition, we continue to focus on the efficiency of our technology, including but not limited to using light sensors and dimming technology that control brightness and exploring alternative energy sources.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Export Controls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Bureau of Industry and Security (BIS) of the U.S. Department of Commerce is responsible for regulating the export of most commercial items that are classified as dual-use goods that may have both commercial and military applications. Our products are primarily classified under Export Control Classification Numbers ("ECCN") 5A991, 6A995, and EAR99. Export Control Classification requirements are dependent upon an item’s technical characteristics, the destination, the end-use, the end-user, and the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Additional information concerning regulatory compliance and a discussion of the risks associated with governmental regulations that may materially impact us is described more fully under the heading "Risk Factors" in this Form 10-K.</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Corporate Information</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principal executive offices are located at 13139 Jess Pirtle Blvd., Sugar Land, TX 77478, and our telephone number is (281) 295-1800. Our website address is www.ao-inc.com. Information contained on our website is not incorporated by reference into this Form 10-K.</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Available Information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w:t>
      </w:r>
    </w:p>
    <w:tbl>
      <w:tblPr>
        <w:tblW w:w="1870" w:type="dxa"/>
        <w:jc w:val="left"/>
        <w:tblInd w:w="0" w:type="dxa"/>
        <w:tblLayout w:type="fixed"/>
        <w:tblCellMar>
          <w:top w:w="0" w:type="dxa"/>
          <w:left w:w="0" w:type="dxa"/>
          <w:bottom w:w="0" w:type="dxa"/>
          <w:right w:w="0" w:type="dxa"/>
        </w:tblCellMar>
      </w:tblPr>
      <w:tblGrid>
        <w:gridCol w:w="785"/>
        <w:gridCol w:w="108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5" w:name="Item_1A"/>
            <w:bookmarkEnd w:id="5"/>
            <w:r>
              <w:rPr>
                <w:rFonts w:ascii="Times New Roman;Times;serif" w:hAnsi="Times New Roman;Times;serif"/>
                <w:b/>
                <w:sz w:val="20"/>
                <w:shd w:fill="FFFFFF" w:val="clear"/>
              </w:rPr>
              <w:t xml:space="preserve">Item 1A. </w:t>
            </w:r>
          </w:p>
        </w:tc>
        <w:tc>
          <w:tcPr>
            <w:tcW w:w="10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Risk Factors</w:t>
            </w:r>
          </w:p>
        </w:tc>
      </w:tr>
    </w:tbl>
    <w:p>
      <w:pPr>
        <w:pStyle w:val="TextBody"/>
        <w:bidi w:val="0"/>
        <w:spacing w:before="0" w:after="0"/>
        <w:ind w:left="1440" w:right="0" w:hanging="144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i/>
          <w:sz w:val="20"/>
          <w:shd w:fill="FFFFFF" w:val="clear"/>
        </w:rPr>
      </w:pPr>
      <w:r>
        <w:rPr>
          <w:rFonts w:ascii="Times New Roman;Times;serif" w:hAnsi="Times New Roman;Times;serif"/>
          <w:i/>
          <w:sz w:val="20"/>
          <w:shd w:fill="FFFFFF" w:val="clear"/>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Inherent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significant investments in U.S. manufacturing and automation, which may not achieve expected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 limited number of key customers account for a significant portion of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difficulty forecasting customer demand and matching production to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product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our ability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technology adoption cycles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continually develop new products or fall behind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adverse global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volatile or slower revenue growth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potential manufacturing problems affect quality and customer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high fixed costs due to vertical integration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changes in U.S. tariff and import/export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increasing costs and product mix shifts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financial results may vary significantly on a quarterly basis, leading to stock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dependence on key personnel in a rapidly changing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limited number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products defects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epidemic disease could cause business disruptions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limited ability to use net operating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fluctuations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an acquisition or divestiture may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natural disasters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lack of shares could affect our ability to retain and recruit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Legal and Regulatory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export and import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shareholder activism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litigation, administrative action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Indebtedness and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indebtedness and liabilities could limit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restrictive covenants in loan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ability to obtain capital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Data Breaches and Network Infrastructures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data breaches and cyberattacks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disruptions or failures in information technology systems and network infrastructures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International Trade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changes in U.S. and international trade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variety of risks with international sales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Operations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changes in economic and political policies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high turnover of direct labor in manufacturing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regulations of loans to our China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China labor laws and increasing labor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Intellectual Property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ability to obtain, maintain, protect and enforce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intellectual property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volatility of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limitations on the ability of holders of our Common Stock to influence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 exclusive forum selection clause in our Restated Certificate of Incorporation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Risks Related to Operating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Significant capital investments in U.S. manufacturing and automation, including investments intended to support artificial intelligence ("AI")-related demand, may not achieve expected returns and could adversely affect our business, financial condition, and results of operations.</w:t>
      </w:r>
      <w:r>
        <w:rPr>
          <w:rFonts w:ascii="Times New Roman;Times;serif" w:hAnsi="Times New Roman;Times;serif"/>
          <w:b/>
          <w:sz w:val="20"/>
        </w:rPr>
        <w:t xml:space="preserve"> </w:t>
      </w:r>
      <w:r>
        <w:rPr>
          <w:rFonts w:ascii="Times New Roman;Times;serif" w:hAnsi="Times New Roman;Times;serif"/>
          <w:sz w:val="20"/>
          <w:shd w:fill="FFFFFF" w:val="clear"/>
        </w:rPr>
        <w: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planning and, in some cases, have already commenced substantial capital investments to expand and modernize our U.S. manufacturing footprint and to increase automation across our operations.</w:t>
      </w:r>
    </w:p>
    <w:p>
      <w:pPr>
        <w:pStyle w:val="TextBody"/>
        <w:bidi w:val="0"/>
        <w:spacing w:before="0" w:after="0"/>
        <w:ind w:left="0" w:right="0" w:firstLine="720"/>
        <w:jc w:val="both"/>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These initiatives include site selection and construction of new or expanded facilities, acquisition and installation of advanced production equipment, deployment of robotics and software-enabled process controls, and related hiring and training of specialized personnel. A significant portion of these investments is predicated on our expectations regarding the growth, timing, and mix of customer demand, including demand we anticipate could be driven by AI-related use cases and workloads across our end markets. These projects involve long lead times, complex execution, and significant upfront and continuing expenditures. If these investments do not yield anticipated productivity gains, cost efficiencies, capacity utilization, or revenue growth, or if the expected AI-driven demand does not materialize, is delayed, or develops differently than we forecast, our returns on invested capital could be materially below our expectations and our business, financial condition, and results of operations could be adversely affected.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Realizing the anticipated benefits from these investments depends on numerous factors, many of which are outside of our control. These include the availability, cost, and performance of specialized equipment; the scalability and reliability of automation technologies and related software; successful integration with existing systems and processes; the recruitment, retention, and training of skilled labor; timely permitting and construction; and the stability and capacity of our suppliers and utility providers. We may experience cost inflation, supply chain constraints, labor market tightness, or delays in equipment delivery, installation, qualification, or regulatory approvals, any of which could increase project costs, extend timelines, reduce expected throughput, or impair quality and yield. We also may face risks related to cybersecurity, data integrity, or system outages associated with increased digitization and automation of our manufacturing environments.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Our investment decisions rely on assumptions regarding long-term customer demand, pricing, product mix, and the competitive landscape. If AI adoption slows, stalls, or follows a trajectory that differs from our planning assumptions, we could incur overcapacity, lower utilization rates, and negative operating leverage. In such circumstances, we may not be able to pass increased fixed costs through pricing, which could compress margins and free cash flow. We may be required to incur additional spending to repurpose, reconfigure, or mothball facilities, or to impair long-lived assets, including construction-in-progress, machinery and equipment, and related intangibles. If anticipated volumes do not materialize, we could also face increased inventory obsolescence risk for AI-adjacent components or inputs, as well as contractual take-or-pay or minimum purchase commitments that exceed our needs.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In addition, our competitors may accelerate or alter their strategies in response to the evolving AI ecosystem, including by pursuing alternative technologies, sourcing models, or geographies. If competitors achieve superior cost positions, faster time-to-market, or better alignment to end-market architectures, our relative returns on new capacity and automation investments could deteriorate. Rapid technological change could also render certain equipment or processes obsolete earlier than expected, necessitating additional capital expenditures or resulting in stranded assets.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Our U.S.-based investments are also affected by government policies, incentives, and regulatory frameworks at the federal, state, and local levels. Changes to, or delays in, incentive programs, tax credits, grants, trade regulations, export controls, labor and workplace rules, environmental requirements, energy policies, or permitting processes could increase project costs, reduce expected benefits, or impact our ability to complete or operate facilities as planned. Reliance on projected incentives or credits that are later reduced, rescinded, or unavailable could adversely affect our expected returns and cash flows.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These risks could be exacerbated by financing conditions, including increases in interest rates, tighter credit availability, or covenant constraints that limit our flexibility to fund projects, absorb schedule slippages, or respond to market developments. If project costs rise, schedules extend, or expected benefits lag, we may need to reevaluate our capital allocation priorities, including deferring, scaling back, or cancelling projects, or redirecting capital to other initiatives. Any of these outcomes could adversely affect our growth prospects, competitive position, liquidity, and ability to achieve our strategic objectives.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The timing and magnitude of the effects described above are inherently uncertain. If our U.S. manufacturing and automation investments, including those premised on expected AI-driven demand, do not achieve intended outcomes on the contemplated schedule or at the anticipated cost, our business, financial condition, and results of operations could be materially and adversely affected.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We are dependent on our key customers for a significant portion of our revenue and the loss of, or a significant reduction in orders from, any of our key customers would adversely impact our revenue and results of operations.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We generate much of our revenue from a limited number of customers. For each year ended </w:t>
      </w:r>
      <w:r>
        <w:rPr>
          <w:rFonts w:ascii="Times New Roman;Times;serif" w:hAnsi="Times New Roman;Times;serif"/>
          <w:sz w:val="20"/>
        </w:rPr>
        <w:t>2025, 2024 and 2023</w:t>
      </w:r>
      <w:r>
        <w:rPr>
          <w:rFonts w:ascii="Times New Roman;Times;serif" w:hAnsi="Times New Roman;Times;serif"/>
          <w:sz w:val="20"/>
          <w:shd w:fill="FFFFFF" w:val="clear"/>
        </w:rPr>
        <w:t xml:space="preserve">, our top ten customers represented 96.6%, 95% and 92.7% of our revenue, respectively. In </w:t>
      </w:r>
      <w:r>
        <w:rPr>
          <w:rFonts w:ascii="Times New Roman;Times;serif" w:hAnsi="Times New Roman;Times;serif"/>
          <w:sz w:val="20"/>
        </w:rPr>
        <w:t>2025</w:t>
      </w:r>
      <w:r>
        <w:rPr>
          <w:rFonts w:ascii="Times New Roman;Times;serif" w:hAnsi="Times New Roman;Times;serif"/>
          <w:sz w:val="20"/>
          <w:shd w:fill="FFFFFF" w:val="clear"/>
        </w:rPr>
        <w:t>, Digicomm represented 53.1% of our revenue and Microsoft represented 28.8%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 </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Customer demand is difficult to forecast accurately and, as a result, we may be unable to match production with customer demand.</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If our customers do not qualify our products for use on a timely basis, our results of operations may suffer.</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Technology adoption cycles impact our business</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each of our markets, technology standards influence customer purchasing patterns and vendor selection. Network operators deploy the next generation of technology at different times and typically reduce or stop their purchase of the trailing generation of equipment in advance of their deployment of the next generation. Our revenue from sales of the trailing generation products may fall rapidly, or at an uneven rate, and the prices at which we can sell the trailing generation products may decline. If we do not effectively manage our inventory, we may have an excess of inventory that we may not be able to participate in vendor selection processes of operators and their equipment providers for the next generation of technology deployment, which would reduce our future revenue potential.</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We must continually develop successful new products and enhance existing products, and if we fail to do so or if our release of new or enhanced products is delayed, our business may be harmed.</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Product development delays may result from numerous factors, including:</w:t>
      </w:r>
    </w:p>
    <w:p>
      <w:pPr>
        <w:pStyle w:val="TextBody"/>
        <w:bidi w:val="0"/>
        <w:spacing w:before="0" w:after="0"/>
        <w:ind w:left="1440" w:right="0" w:hanging="720"/>
        <w:jc w:val="both"/>
        <w:rPr>
          <w:shd w:fill="FFFFFF" w:val="clear"/>
        </w:rPr>
      </w:pPr>
      <w:r>
        <w:rPr>
          <w:shd w:fill="FFFFFF" w:val="clear"/>
        </w:rPr>
        <w:t>  </w:t>
      </w:r>
    </w:p>
    <w:tbl>
      <w:tblPr>
        <w:tblW w:w="5600" w:type="dxa"/>
        <w:jc w:val="left"/>
        <w:tblInd w:w="0" w:type="dxa"/>
        <w:tblLayout w:type="fixed"/>
        <w:tblCellMar>
          <w:top w:w="0" w:type="dxa"/>
          <w:left w:w="0" w:type="dxa"/>
          <w:bottom w:w="0" w:type="dxa"/>
          <w:right w:w="0" w:type="dxa"/>
        </w:tblCellMar>
      </w:tblPr>
      <w:tblGrid>
        <w:gridCol w:w="60"/>
        <w:gridCol w:w="135"/>
        <w:gridCol w:w="540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modification of product specifications and customer requirements;</w:t>
            </w:r>
          </w:p>
        </w:tc>
      </w:tr>
    </w:tbl>
    <w:p>
      <w:pPr>
        <w:pStyle w:val="TextBody"/>
        <w:bidi w:val="0"/>
        <w:spacing w:before="0" w:after="0"/>
        <w:ind w:left="1080" w:right="0" w:hanging="0"/>
        <w:jc w:val="both"/>
        <w:rPr/>
      </w:pPr>
      <w:r>
        <w:rPr/>
        <w:t> </w:t>
      </w:r>
    </w:p>
    <w:tbl>
      <w:tblPr>
        <w:tblW w:w="3515" w:type="dxa"/>
        <w:jc w:val="left"/>
        <w:tblInd w:w="0" w:type="dxa"/>
        <w:tblLayout w:type="fixed"/>
        <w:tblCellMar>
          <w:top w:w="0" w:type="dxa"/>
          <w:left w:w="0" w:type="dxa"/>
          <w:bottom w:w="0" w:type="dxa"/>
          <w:right w:w="0" w:type="dxa"/>
        </w:tblCellMar>
      </w:tblPr>
      <w:tblGrid>
        <w:gridCol w:w="60"/>
        <w:gridCol w:w="135"/>
        <w:gridCol w:w="332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332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unanticipated engineering complexities;</w:t>
            </w:r>
          </w:p>
        </w:tc>
      </w:tr>
    </w:tbl>
    <w:p>
      <w:pPr>
        <w:pStyle w:val="TextBody"/>
        <w:bidi w:val="0"/>
        <w:spacing w:before="0" w:after="0"/>
        <w:ind w:left="0" w:right="0" w:hanging="0"/>
        <w:jc w:val="left"/>
        <w:rPr/>
      </w:pPr>
      <w:r>
        <w:rPr/>
        <w:t> </w:t>
      </w:r>
    </w:p>
    <w:tbl>
      <w:tblPr>
        <w:tblW w:w="7565" w:type="dxa"/>
        <w:jc w:val="left"/>
        <w:tblInd w:w="0" w:type="dxa"/>
        <w:tblLayout w:type="fixed"/>
        <w:tblCellMar>
          <w:top w:w="0" w:type="dxa"/>
          <w:left w:w="0" w:type="dxa"/>
          <w:bottom w:w="0" w:type="dxa"/>
          <w:right w:w="0" w:type="dxa"/>
        </w:tblCellMar>
      </w:tblPr>
      <w:tblGrid>
        <w:gridCol w:w="60"/>
        <w:gridCol w:w="135"/>
        <w:gridCol w:w="737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737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difficulties in reallocating engineering resources and overcoming resource limitations; and</w:t>
            </w:r>
          </w:p>
        </w:tc>
      </w:tr>
    </w:tbl>
    <w:p>
      <w:pPr>
        <w:pStyle w:val="TextBody"/>
        <w:bidi w:val="0"/>
        <w:spacing w:before="0" w:after="0"/>
        <w:ind w:left="720" w:right="0" w:hanging="0"/>
        <w:jc w:val="both"/>
        <w:rPr/>
      </w:pPr>
      <w:r>
        <w:rPr/>
        <w:t> </w:t>
      </w:r>
    </w:p>
    <w:tbl>
      <w:tblPr>
        <w:tblW w:w="5630" w:type="dxa"/>
        <w:jc w:val="left"/>
        <w:tblInd w:w="0" w:type="dxa"/>
        <w:tblLayout w:type="fixed"/>
        <w:tblCellMar>
          <w:top w:w="0" w:type="dxa"/>
          <w:left w:w="0" w:type="dxa"/>
          <w:bottom w:w="0" w:type="dxa"/>
          <w:right w:w="0" w:type="dxa"/>
        </w:tblCellMar>
      </w:tblPr>
      <w:tblGrid>
        <w:gridCol w:w="60"/>
        <w:gridCol w:w="135"/>
        <w:gridCol w:w="543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5435"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rapidly changing technology or competitive product requirements.</w:t>
            </w:r>
          </w:p>
        </w:tc>
      </w:tr>
    </w:tbl>
    <w:p>
      <w:pPr>
        <w:pStyle w:val="TextBody"/>
        <w:bidi w:val="0"/>
        <w:spacing w:before="0" w:after="0"/>
        <w:ind w:left="1440" w:right="0" w:hanging="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pStyle w:val="TextBody"/>
        <w:bidi w:val="0"/>
        <w:spacing w:before="0" w:after="0"/>
        <w:ind w:left="0" w:right="0" w:hanging="0"/>
        <w:jc w:val="left"/>
        <w:rPr/>
      </w:pPr>
      <w:r>
        <w:rPr/>
        <w:t> </w:t>
      </w:r>
    </w:p>
    <w:p>
      <w:pPr>
        <w:pStyle w:val="TextBody"/>
        <w:bidi w:val="0"/>
        <w:spacing w:before="0" w:after="0"/>
        <w:ind w:left="0" w:right="0" w:hanging="0"/>
        <w:jc w:val="both"/>
        <w:rPr>
          <w:shd w:fill="FFFFFF" w:val="clear"/>
        </w:rPr>
      </w:pPr>
      <w:r>
        <w:rPr>
          <w:rFonts w:ascii="Times New Roman;Times;serif" w:hAnsi="Times New Roman;Times;serif"/>
          <w:b/>
          <w:i/>
          <w:sz w:val="20"/>
          <w:shd w:fill="FFFFFF" w:val="clear"/>
        </w:rPr>
        <w:t xml:space="preserve">Adverse global economic conditions </w:t>
      </w:r>
      <w:r>
        <w:rPr>
          <w:rFonts w:cs="Times New Roman;Times;serif"/>
          <w:bCs/>
          <w:iCs/>
          <w:szCs w:val="20"/>
          <w:shd w:fill="FFFFFF" w:val="clear"/>
        </w:rPr>
        <w:t>﻿</w:t>
      </w:r>
      <w:r>
        <w:rPr>
          <w:rFonts w:ascii="Times New Roman;Times;serif" w:hAnsi="Times New Roman;Times;serif"/>
          <w:b/>
          <w:i/>
          <w:sz w:val="20"/>
          <w:shd w:fill="FFFFFF" w:val="clear"/>
        </w:rPr>
        <w:t xml:space="preserve">could have a negative effect on our business, results of operations and financial condition and liquidity. </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general slowdown in the global economy or in a particular region or industry, other unfavorable changes in economic conditions, such as inflation, higher interest rates, tightening of the credit markets, recession or slowing growth, or an increase in trade tensions with U.S. trading partners could negatively impact our business, financial condition and liquidity. Adverse global economic conditions have from time to time caused or exacerbated significant slowdowns in the industries and markets in which we operate, which have adversely affected our business and results of operations. Macroeconomic weakness and uncertainty also make it more difficult for us to accurately forecast operating results, and may make it more difficult to raise or refinance debt. An escalation of trade tensions between the U.S. and China has resulted in trade restrictions, increased protectionism and increased tariffs that harm our ability to participate in Chinese markets or compete effectively with Chinese companies. Sustained uncertainty about, or worsening of, current global economic conditions and further escalation of trade tensions between the U.S. and its trading partners, especially China, and the decoupling of the U.S. and China economies, could result in a global economic slowdown and long-term changes to global trade. Such events may also (i) cause our customers and consumers to reduce, delay or forgo technology spending, (ii) result in customers sourcing products from other suppliers not subject to such restrictions or tariffs, (iii) lead to the insolvency or consolidation of key suppliers and customers, and (iv) intensify pricing pressures. Any or all of these factors could negatively affect demand for our products and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Our revenues, growth rates and operating results are likely to fluctuate significantly as a result of factors that are outside our control, which could adversely impact our operating results.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sz w:val="20"/>
        </w:rPr>
      </w:pPr>
      <w:r>
        <w:rPr>
          <w:rFonts w:ascii="Times New Roman;Times;serif" w:hAnsi="Times New Roman;Times;serif"/>
          <w:b/>
          <w:i/>
          <w:sz w:val="20"/>
          <w:shd w:fill="FFFFFF" w:val="clear"/>
        </w:rPr>
        <w:t>If we encounter manufacturing problems, we may lose sales and damage our customer relationships.</w:t>
      </w:r>
      <w:r>
        <w:rPr>
          <w:rFonts w:ascii="Times New Roman;Times;serif" w:hAnsi="Times New Roman;Times;serif"/>
          <w:sz w:val="20"/>
        </w:rPr>
        <w:t xml:space="preserve"> </w:t>
      </w:r>
      <w:r>
        <w:rPr>
          <w:rFonts w:ascii="Times New Roman;Times;serif" w:hAnsi="Times New Roman;Times;serif"/>
          <w:sz w:val="20"/>
          <w:shd w:fill="FFFFFF" w:val="clear"/>
        </w:rPr>
        <w:t> </w:t>
      </w:r>
      <w:r>
        <w:rPr>
          <w:rFonts w:ascii="Times New Roman;Times;serif" w:hAnsi="Times New Roman;Times;serif"/>
          <w:sz w:val="20"/>
        </w:rPr>
        <w:t xml:space="preserve"> </w:t>
      </w:r>
    </w:p>
    <w:p>
      <w:pPr>
        <w:pStyle w:val="TextBody"/>
        <w:bidi w:val="0"/>
        <w:spacing w:before="0" w:after="0"/>
        <w:ind w:left="0" w:right="0" w:firstLine="720"/>
        <w:jc w:val="both"/>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We may also experience delays in production, typically in February, during the Lunar New Year holiday when our facilities in China and Taiwan are closed.</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Given the high fixed costs associated with our vertically integrated business, a reduction in demand for our products will likely adversely impact our gross profits and our results of operations.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have a high fixed cost base due to our vertically integrated business model, including the fact that 4,116 of our employees as of  </w:t>
      </w:r>
      <w:r>
        <w:rPr>
          <w:rFonts w:ascii="Times New Roman;Times;serif" w:hAnsi="Times New Roman;Times;serif"/>
          <w:sz w:val="20"/>
        </w:rPr>
        <w:t>December 31, 2025</w:t>
      </w:r>
      <w:r>
        <w:rPr>
          <w:rFonts w:ascii="Times New Roman;Times;serif" w:hAnsi="Times New Roman;Times;serif"/>
          <w:sz w:val="20"/>
          <w:shd w:fill="FFFFFF" w:val="clear"/>
        </w:rPr>
        <w:t xml:space="preserve">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United States tariff and import/export regulations may have a negative effect on our business.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2025, the United States has imposed, and may continue to impose, significant tariffs and other trade restrictions on imported goods. In February 2026, the U.S. Supreme Court held that tariffs imposed under the International Emergency Economic Powers Act ("IEEPA") were unlawful, and U.S. Customs and Border Protection subsequently announced that IEEPA-based tariff provisions would be terminated effective February 24, 2026. However, tariffs imposed under other authorities, including Section 232 of the Trade Expansion Act of 1962 and Section 301 of the Trade Act of 1974, remain in effect, and the U.S. government has indicted that it may pursue additional or replacement tariffs under alternative legal authorities, including temporary measures under Section 122 of the Trade Act of 1974.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a result, the tariff environment remains highly uncertain and subject to rapid change. Further changes in tariff rates, product coverage, enforcement, exclusions, customs guidance, or related trade measures, as well as litigation outcomes and any governmental responses to such outcomes, could increase our costs, disrupt our supply chain, affect customer demand, reduce our margins, and otherwise adversely affect our business, results of operations and financial condition. In addition, uncertainty regarding the availability, timing and amount of any refunds or other relief relating to previously paid duties may affect our cash flows and results in future periods. We cannot predict the scope, timing or ultimate impact of these developments.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the stability of global financial markets, and may significantly reduce global trade and, in particular, trade between impacted nations and the U.S. Any of these factors could depress economic activity and restrict our access to suppliers or customers and have a material adverse effect on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Increasing costs and shifts in product mix may adversely impact our gross margins.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Our financial results may vary significantly from quarter-to-quarter due to a number of factors, which may lead to volatility in our stock price.</w:t>
      </w:r>
      <w:r>
        <w:rPr>
          <w:rFonts w:ascii="Times New Roman;Times;serif" w:hAnsi="Times New Roman;Times;serif"/>
          <w:sz w:val="20"/>
          <w:shd w:fill="FFFFFF" w:val="clear"/>
        </w:rPr>
        <w:t> </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pStyle w:val="TextBody"/>
        <w:bidi w:val="0"/>
        <w:spacing w:before="0" w:after="0"/>
        <w:ind w:left="1440" w:right="0" w:hanging="720"/>
        <w:jc w:val="both"/>
        <w:rPr>
          <w:shd w:fill="FFFFFF" w:val="clear"/>
        </w:rPr>
      </w:pPr>
      <w:r>
        <w:rPr>
          <w:shd w:fill="FFFFFF" w:val="clear"/>
        </w:rPr>
        <w:t>  </w:t>
      </w:r>
    </w:p>
    <w:tbl>
      <w:tblPr>
        <w:tblW w:w="4085" w:type="dxa"/>
        <w:jc w:val="left"/>
        <w:tblInd w:w="0" w:type="dxa"/>
        <w:tblLayout w:type="fixed"/>
        <w:tblCellMar>
          <w:top w:w="0" w:type="dxa"/>
          <w:left w:w="0" w:type="dxa"/>
          <w:bottom w:w="0" w:type="dxa"/>
          <w:right w:w="0" w:type="dxa"/>
        </w:tblCellMar>
      </w:tblPr>
      <w:tblGrid>
        <w:gridCol w:w="60"/>
        <w:gridCol w:w="75"/>
        <w:gridCol w:w="395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95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timing, size and mix of sales of our products;</w:t>
            </w:r>
          </w:p>
        </w:tc>
      </w:tr>
    </w:tbl>
    <w:p>
      <w:pPr>
        <w:pStyle w:val="TextBody"/>
        <w:bidi w:val="0"/>
        <w:spacing w:before="0" w:after="0"/>
        <w:ind w:left="1440" w:right="0" w:hanging="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fluctuations in demand for our products, including the increase, decrease, rescheduling or cancellation of significant customer orders;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our ability to design, manufacture and deliver products which meet customer requirements in a timely and cost-effective manner;</w:t>
            </w:r>
          </w:p>
        </w:tc>
      </w:tr>
    </w:tbl>
    <w:p>
      <w:pPr>
        <w:pStyle w:val="TextBody"/>
        <w:bidi w:val="0"/>
        <w:spacing w:before="0" w:after="0"/>
        <w:ind w:left="1440" w:right="0" w:hanging="0"/>
        <w:jc w:val="both"/>
        <w:rPr/>
      </w:pPr>
      <w:r>
        <w:rPr/>
        <w:t> </w:t>
      </w:r>
    </w:p>
    <w:tbl>
      <w:tblPr>
        <w:tblW w:w="2915" w:type="dxa"/>
        <w:jc w:val="left"/>
        <w:tblInd w:w="0" w:type="dxa"/>
        <w:tblLayout w:type="fixed"/>
        <w:tblCellMar>
          <w:top w:w="0" w:type="dxa"/>
          <w:left w:w="0" w:type="dxa"/>
          <w:bottom w:w="0" w:type="dxa"/>
          <w:right w:w="0" w:type="dxa"/>
        </w:tblCellMar>
      </w:tblPr>
      <w:tblGrid>
        <w:gridCol w:w="60"/>
        <w:gridCol w:w="135"/>
        <w:gridCol w:w="272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7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gain or loss of key customers;</w:t>
            </w:r>
          </w:p>
        </w:tc>
      </w:tr>
    </w:tbl>
    <w:p>
      <w:pPr>
        <w:pStyle w:val="TextBody"/>
        <w:bidi w:val="0"/>
        <w:spacing w:before="0" w:after="0"/>
        <w:ind w:left="1440" w:right="0" w:hanging="0"/>
        <w:jc w:val="both"/>
        <w:rPr/>
      </w:pPr>
      <w:r>
        <w:rPr/>
        <w:t> </w:t>
      </w:r>
    </w:p>
    <w:tbl>
      <w:tblPr>
        <w:tblW w:w="7700" w:type="dxa"/>
        <w:jc w:val="left"/>
        <w:tblInd w:w="0" w:type="dxa"/>
        <w:tblLayout w:type="fixed"/>
        <w:tblCellMar>
          <w:top w:w="0" w:type="dxa"/>
          <w:left w:w="0" w:type="dxa"/>
          <w:bottom w:w="0" w:type="dxa"/>
          <w:right w:w="0" w:type="dxa"/>
        </w:tblCellMar>
      </w:tblPr>
      <w:tblGrid>
        <w:gridCol w:w="60"/>
        <w:gridCol w:w="135"/>
        <w:gridCol w:w="750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750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changes in our pricing and sales policies or the pricing and sales policies of our competitors;</w:t>
            </w:r>
          </w:p>
        </w:tc>
      </w:tr>
    </w:tbl>
    <w:p>
      <w:pPr>
        <w:pStyle w:val="TextBody"/>
        <w:bidi w:val="0"/>
        <w:spacing w:before="0" w:after="0"/>
        <w:ind w:left="720" w:right="0" w:hanging="0"/>
        <w:jc w:val="both"/>
        <w:rPr/>
      </w:pPr>
      <w:r>
        <w:rPr/>
        <w:t> </w:t>
      </w:r>
    </w:p>
    <w:tbl>
      <w:tblPr>
        <w:tblW w:w="5840" w:type="dxa"/>
        <w:jc w:val="left"/>
        <w:tblInd w:w="0" w:type="dxa"/>
        <w:tblLayout w:type="fixed"/>
        <w:tblCellMar>
          <w:top w:w="0" w:type="dxa"/>
          <w:left w:w="0" w:type="dxa"/>
          <w:bottom w:w="0" w:type="dxa"/>
          <w:right w:w="0" w:type="dxa"/>
        </w:tblCellMar>
      </w:tblPr>
      <w:tblGrid>
        <w:gridCol w:w="60"/>
        <w:gridCol w:w="135"/>
        <w:gridCol w:w="564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564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seasonality of certain of our products and manufacturing capabilities;</w:t>
            </w:r>
          </w:p>
        </w:tc>
      </w:tr>
    </w:tbl>
    <w:p>
      <w:pPr>
        <w:pStyle w:val="TextBody"/>
        <w:bidi w:val="0"/>
        <w:spacing w:before="0" w:after="0"/>
        <w:ind w:left="1440" w:right="0" w:hanging="0"/>
        <w:jc w:val="both"/>
        <w:rPr/>
      </w:pPr>
      <w:r>
        <w:rPr/>
        <w:t> </w:t>
      </w:r>
    </w:p>
    <w:tbl>
      <w:tblPr>
        <w:tblW w:w="5615" w:type="dxa"/>
        <w:jc w:val="left"/>
        <w:tblInd w:w="0" w:type="dxa"/>
        <w:tblLayout w:type="fixed"/>
        <w:tblCellMar>
          <w:top w:w="0" w:type="dxa"/>
          <w:left w:w="0" w:type="dxa"/>
          <w:bottom w:w="0" w:type="dxa"/>
          <w:right w:w="0" w:type="dxa"/>
        </w:tblCellMar>
      </w:tblPr>
      <w:tblGrid>
        <w:gridCol w:w="60"/>
        <w:gridCol w:w="135"/>
        <w:gridCol w:w="542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54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quality control or yield problems in our manufacturing operations;</w:t>
            </w:r>
          </w:p>
        </w:tc>
      </w:tr>
    </w:tbl>
    <w:p>
      <w:pPr>
        <w:pStyle w:val="TextBody"/>
        <w:bidi w:val="0"/>
        <w:spacing w:before="0" w:after="0"/>
        <w:ind w:left="1440" w:right="0" w:hanging="0"/>
        <w:jc w:val="both"/>
        <w:rPr/>
      </w:pPr>
      <w:r>
        <w:rPr/>
        <w:t> </w:t>
      </w:r>
    </w:p>
    <w:tbl>
      <w:tblPr>
        <w:tblW w:w="6710" w:type="dxa"/>
        <w:jc w:val="left"/>
        <w:tblInd w:w="0" w:type="dxa"/>
        <w:tblLayout w:type="fixed"/>
        <w:tblCellMar>
          <w:top w:w="0" w:type="dxa"/>
          <w:left w:w="0" w:type="dxa"/>
          <w:bottom w:w="0" w:type="dxa"/>
          <w:right w:w="0" w:type="dxa"/>
        </w:tblCellMar>
      </w:tblPr>
      <w:tblGrid>
        <w:gridCol w:w="60"/>
        <w:gridCol w:w="75"/>
        <w:gridCol w:w="657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657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supply disruption for certain raw materials and components used in our products;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capacity constraints of our outside contract manufacturers for a portion of the manufacturing process for some of our products;</w:t>
            </w:r>
          </w:p>
        </w:tc>
      </w:tr>
    </w:tbl>
    <w:p>
      <w:pPr>
        <w:pStyle w:val="TextBody"/>
        <w:bidi w:val="0"/>
        <w:spacing w:before="0" w:after="0"/>
        <w:ind w:left="144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820" w:type="dxa"/>
        <w:jc w:val="left"/>
        <w:tblInd w:w="0" w:type="dxa"/>
        <w:tblLayout w:type="fixed"/>
        <w:tblCellMar>
          <w:top w:w="0" w:type="dxa"/>
          <w:left w:w="0" w:type="dxa"/>
          <w:bottom w:w="0" w:type="dxa"/>
          <w:right w:w="0" w:type="dxa"/>
        </w:tblCellMar>
      </w:tblPr>
      <w:tblGrid>
        <w:gridCol w:w="60"/>
        <w:gridCol w:w="135"/>
        <w:gridCol w:w="462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462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length and variability of the sales cycles of our products;</w:t>
            </w:r>
          </w:p>
        </w:tc>
      </w:tr>
    </w:tbl>
    <w:p>
      <w:pPr>
        <w:pStyle w:val="TextBody"/>
        <w:bidi w:val="0"/>
        <w:spacing w:before="0" w:after="0"/>
        <w:ind w:left="1440" w:right="0" w:hanging="0"/>
        <w:jc w:val="both"/>
        <w:rPr/>
      </w:pPr>
      <w:r>
        <w:rPr/>
        <w:t> </w:t>
      </w:r>
    </w:p>
    <w:tbl>
      <w:tblPr>
        <w:tblW w:w="9815" w:type="dxa"/>
        <w:jc w:val="left"/>
        <w:tblInd w:w="0" w:type="dxa"/>
        <w:tblLayout w:type="fixed"/>
        <w:tblCellMar>
          <w:top w:w="0" w:type="dxa"/>
          <w:left w:w="0" w:type="dxa"/>
          <w:bottom w:w="0" w:type="dxa"/>
          <w:right w:w="0" w:type="dxa"/>
        </w:tblCellMar>
      </w:tblPr>
      <w:tblGrid>
        <w:gridCol w:w="60"/>
        <w:gridCol w:w="135"/>
        <w:gridCol w:w="962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96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unanticipated increases in costs or expenses, including rising inflation or other changes in macroeconomic conditions;</w:t>
            </w:r>
          </w:p>
        </w:tc>
      </w:tr>
    </w:tbl>
    <w:p>
      <w:pPr>
        <w:pStyle w:val="TextBody"/>
        <w:bidi w:val="0"/>
        <w:spacing w:before="0" w:after="0"/>
        <w:ind w:left="1440" w:right="0" w:hanging="0"/>
        <w:jc w:val="both"/>
        <w:rPr/>
      </w:pPr>
      <w:r>
        <w:rPr/>
        <w:t> </w:t>
      </w:r>
    </w:p>
    <w:tbl>
      <w:tblPr>
        <w:tblW w:w="2360" w:type="dxa"/>
        <w:jc w:val="left"/>
        <w:tblInd w:w="0" w:type="dxa"/>
        <w:tblLayout w:type="fixed"/>
        <w:tblCellMar>
          <w:top w:w="0" w:type="dxa"/>
          <w:left w:w="0" w:type="dxa"/>
          <w:bottom w:w="0" w:type="dxa"/>
          <w:right w:w="0" w:type="dxa"/>
        </w:tblCellMar>
      </w:tblPr>
      <w:tblGrid>
        <w:gridCol w:w="60"/>
        <w:gridCol w:w="135"/>
        <w:gridCol w:w="2165"/>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216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loss of key employees;</w:t>
            </w:r>
          </w:p>
        </w:tc>
      </w:tr>
    </w:tbl>
    <w:p>
      <w:pPr>
        <w:pStyle w:val="TextBody"/>
        <w:bidi w:val="0"/>
        <w:spacing w:before="0" w:after="0"/>
        <w:ind w:left="1440" w:right="0" w:hanging="0"/>
        <w:jc w:val="both"/>
        <w:rPr/>
      </w:pPr>
      <w:r>
        <w:rPr/>
        <w:t> </w:t>
      </w:r>
    </w:p>
    <w:tbl>
      <w:tblPr>
        <w:tblW w:w="9995" w:type="dxa"/>
        <w:jc w:val="left"/>
        <w:tblInd w:w="0" w:type="dxa"/>
        <w:tblLayout w:type="fixed"/>
        <w:tblCellMar>
          <w:top w:w="0" w:type="dxa"/>
          <w:left w:w="0" w:type="dxa"/>
          <w:bottom w:w="0" w:type="dxa"/>
          <w:right w:w="0" w:type="dxa"/>
        </w:tblCellMar>
      </w:tblPr>
      <w:tblGrid>
        <w:gridCol w:w="60"/>
        <w:gridCol w:w="135"/>
        <w:gridCol w:w="980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980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different capital expenditure and budget cycles for our customers, affecting the timing of their spending for our products;</w:t>
            </w:r>
          </w:p>
        </w:tc>
      </w:tr>
    </w:tbl>
    <w:p>
      <w:pPr>
        <w:pStyle w:val="TextBody"/>
        <w:bidi w:val="0"/>
        <w:spacing w:before="0" w:after="0"/>
        <w:ind w:left="1440" w:right="0" w:hanging="0"/>
        <w:jc w:val="both"/>
        <w:rPr/>
      </w:pPr>
      <w:r>
        <w:rPr/>
        <w:t> </w:t>
      </w:r>
    </w:p>
    <w:tbl>
      <w:tblPr>
        <w:tblW w:w="5270" w:type="dxa"/>
        <w:jc w:val="left"/>
        <w:tblInd w:w="0" w:type="dxa"/>
        <w:tblLayout w:type="fixed"/>
        <w:tblCellMar>
          <w:top w:w="0" w:type="dxa"/>
          <w:left w:w="0" w:type="dxa"/>
          <w:bottom w:w="0" w:type="dxa"/>
          <w:right w:w="0" w:type="dxa"/>
        </w:tblCellMar>
      </w:tblPr>
      <w:tblGrid>
        <w:gridCol w:w="60"/>
        <w:gridCol w:w="75"/>
        <w:gridCol w:w="513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513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political stability in the areas of the world in which we operate;</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0"/>
              <w:ind w:left="0" w:right="0" w:hanging="0"/>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1007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trade-related government actions that impose barriers or restrictions that would impact our ability to sell or ship products to customers.</w:t>
            </w:r>
          </w:p>
        </w:tc>
      </w:tr>
    </w:tbl>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We depend on key personnel to develop and maintain our technology and manage our business in a rapidly changing market.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To implement our business plan, we also intend to hire additional employees in expanding areas of our business.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We depend on a limited number of suppliers and any supply interruption could have an adverse effect on our business.</w:t>
      </w:r>
      <w:r>
        <w:rPr>
          <w:rFonts w:ascii="Times New Roman;Times;serif" w:hAnsi="Times New Roman;Times;serif"/>
          <w:sz w:val="20"/>
          <w:shd w:fill="FFFFFF" w:val="clear"/>
        </w:rPr>
        <w:t> </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Our products could contain defects that may cause us to incur significant costs or result in a loss of customers.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shd w:fill="FFFFFF" w:val="clear"/>
        </w:rPr>
        <w:t>Epidemic diseases, such as COVID-19, or the perception of their effects, could have a material adverse effect on our business, financial condition, results of operation, or cash flows.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Outbreaks of epidemic, pandemic, or contagious diseases, such as the recent COVID-19 pandemic or, historically, the Ebola virus, Middle East Respiratory Syndrome, Severe Acute Respiratory Syndrome, or the H1N1 virus, could result in business disruptions.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pPr>
      <w:r>
        <w:rPr>
          <w:color w:val="000000"/>
        </w:rPr>
        <w:t> </w:t>
      </w:r>
      <w:r>
        <w:rPr/>
        <w:t xml:space="preserve"> </w:t>
      </w:r>
    </w:p>
    <w:p>
      <w:pPr>
        <w:pStyle w:val="TextBody"/>
        <w:bidi w:val="0"/>
        <w:spacing w:before="0" w:after="0"/>
        <w:jc w:val="left"/>
        <w:rPr>
          <w:rFonts w:ascii="Times New Roman;Times;serif" w:hAnsi="Times New Roman;Times;serif"/>
          <w:color w:val="0000FF"/>
          <w:sz w:val="20"/>
        </w:rPr>
      </w:pPr>
      <w:r>
        <w:rPr>
          <w:rFonts w:ascii="Times New Roman;Times;serif" w:hAnsi="Times New Roman;Times;serif"/>
          <w:b/>
          <w:i/>
          <w:color w:val="000000"/>
          <w:sz w:val="20"/>
        </w:rPr>
        <w:t>Our ability to use our net operating losses and certain other tax attributes may be limited. </w:t>
      </w:r>
      <w:r>
        <w:rPr>
          <w:rFonts w:ascii="Times New Roman;Times;serif" w:hAnsi="Times New Roman;Times;serif"/>
          <w:color w:val="0000FF"/>
          <w:sz w:val="20"/>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As of December 31, 2025, we had U.S. accumulated net operating loss carryforwards, or NOLs, of approximately $253.0 million, federal and state research and development credits ("R&amp;D credits") of $14.9 million, business interest expense carryforwards of $24.9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would not have prevented us from using all NOLs and tax credits accumulated before such ownership changes, assuming we were otherwise able to do so,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  Also, any foreign NOLs (for example NOLs in our China and Taiwan jurisdictions) are subject to different NOL expirations, generally shorter than in the US.</w:t>
      </w:r>
      <w:r>
        <w:rPr>
          <w:rFonts w:ascii="Times New Roman;Times;serif" w:hAnsi="Times New Roman;Times;serif"/>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Our future results of operations may be subject to volatility as a result of exposure to fluctuations in currency exchange </w:t>
      </w:r>
      <w:r>
        <w:rPr>
          <w:rFonts w:ascii="Times New Roman;Times;serif" w:hAnsi="Times New Roman;Times;serif"/>
          <w:sz w:val="20"/>
        </w:rPr>
        <w:t xml:space="preserve"> </w:t>
      </w:r>
      <w:r>
        <w:rPr>
          <w:rFonts w:ascii="Times New Roman;Times;serif" w:hAnsi="Times New Roman;Times;serif"/>
          <w:b/>
          <w:i/>
          <w:sz w:val="20"/>
          <w:shd w:fill="FFFFFF" w:val="clear"/>
        </w:rPr>
        <w:t>rates.</w:t>
      </w:r>
      <w:r>
        <w:rPr>
          <w:rFonts w:ascii="Times New Roman;Times;serif" w:hAnsi="Times New Roman;Times;serif"/>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r>
        <w:rPr>
          <w:rFonts w:ascii="Times New Roman;Times;serif" w:hAnsi="Times New Roman;Times;serif"/>
          <w:sz w:val="20"/>
        </w:rPr>
        <w:t xml:space="preserv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both"/>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r>
        <w:rPr>
          <w:rFonts w:ascii="Times New Roman;Times;serif" w:hAnsi="Times New Roman;Times;serif"/>
          <w:sz w:val="20"/>
        </w:rPr>
        <w:t xml:space="preserve"> </w:t>
      </w:r>
    </w:p>
    <w:p>
      <w:pPr>
        <w:pStyle w:val="TextBody"/>
        <w:bidi w:val="0"/>
        <w:spacing w:before="0" w:after="0"/>
        <w:jc w:val="both"/>
        <w:rPr/>
      </w:pPr>
      <w:r>
        <w:rPr/>
        <w:t xml:space="preserve">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Future acquisitions may adversely affect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pStyle w:val="TextBody"/>
        <w:bidi w:val="0"/>
        <w:spacing w:before="0" w:after="0"/>
        <w:ind w:left="1440" w:right="0" w:hanging="720"/>
        <w:jc w:val="both"/>
        <w:rPr>
          <w:shd w:fill="FFFFFF" w:val="clear"/>
        </w:rPr>
      </w:pPr>
      <w:r>
        <w:rPr>
          <w:shd w:fill="FFFFFF" w:val="clear"/>
        </w:rPr>
        <w:t>  </w:t>
      </w:r>
    </w:p>
    <w:tbl>
      <w:tblPr>
        <w:tblW w:w="3830" w:type="dxa"/>
        <w:jc w:val="left"/>
        <w:tblInd w:w="0" w:type="dxa"/>
        <w:tblLayout w:type="fixed"/>
        <w:tblCellMar>
          <w:top w:w="0" w:type="dxa"/>
          <w:left w:w="0" w:type="dxa"/>
          <w:bottom w:w="0" w:type="dxa"/>
          <w:right w:w="0" w:type="dxa"/>
        </w:tblCellMar>
      </w:tblPr>
      <w:tblGrid>
        <w:gridCol w:w="60"/>
        <w:gridCol w:w="75"/>
        <w:gridCol w:w="369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69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integrating the acquired business;</w:t>
            </w:r>
          </w:p>
        </w:tc>
      </w:tr>
    </w:tbl>
    <w:p>
      <w:pPr>
        <w:pStyle w:val="TextBody"/>
        <w:bidi w:val="0"/>
        <w:spacing w:before="0" w:after="0"/>
        <w:ind w:left="1440" w:right="0" w:hanging="0"/>
        <w:jc w:val="both"/>
        <w:rPr/>
      </w:pPr>
      <w:r>
        <w:rPr/>
        <w:t> </w:t>
      </w:r>
    </w:p>
    <w:tbl>
      <w:tblPr>
        <w:tblW w:w="10055" w:type="dxa"/>
        <w:jc w:val="left"/>
        <w:tblInd w:w="0" w:type="dxa"/>
        <w:tblLayout w:type="fixed"/>
        <w:tblCellMar>
          <w:top w:w="0" w:type="dxa"/>
          <w:left w:w="0" w:type="dxa"/>
          <w:bottom w:w="0" w:type="dxa"/>
          <w:right w:w="0" w:type="dxa"/>
        </w:tblCellMar>
      </w:tblPr>
      <w:tblGrid>
        <w:gridCol w:w="60"/>
        <w:gridCol w:w="75"/>
        <w:gridCol w:w="992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99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unanticipated costs, capital expenditures or liabilities or changes related to research in progress and product development;</w:t>
            </w:r>
          </w:p>
        </w:tc>
      </w:tr>
    </w:tbl>
    <w:p>
      <w:pPr>
        <w:pStyle w:val="TextBody"/>
        <w:bidi w:val="0"/>
        <w:spacing w:before="0" w:after="0"/>
        <w:ind w:left="1440" w:right="0" w:hanging="0"/>
        <w:jc w:val="both"/>
        <w:rPr/>
      </w:pPr>
      <w:r>
        <w:rPr/>
        <w:t> </w:t>
      </w:r>
    </w:p>
    <w:tbl>
      <w:tblPr>
        <w:tblW w:w="6350" w:type="dxa"/>
        <w:jc w:val="left"/>
        <w:tblInd w:w="0" w:type="dxa"/>
        <w:tblLayout w:type="fixed"/>
        <w:tblCellMar>
          <w:top w:w="0" w:type="dxa"/>
          <w:left w:w="0" w:type="dxa"/>
          <w:bottom w:w="0" w:type="dxa"/>
          <w:right w:w="0" w:type="dxa"/>
        </w:tblCellMar>
      </w:tblPr>
      <w:tblGrid>
        <w:gridCol w:w="60"/>
        <w:gridCol w:w="75"/>
        <w:gridCol w:w="621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621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diversion of financial and management resources from our existing business;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integrating the business relationships with suppliers and customers of the acquired business with our existing business relationships;</w:t>
            </w:r>
          </w:p>
        </w:tc>
      </w:tr>
    </w:tbl>
    <w:p>
      <w:pPr>
        <w:pStyle w:val="TextBody"/>
        <w:bidi w:val="0"/>
        <w:spacing w:before="0" w:after="0"/>
        <w:ind w:left="1440" w:right="0" w:hanging="0"/>
        <w:jc w:val="both"/>
        <w:rPr/>
      </w:pPr>
      <w:r>
        <w:rPr/>
        <w:t> </w:t>
      </w:r>
    </w:p>
    <w:tbl>
      <w:tblPr>
        <w:tblW w:w="7340" w:type="dxa"/>
        <w:jc w:val="left"/>
        <w:tblInd w:w="0" w:type="dxa"/>
        <w:tblLayout w:type="fixed"/>
        <w:tblCellMar>
          <w:top w:w="0" w:type="dxa"/>
          <w:left w:w="0" w:type="dxa"/>
          <w:bottom w:w="0" w:type="dxa"/>
          <w:right w:w="0" w:type="dxa"/>
        </w:tblCellMar>
      </w:tblPr>
      <w:tblGrid>
        <w:gridCol w:w="60"/>
        <w:gridCol w:w="75"/>
        <w:gridCol w:w="720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720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risks associated with entering markets in which we have little or no prior experience; and</w:t>
            </w:r>
          </w:p>
        </w:tc>
      </w:tr>
    </w:tbl>
    <w:p>
      <w:pPr>
        <w:pStyle w:val="TextBody"/>
        <w:bidi w:val="0"/>
        <w:spacing w:before="0" w:after="0"/>
        <w:ind w:left="1440" w:right="0" w:hanging="0"/>
        <w:jc w:val="both"/>
        <w:rPr/>
      </w:pPr>
      <w:r>
        <w:rPr/>
        <w:t> </w:t>
      </w:r>
    </w:p>
    <w:tbl>
      <w:tblPr>
        <w:tblW w:w="6695" w:type="dxa"/>
        <w:jc w:val="left"/>
        <w:tblInd w:w="0" w:type="dxa"/>
        <w:tblLayout w:type="fixed"/>
        <w:tblCellMar>
          <w:top w:w="0" w:type="dxa"/>
          <w:left w:w="0" w:type="dxa"/>
          <w:bottom w:w="0" w:type="dxa"/>
          <w:right w:w="0" w:type="dxa"/>
        </w:tblCellMar>
      </w:tblPr>
      <w:tblGrid>
        <w:gridCol w:w="60"/>
        <w:gridCol w:w="75"/>
        <w:gridCol w:w="656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65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potential loss of key employees, particularly those of the acquired organizations.</w:t>
            </w:r>
          </w:p>
        </w:tc>
      </w:tr>
    </w:tbl>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 w:hAnsi="Times New Roman"/>
          <w:b/>
          <w:i/>
          <w:caps w:val="false"/>
          <w:smallCaps w:val="false"/>
          <w:sz w:val="20"/>
          <w:shd w:fill="FFFFFF" w:val="clear"/>
        </w:rPr>
      </w:pPr>
      <w:r>
        <w:rPr>
          <w:rFonts w:ascii="Times New Roman" w:hAnsi="Times New Roman"/>
          <w:b/>
          <w:i/>
          <w:caps w:val="false"/>
          <w:smallCaps w:val="false"/>
          <w:sz w:val="20"/>
          <w:shd w:fill="FFFFFF" w:val="clear"/>
        </w:rPr>
        <w:t>Future divestitures may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frequently evaluate our portfolio of products and may consider divestitures or exits of businesses that we no longer believe to be an appropriate strategic fit. Divestitures may adversely impact our results if we are unable to offset the dilutive impacts from the loss of revenue associated with the divested products or businesses, or mitigate overhead costs allocated to those businesses. Furthermore, the divestitures could adversely affect our ongoing business operations, including by enhancing our competitors' positions or reducing customer confidence in our ongoing brand and products.  The inability to effectively and efficiently manage divestitures with the results we expect or in the timeframe we anticipate could adversely affect our financial condition and results of operations.</w:t>
      </w:r>
    </w:p>
    <w:p>
      <w:pPr>
        <w:pStyle w:val="TextBody"/>
        <w:bidi w:val="0"/>
        <w:spacing w:before="0" w:after="0"/>
        <w:ind w:left="28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Natural disasters or other catastrophic events could harm our operations.</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operations in the U.S., China and Taiwan could be subject to significant risk of natural disasters, including earthquakes, hurricanes, typhoons, flooding and tornadoes, as well as other catastrophic events, such as epidemics, cyberattacks,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cyberattack,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ability to retain or recruit key personnel could be adversely affected by the lack of available shares under our equity incentive plan. In addition, if this lack causes us to be unable to settle outstanding awards in shares and such awards must instead be settled in cash, such cash settlement could deplete our available cash, which could have an adverse effect on our business and financial condition.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success of our business and results of operations is dependent on our executive officers and other key personnel. Beginning in 2021, in order to improve our ability to retain and recruit such persons, as well as to better align our executive compensation program with the interests of our stockholders, we implemented a long-term incentive program under our Amended and Restated 2021 Equity Incentive Plan (the "2021 Plan") pursuant to which we grant performance-based equity awards that vest on the achievement of specified performance goals for a specified three-year period. These performance-based awards could be earned and become payable with respect to between 0% and 200% of the target number of shares based on the Company’s achievement of preset performance goals.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the Company is not able to obtain shareholder approval for additional shares of common stock under the 2021 Plan in the future that are sufficient to permit outstanding awards to be settled in shares, the Company may have to incur additional cash expenditures to settle such awards in cash in lieu of shares. This could impair the effectiveness of our long-term incentive program and negatively affect our ability to retain or recruit key personnel, and cash settlement in lieu of shares could have an adverse effect on our future results and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Legal and Regulatory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We are subject to governmental export and import controls that could subject us to liability or impair our ability to compete in international markets.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subject to export and import control laws, trade regulations, and other trade requirements that limit which products we sell and where and to whom we sell our products. Specifically, the BIS regulates the export of most commercial items and "dual-use" goods that may have both commercial and military applications. Our products are primarily classified under Export Control Classification Numbers (ECCN) 5A991, 6A995, and EAR99. Export Control Classification requirements are dependent upon an item’s technical characteristics and dictate the licensing requirements and permissible destination, end-use, end-users, and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and end-users could be restricted, which could adversely affect our business, financial condition, and results of operations.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New policy priorities may modify our import risks footprint affecting the flow of our products into the U.S.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Changes in our products,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cases, our business and the results of operations could be adversely affected.</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Our business could be negatively impacted as a result of shareholder activism.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The unfavorable outcome of any pending or future litigation or administrative action and expenses incurred in connection with litigation could result in financial losses or harm to our business. </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been, and in the future may be, subject to legal actions in the ordinary course of our operations, both domestically and internationally. There can be no assurances as to the favorable outcome of any litigation, arbitration or administrative action. In addition, it can be costly to defend such matters and these costs could negatively impact our financial results. Any litigation, arbitration, or other administrative action could result in substantial costs and divert our management’s attention from other business concerns, which could seriously harm our business.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Risks Related to Our Indebtedness and Future Financing </w:t>
      </w:r>
    </w:p>
    <w:p>
      <w:pPr>
        <w:pStyle w:val="TextBody"/>
        <w:bidi w:val="0"/>
        <w:spacing w:before="0" w:after="0"/>
        <w:ind w:left="0" w:right="0" w:hanging="0"/>
        <w:jc w:val="both"/>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shd w:fill="FFFFFF" w:val="clear"/>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r>
        <w:rPr>
          <w:rFonts w:ascii="Times New Roman;Times;serif" w:hAnsi="Times New Roman;Times;serif"/>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 xml:space="preserve">December 31, 2025, we had approximately $163.8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 </w:t>
      </w:r>
    </w:p>
    <w:p>
      <w:pPr>
        <w:pStyle w:val="TextBody"/>
        <w:bidi w:val="0"/>
        <w:spacing w:before="0" w:after="0"/>
        <w:jc w:val="both"/>
        <w:rPr/>
      </w:pPr>
      <w:r>
        <w:rPr/>
        <w:t xml:space="preserve">  </w:t>
      </w:r>
    </w:p>
    <w:tbl>
      <w:tblPr>
        <w:tblW w:w="6175" w:type="dxa"/>
        <w:jc w:val="left"/>
        <w:tblInd w:w="0" w:type="dxa"/>
        <w:tblLayout w:type="fixed"/>
        <w:tblCellMar>
          <w:top w:w="0" w:type="dxa"/>
          <w:left w:w="0" w:type="dxa"/>
          <w:bottom w:w="0" w:type="dxa"/>
          <w:right w:w="0" w:type="dxa"/>
        </w:tblCellMar>
      </w:tblPr>
      <w:tblGrid>
        <w:gridCol w:w="60"/>
        <w:gridCol w:w="80"/>
        <w:gridCol w:w="603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603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increasing our vulnerability to adverse economic and industry conditions;</w:t>
            </w:r>
          </w:p>
        </w:tc>
      </w:tr>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283"/>
              <w:jc w:val="left"/>
              <w:rPr/>
            </w:pPr>
            <w:r>
              <w:rPr/>
              <w:t> </w:t>
            </w:r>
          </w:p>
        </w:tc>
      </w:tr>
    </w:tbl>
    <w:tbl>
      <w:tblPr>
        <w:tblW w:w="4270" w:type="dxa"/>
        <w:jc w:val="left"/>
        <w:tblInd w:w="0" w:type="dxa"/>
        <w:tblLayout w:type="fixed"/>
        <w:tblCellMar>
          <w:top w:w="0" w:type="dxa"/>
          <w:left w:w="0" w:type="dxa"/>
          <w:bottom w:w="0" w:type="dxa"/>
          <w:right w:w="0" w:type="dxa"/>
        </w:tblCellMar>
      </w:tblPr>
      <w:tblGrid>
        <w:gridCol w:w="60"/>
        <w:gridCol w:w="80"/>
        <w:gridCol w:w="4130"/>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413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limiting our ability to obtain additional financing;</w:t>
            </w:r>
          </w:p>
        </w:tc>
      </w:tr>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requiring the dedication of a substantial portion of our cash flow from operations to service our indebtedness, which will reduce the amount of cash available for other purposes;</w:t>
            </w:r>
          </w:p>
        </w:tc>
      </w:tr>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5860" w:type="dxa"/>
        <w:jc w:val="left"/>
        <w:tblInd w:w="0" w:type="dxa"/>
        <w:tblLayout w:type="fixed"/>
        <w:tblCellMar>
          <w:top w:w="0" w:type="dxa"/>
          <w:left w:w="0" w:type="dxa"/>
          <w:bottom w:w="0" w:type="dxa"/>
          <w:right w:w="0" w:type="dxa"/>
        </w:tblCellMar>
      </w:tblPr>
      <w:tblGrid>
        <w:gridCol w:w="60"/>
        <w:gridCol w:w="80"/>
        <w:gridCol w:w="5720"/>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57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limiting our flexibility to plan for, or react to, changes in our business;</w:t>
            </w:r>
          </w:p>
        </w:tc>
      </w:tr>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diluting the interests of our existing stockholders as a result of issuing shares of our common stock upon conversion of the 2030 Notes; and</w:t>
            </w:r>
          </w:p>
        </w:tc>
      </w:tr>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1006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placing us at a possible competitive disadvantage with competitors that are less leveraged than us or have better access to capital.</w:t>
            </w:r>
          </w:p>
        </w:tc>
      </w:tr>
    </w:tbl>
    <w:p>
      <w:pPr>
        <w:pStyle w:val="TextBody"/>
        <w:bidi w:val="0"/>
        <w:spacing w:before="0" w:after="0"/>
        <w:ind w:left="0" w:right="0" w:hanging="0"/>
        <w:jc w:val="both"/>
        <w:rPr/>
      </w:pPr>
      <w:r>
        <w:rPr/>
        <w:t xml:space="preserve">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Our business may not generate sufficient funds, and we may otherwise be unable to maintain sufficient cash reserves, to pay amounts due under our indebtedness, including the 2030 Notes, and our cash needs may increase in the future. In addition, our existing credit facilities in Asia and the U.S. contain,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r>
        <w:rPr>
          <w:rFonts w:ascii="Times New Roman;Times;serif" w:hAnsi="Times New Roman;Times;serif"/>
          <w:sz w:val="20"/>
        </w:rPr>
        <w:t xml:space="preserve">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Our loan agreements contain restrictive covenants that may adversely affect our ability to conduct our business.</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have lending arrangements with several financial institutions, including credit facilities with several lending institutions in Asia, and BOK Financial in the U.S. Our loan agreements governing our long-term debt obligations in Asia and the U.S. contain certain financial and operating covenants that limit our management’s discretion with respect to certain business matters. Among other things, these covenants restrict our ability to incur additional debt, create liens or other encumbrances, change the nature of our business, sell or otherwise dispose of assets and merge or consolidate with other entities.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A breach of any of the covenants under our loan agreements, or a failure to pay interest or indebtedness when due under any of our credit facilities could result in a variety of adverse consequences, including the acceleration of our indebtedness.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may not be able to obtain additional capital when desired, on favorable terms or at all.</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pStyle w:val="TextBody"/>
        <w:bidi w:val="0"/>
        <w:spacing w:before="0" w:after="0"/>
        <w:ind w:left="1440" w:right="0" w:hanging="720"/>
        <w:jc w:val="both"/>
        <w:rPr>
          <w:shd w:fill="FFFFFF" w:val="clear"/>
        </w:rPr>
      </w:pPr>
      <w:r>
        <w:rPr>
          <w:shd w:fill="FFFFFF" w:val="clear"/>
        </w:rPr>
        <w:t>  </w:t>
      </w:r>
    </w:p>
    <w:tbl>
      <w:tblPr>
        <w:tblW w:w="3485" w:type="dxa"/>
        <w:jc w:val="left"/>
        <w:tblInd w:w="0" w:type="dxa"/>
        <w:tblLayout w:type="fixed"/>
        <w:tblCellMar>
          <w:top w:w="0" w:type="dxa"/>
          <w:left w:w="0" w:type="dxa"/>
          <w:bottom w:w="0" w:type="dxa"/>
          <w:right w:w="0" w:type="dxa"/>
        </w:tblCellMar>
      </w:tblPr>
      <w:tblGrid>
        <w:gridCol w:w="60"/>
        <w:gridCol w:w="135"/>
        <w:gridCol w:w="329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329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expansion of research and development;</w:t>
            </w:r>
          </w:p>
        </w:tc>
      </w:tr>
    </w:tbl>
    <w:p>
      <w:pPr>
        <w:pStyle w:val="TextBody"/>
        <w:bidi w:val="0"/>
        <w:spacing w:before="0" w:after="0"/>
        <w:ind w:left="1440" w:right="0" w:hanging="0"/>
        <w:jc w:val="both"/>
        <w:rPr>
          <w:shd w:fill="FFFFFF" w:val="clear"/>
        </w:rPr>
      </w:pPr>
      <w:r>
        <w:rPr>
          <w:shd w:fill="FFFFFF" w:val="clear"/>
        </w:rPr>
        <w:t>  </w:t>
      </w:r>
    </w:p>
    <w:tbl>
      <w:tblPr>
        <w:tblW w:w="3640" w:type="dxa"/>
        <w:jc w:val="left"/>
        <w:tblInd w:w="0" w:type="dxa"/>
        <w:tblLayout w:type="fixed"/>
        <w:tblCellMar>
          <w:top w:w="0" w:type="dxa"/>
          <w:left w:w="0" w:type="dxa"/>
          <w:bottom w:w="0" w:type="dxa"/>
          <w:right w:w="0" w:type="dxa"/>
        </w:tblCellMar>
      </w:tblPr>
      <w:tblGrid>
        <w:gridCol w:w="75"/>
        <w:gridCol w:w="80"/>
        <w:gridCol w:w="3485"/>
      </w:tblGrid>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4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expansion of manufacturing capabilities;</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8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any outstanding indebtedness;</w:t>
            </w:r>
          </w:p>
        </w:tc>
      </w:tr>
    </w:tbl>
    <w:p>
      <w:pPr>
        <w:pStyle w:val="TextBody"/>
        <w:bidi w:val="0"/>
        <w:spacing w:before="0" w:after="0"/>
        <w:ind w:left="720" w:right="0" w:hanging="0"/>
        <w:jc w:val="both"/>
        <w:rPr>
          <w:shd w:fill="FFFFFF" w:val="clear"/>
        </w:rPr>
      </w:pPr>
      <w:r>
        <w:rPr>
          <w:shd w:fill="FFFFFF" w:val="clear"/>
        </w:rPr>
        <w:t>  </w:t>
      </w:r>
    </w:p>
    <w:tbl>
      <w:tblPr>
        <w:tblW w:w="5135" w:type="dxa"/>
        <w:jc w:val="left"/>
        <w:tblInd w:w="0" w:type="dxa"/>
        <w:tblLayout w:type="fixed"/>
        <w:tblCellMar>
          <w:top w:w="0" w:type="dxa"/>
          <w:left w:w="0" w:type="dxa"/>
          <w:bottom w:w="0" w:type="dxa"/>
          <w:right w:w="0" w:type="dxa"/>
        </w:tblCellMar>
      </w:tblPr>
      <w:tblGrid>
        <w:gridCol w:w="60"/>
        <w:gridCol w:w="135"/>
        <w:gridCol w:w="494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494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hiring of additional technical, sales and other personnel; and</w:t>
            </w:r>
          </w:p>
        </w:tc>
      </w:tr>
    </w:tbl>
    <w:p>
      <w:pPr>
        <w:pStyle w:val="TextBody"/>
        <w:bidi w:val="0"/>
        <w:spacing w:before="0" w:after="0"/>
        <w:ind w:left="1440" w:right="0" w:hanging="0"/>
        <w:jc w:val="both"/>
        <w:rPr>
          <w:shd w:fill="FFFFFF" w:val="clear"/>
        </w:rPr>
      </w:pPr>
      <w:r>
        <w:rPr>
          <w:shd w:fill="FFFFFF" w:val="clear"/>
        </w:rPr>
        <w:t>  </w:t>
      </w:r>
    </w:p>
    <w:tbl>
      <w:tblPr>
        <w:tblW w:w="3665" w:type="dxa"/>
        <w:jc w:val="left"/>
        <w:tblInd w:w="0" w:type="dxa"/>
        <w:tblLayout w:type="fixed"/>
        <w:tblCellMar>
          <w:top w:w="0" w:type="dxa"/>
          <w:left w:w="0" w:type="dxa"/>
          <w:bottom w:w="0" w:type="dxa"/>
          <w:right w:w="0" w:type="dxa"/>
        </w:tblCellMar>
      </w:tblPr>
      <w:tblGrid>
        <w:gridCol w:w="60"/>
        <w:gridCol w:w="135"/>
        <w:gridCol w:w="347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shd w:fill="FFFFFF" w:val="clear"/>
              </w:rPr>
            </w:pPr>
            <w:r>
              <w:rPr>
                <w:shd w:fill="FFFFFF" w:val="clear"/>
              </w:rPr>
              <w:noBreakHyphen/>
              <w:t> </w:t>
            </w:r>
          </w:p>
        </w:tc>
        <w:tc>
          <w:tcPr>
            <w:tcW w:w="34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acquisitions of complementary businesses.</w:t>
            </w:r>
          </w:p>
        </w:tc>
      </w:tr>
    </w:tbl>
    <w:p>
      <w:pPr>
        <w:pStyle w:val="TextBody"/>
        <w:bidi w:val="0"/>
        <w:spacing w:before="0" w:after="0"/>
        <w:ind w:left="1440" w:right="0" w:hanging="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pStyle w:val="TextBody"/>
        <w:bidi w:val="0"/>
        <w:spacing w:before="0" w:after="0"/>
        <w:ind w:left="0" w:right="0" w:hanging="0"/>
        <w:jc w:val="left"/>
        <w:rPr/>
      </w:pPr>
      <w:r>
        <w:rPr/>
        <w:t xml:space="preserve">   </w:t>
      </w:r>
      <w:r>
        <w:rPr>
          <w:shd w:fill="FFFFFF" w:val="clea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Risks Related to Data Breaches and Network Infrastructures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Data breaches and cyberattacks could compromise our operations, our customers’ operations, or the operations of our contract manufacturers upon whom we rely, and cause significant damage to our business and reputation.</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ordinary course of our business, we and our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ind w:left="0" w:right="0" w:firstLine="720"/>
        <w:jc w:val="left"/>
        <w:rPr>
          <w:sz w:val="20"/>
        </w:rPr>
      </w:pPr>
      <w:r>
        <w:rPr>
          <w:sz w:val="20"/>
          <w:shd w:fill="FFFFFF" w:val="clear"/>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w:t>
      </w:r>
      <w:r>
        <w:rPr>
          <w:sz w:val="20"/>
        </w:rPr>
        <w:t xml:space="preserve"> </w:t>
      </w:r>
      <w:r>
        <w:rPr>
          <w:sz w:val="20"/>
          <w:shd w:fill="FFFFFF" w:val="clear"/>
        </w:rPr>
        <w:t> </w:t>
      </w:r>
      <w:r>
        <w:rPr>
          <w:sz w:val="20"/>
        </w:rPr>
        <w:t xml:space="preserve"> </w:t>
      </w:r>
      <w:r>
        <w:rPr>
          <w:sz w:val="20"/>
          <w:shd w:fill="FFFFFF" w:val="clear"/>
        </w:rPr>
        <w:t>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We may be subject to disruptions or failures in information technology systems and network infrastructures that could have a material adverse effect on our business and financial condition.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 To manage our growth and our increasingly complex business operations, we may need to upgrade systems and procedures, which requires management time and may result in significant additional expense. For example, we upgraded our enterprise resource planning system in fiscal 2025 in order to accommodate our expanding operations. We cannot be certain that we will institute, in a timely or efficient manner or at all, the improvements to our managerial, operational and financial systems and procedures necessary to support our anticipated increased levels of operations. Problems associated with, or disruptions resulting from, any improvement or expansion of our operational and financial systems could adversely affect our relationships with our suppliers, manufacturers, resellers and customers, inhibit our ability to expand or take advantage of market opportunities, cause harm to our reputation, result in errors in our financial and other reporting, and affect our ability to maintain an effective internal control environment and meet our external reporting obligations, any of which could harm our business and operating results and affect our stock price.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Risks Related to International Trade and Operations</w:t>
      </w:r>
    </w:p>
    <w:p>
      <w:pPr>
        <w:pStyle w:val="TextBody"/>
        <w:bidi w:val="0"/>
        <w:ind w:left="0" w:right="0" w:firstLine="720"/>
        <w:jc w:val="both"/>
        <w:rPr/>
      </w:pPr>
      <w:r>
        <w:rPr/>
        <w:t xml:space="preserv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Changes in U.S. and international trade policies, particularly regarding China, may materially and adversely impact our business and operating results.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U.S. government has made statements and taken certain actions that have led and may lead to further changes to U.S. and international trade policies, including imposing additional tariffs on certain products manufactured abroad, with a specific focus on China. Since the beginning of 2018, increasing rhetoric coupled with legislative, administrative, or executive action, from several U.S. and foreign leaders has led to the imposition of increased tariffs on imports of certain materials and products. Five rounds of U.S. tariffs on imports from China (respectively the "U.S. Tariffs on China Imports") went into effect on July 2018, August 2018, September 2018, September 2019, and February 2020. In 2025, following an Executive order, all Chinese-origin products became subject to additional U.S. "Fentanyl" tariffs. "Reciprocal tariffs" were also implemented on Chinese and Taiwanese origin goods. The Chinese government has, in turn, issued reciprocal tariffs on U.S. goods. </w:t>
      </w:r>
      <w:r>
        <w:rPr>
          <w:rFonts w:ascii="Times New Roman;Times;serif" w:hAnsi="Times New Roman;Times;serif"/>
          <w:sz w:val="20"/>
        </w:rPr>
        <w:t xml:space="preserve">In February 2026, the U.S. Supreme Court held that that tariffs imposed under the IEEPA were unlawful. The U.S. government indicated that it may pursue additional or replacement tariffs under alternative legal authorities, including temporary measures under Section 122 of the Trade Act of 1974. </w:t>
      </w:r>
      <w:r>
        <w:rPr>
          <w:rFonts w:ascii="Times New Roman;Times;serif" w:hAnsi="Times New Roman;Times;serif"/>
          <w:sz w:val="20"/>
          <w:shd w:fill="FFFFFF" w:val="clear"/>
        </w:rPr>
        <w:t>In addition to country-specific tariffs, sectoral tariffs have come into effect targeting raw materials such as aluminum and rare earth minerals, as well as some finished and semifinished goods, such as semiconductors.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Due to rapid changes to U.S. import laws and applicable duties the Company faces a variety of import-related risk. Because of the political nature of U.S. trade policy, it is unknown whether and to what extent new tariffs (or other new laws or regulations) will be adopted, the duration of any existing punitive tariffs, or the effect of U.S. trade policy on the Company or our industry. A significant portion of our manufacturing operations are based in Ningbo, China; therefore, there could be material adverse effects on our business, financial condition, and/or cash flow if any new tariffs, legislation, regulations, or executive orders are implemented, or if existing trade agreements are renegotiated or if China or other affected countries take further retaliatory trade measures.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Furthermore, the implementation of tariffs both globally and between the U.S. and China specifically carries the risk of negatively impacting China’s overall economic condition, which could negatively affect our business. Bilateral tariffs could result in a decrease in the sales of our products to customers located in China or other customers selling to Chinese end users.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ability to export U.S.-made products is primarily subject to the jurisdiction of the Bureau of Industry and Security (BIS) of the U.S. Department of Commerce. Because the Company's focus on telecommunications products is a priority trade issue for BIS, the Company actively monitors licensing and export policy for our products.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Significant changes to existing international trade agreements could also lead to sourcing or logistics disruption resulting from import delays or the imposition of increased tariffs on our sourcing partners.  For example, the Chinese government could require the use of local suppliers, compel companies that do business in China to partner with local companies, or otherwise provide additional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operations.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We face a variety of risks associated with our international sales and operations.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Trade-related government actions by the U.S., China or other countries that impose barriers or restrictions that would impact our ability to sell or ship products to customers or potential customers may have a negative impact on our financial condition and operations. We cannot predict the actions government entities may take in this context and we may be unable to quickly or effectively react to government actions that restrict our ability to sell to certain customers or those in certain jurisdictions. Government actions that affect our customers' ability to sell products or access critical elements of their supply chains may result in a decreased demand for their products, which may consequently reduce their demand for our products.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international revenue and operations are subject to several material risks, including:  </w:t>
      </w:r>
    </w:p>
    <w:p>
      <w:pPr>
        <w:pStyle w:val="TextBody"/>
        <w:bidi w:val="0"/>
        <w:spacing w:before="0" w:after="0"/>
        <w:ind w:left="0" w:right="0" w:firstLine="720"/>
        <w:jc w:val="both"/>
        <w:rPr/>
      </w:pPr>
      <w:r>
        <w:rPr/>
        <w:t> </w:t>
      </w:r>
    </w:p>
    <w:tbl>
      <w:tblPr>
        <w:tblW w:w="7150" w:type="dxa"/>
        <w:jc w:val="left"/>
        <w:tblInd w:w="0" w:type="dxa"/>
        <w:tblLayout w:type="fixed"/>
        <w:tblCellMar>
          <w:top w:w="0" w:type="dxa"/>
          <w:left w:w="0" w:type="dxa"/>
          <w:bottom w:w="0" w:type="dxa"/>
          <w:right w:w="0" w:type="dxa"/>
        </w:tblCellMar>
      </w:tblPr>
      <w:tblGrid>
        <w:gridCol w:w="60"/>
        <w:gridCol w:w="95"/>
        <w:gridCol w:w="6995"/>
      </w:tblGrid>
      <w:tr>
        <w:trPr/>
        <w:tc>
          <w:tcPr>
            <w:tcW w:w="60"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shd w:fill="FFFFFF" w:val="clear"/>
              </w:rPr>
            </w:pPr>
            <w:r>
              <w:rPr>
                <w:shd w:fill="FFFFFF" w:val="clear"/>
              </w:rPr>
              <w:t>-</w:t>
            </w:r>
          </w:p>
        </w:tc>
        <w:tc>
          <w:tcPr>
            <w:tcW w:w="699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in staffing, managing and supporting operations in more than one country;</w:t>
            </w:r>
          </w:p>
        </w:tc>
      </w:tr>
    </w:tbl>
    <w:p>
      <w:pPr>
        <w:pStyle w:val="TextBody"/>
        <w:bidi w:val="0"/>
        <w:spacing w:before="0" w:after="0"/>
        <w:ind w:left="1440" w:right="0" w:hanging="0"/>
        <w:jc w:val="both"/>
        <w:rPr/>
      </w:pPr>
      <w:r>
        <w:rPr/>
        <w:t> </w:t>
      </w:r>
    </w:p>
    <w:tbl>
      <w:tblPr>
        <w:tblW w:w="7715" w:type="dxa"/>
        <w:jc w:val="left"/>
        <w:tblInd w:w="0" w:type="dxa"/>
        <w:tblLayout w:type="fixed"/>
        <w:tblCellMar>
          <w:top w:w="0" w:type="dxa"/>
          <w:left w:w="0" w:type="dxa"/>
          <w:bottom w:w="0" w:type="dxa"/>
          <w:right w:w="0" w:type="dxa"/>
        </w:tblCellMar>
      </w:tblPr>
      <w:tblGrid>
        <w:gridCol w:w="60"/>
        <w:gridCol w:w="75"/>
        <w:gridCol w:w="758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758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in enforcing agreements and collecting receivables through foreign legal systems;</w:t>
            </w:r>
          </w:p>
        </w:tc>
      </w:tr>
    </w:tbl>
    <w:p>
      <w:pPr>
        <w:pStyle w:val="TextBody"/>
        <w:bidi w:val="0"/>
        <w:spacing w:before="0" w:after="0"/>
        <w:ind w:left="1440" w:right="0" w:hanging="0"/>
        <w:jc w:val="both"/>
        <w:rPr/>
      </w:pPr>
      <w:r>
        <w:rPr/>
        <w:t> </w:t>
      </w:r>
    </w:p>
    <w:tbl>
      <w:tblPr>
        <w:tblW w:w="5945" w:type="dxa"/>
        <w:jc w:val="left"/>
        <w:tblInd w:w="0" w:type="dxa"/>
        <w:tblLayout w:type="fixed"/>
        <w:tblCellMar>
          <w:top w:w="0" w:type="dxa"/>
          <w:left w:w="0" w:type="dxa"/>
          <w:bottom w:w="0" w:type="dxa"/>
          <w:right w:w="0" w:type="dxa"/>
        </w:tblCellMar>
      </w:tblPr>
      <w:tblGrid>
        <w:gridCol w:w="60"/>
        <w:gridCol w:w="75"/>
        <w:gridCol w:w="581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581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fewer legal protections for intellectual property in foreign jurisdictions;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foreign and U.S. taxation issues and international trade barriers, including the adoption or expansion of governmental trade tariffs, export controls, and fluctuating changes to end-use and end-user rules;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in obtaining any necessary governmental authorizations for the export of our products to certain foreign jurisdictions;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fluctuations in foreign economies including the impact of recessionary environments and inflation in the United States and other economies where we do business;</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fluctuations in the value of foreign currencies and interest rates, including the impact of recessionary environments and inflation in the United States and other economies where we do business;</w:t>
            </w:r>
          </w:p>
        </w:tc>
      </w:tr>
    </w:tbl>
    <w:p>
      <w:pPr>
        <w:pStyle w:val="TextBody"/>
        <w:bidi w:val="0"/>
        <w:spacing w:before="0" w:after="0"/>
        <w:ind w:left="1440" w:right="0" w:hanging="0"/>
        <w:jc w:val="both"/>
        <w:rPr/>
      </w:pPr>
      <w:r>
        <w:rPr/>
        <w:t> </w:t>
      </w:r>
    </w:p>
    <w:tbl>
      <w:tblPr>
        <w:tblW w:w="2420" w:type="dxa"/>
        <w:jc w:val="left"/>
        <w:tblInd w:w="0" w:type="dxa"/>
        <w:tblLayout w:type="fixed"/>
        <w:tblCellMar>
          <w:top w:w="0" w:type="dxa"/>
          <w:left w:w="0" w:type="dxa"/>
          <w:bottom w:w="0" w:type="dxa"/>
          <w:right w:w="0" w:type="dxa"/>
        </w:tblCellMar>
      </w:tblPr>
      <w:tblGrid>
        <w:gridCol w:w="60"/>
        <w:gridCol w:w="75"/>
        <w:gridCol w:w="228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22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trade and travel restrictions;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domestic and international economic or political changes, hostilities and other disruptions in regions where we currently operate or may operate in the future;</w:t>
            </w:r>
          </w:p>
        </w:tc>
      </w:tr>
    </w:tbl>
    <w:p>
      <w:pPr>
        <w:pStyle w:val="TextBody"/>
        <w:bidi w:val="0"/>
        <w:spacing w:before="0" w:after="0"/>
        <w:ind w:left="144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difficulties and increased expenses in complying with a variety of U.S. and foreign laws, regulations, and trade standards, including modifications of the U.S. import regime, the Foreign Corrupt Practices Act and various modifications by the BIS to export policy; and</w:t>
            </w:r>
          </w:p>
        </w:tc>
      </w:tr>
    </w:tbl>
    <w:p>
      <w:pPr>
        <w:pStyle w:val="TextBody"/>
        <w:bidi w:val="0"/>
        <w:spacing w:before="0" w:after="0"/>
        <w:ind w:left="144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different and changing legal and regulatory requirements in the jurisdictions we currently operate or may operate in the future.</w:t>
            </w:r>
          </w:p>
        </w:tc>
      </w:tr>
    </w:tbl>
    <w:p>
      <w:pPr>
        <w:pStyle w:val="TextBody"/>
        <w:bidi w:val="0"/>
        <w:spacing w:before="0" w:after="0"/>
        <w:ind w:left="1440" w:right="0" w:hanging="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Negative developments in any of these factors in China, Taiwan, the U.S.,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business operations conducted in China and Taiwan are important to our success. A substantial portion of our property, plants, and equipment is located in China and Taiwan. We expect to make further investments in Taiwan in the future. Therefore, our business, financial condition, results of operations and prospects are subject to economic, political, legal, and social events and developments in Asia. Factors affecting military, political or economic conditions between China and Taiwan could have a material adverse effect on our financial condition and results of operations, as well as the market price and the liquidity of our common shares.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Risks Related to Our Operations in China</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business operations conducted in China are critical to our success. A total of $262.1 million, $111.8 million and $43.3 million or 57.5%, 44.8% and 19.9% of our revenue in the years ended </w:t>
      </w:r>
      <w:r>
        <w:rPr>
          <w:rFonts w:ascii="Times New Roman;Times;serif" w:hAnsi="Times New Roman;Times;serif"/>
          <w:sz w:val="20"/>
        </w:rPr>
        <w:t>December 31, 2025, 2024 and 2023</w:t>
      </w:r>
      <w:r>
        <w:rPr>
          <w:rFonts w:ascii="Times New Roman;Times;serif" w:hAnsi="Times New Roman;Times;serif"/>
          <w:sz w:val="20"/>
          <w:shd w:fill="FFFFFF" w:val="clear"/>
        </w:rPr>
        <w:t xml:space="preserve"> was attributable to our product manufactured at our plant in China, respectively. Additionally, a substantial portion of our property, plant and equipment, 42.8%, 46.9% and 43.0%, as of </w:t>
      </w:r>
      <w:r>
        <w:rPr>
          <w:rFonts w:ascii="Times New Roman;Times;serif" w:hAnsi="Times New Roman;Times;serif"/>
          <w:sz w:val="20"/>
        </w:rPr>
        <w:t>December 31, 2025, 2024 and 2023</w:t>
      </w:r>
      <w:r>
        <w:rPr>
          <w:rFonts w:ascii="Times New Roman;Times;serif" w:hAnsi="Times New Roman;Times;serif"/>
          <w:sz w:val="20"/>
          <w:shd w:fill="FFFFFF" w:val="clear"/>
        </w:rPr>
        <w:t>, was located in China, respectively. Therefore, our business, financial condition, results of operations and prospects are to a significant degree subject to economic, political, legal, and social events and developments in China.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shd w:fill="FFFFFF" w:val="clear"/>
        </w:rPr>
        <w:t>Adverse changes in economic and political policies in China, or Chinese laws or regulations could have a material adverse effect on business conditions and the overall economic growth of China, which could adversely affect our business.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r>
        <w:rPr>
          <w:rFonts w:ascii="Times New Roman;Times;serif" w:hAnsi="Times New Roman;Times;serif"/>
          <w:sz w:val="20"/>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Furthermore, while China’s economy has experienced rapid growth in the past 30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shd w:fill="FFFFFF" w:val="clear"/>
        </w:rPr>
        <w:t>The turnover of direct labor in manufacturing industries in China is high, which could adversely affect our production, shipments and results of operations.</w:t>
      </w:r>
      <w:r>
        <w:rPr>
          <w:rFonts w:ascii="Times New Roman;Times;serif" w:hAnsi="Times New Roman;Times;serif"/>
          <w:sz w:val="20"/>
        </w:rPr>
        <w:t xml:space="preserve"> </w:t>
      </w:r>
    </w:p>
    <w:p>
      <w:pPr>
        <w:pStyle w:val="TextBody"/>
        <w:bidi w:val="0"/>
        <w:spacing w:before="0" w:after="0"/>
        <w:ind w:left="0" w:right="0" w:hanging="0"/>
        <w:jc w:val="left"/>
        <w:rPr>
          <w:shd w:fill="FFFFFF" w:val="clear"/>
        </w:rPr>
      </w:pPr>
      <w:r>
        <w:rPr>
          <w:shd w:fill="FFFFFF" w:val="clea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shd w:fill="FFFFFF" w:val="clear"/>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b/>
          <w:i/>
          <w:sz w:val="20"/>
          <w:shd w:fill="FFFFFF" w:val="clear"/>
        </w:rPr>
        <w:t>Chinese regulation of loans to and direct investment by offshore holding companies in China entities may delay or prevent us from making loans or additional capital contributions to our China subsidiary.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r>
        <w:rPr>
          <w:rFonts w:ascii="Times New Roman;Times;serif" w:hAnsi="Times New Roman;Times;serif"/>
          <w:sz w:val="20"/>
        </w:rPr>
        <w:t xml:space="preserve"> </w:t>
      </w:r>
    </w:p>
    <w:p>
      <w:pPr>
        <w:pStyle w:val="TextBody"/>
        <w:bidi w:val="0"/>
        <w:spacing w:before="0" w:after="0"/>
        <w:jc w:val="left"/>
        <w:rPr/>
      </w:pPr>
      <w:r>
        <w:rPr>
          <w:shd w:fill="FFFFFF" w:val="clear"/>
        </w:rPr>
        <w:t> </w:t>
      </w: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r>
        <w:rPr>
          <w:rFonts w:ascii="Times New Roman;Times;serif" w:hAnsi="Times New Roman;Times;serif"/>
          <w:sz w:val="20"/>
        </w:rPr>
        <w:t xml:space="preserve"> </w:t>
      </w:r>
    </w:p>
    <w:p>
      <w:pPr>
        <w:pStyle w:val="TextBody"/>
        <w:bidi w:val="0"/>
        <w:ind w:left="0" w:right="0" w:firstLine="720"/>
        <w:jc w:val="left"/>
        <w:rPr/>
      </w:pPr>
      <w:r>
        <w:rPr/>
        <w:t xml:space="preserv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Our China subsidiary is subject to Chinese labor laws and regulations, and Chinese labor laws may increase our operating costs in China.</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r>
        <w:rPr>
          <w:rFonts w:ascii="Times New Roman;Times;serif" w:hAnsi="Times New Roman;Times;serif"/>
          <w:sz w:val="20"/>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shd w:fill="FFFFFF" w:val="clear"/>
        </w:rPr>
        <w:t>Risks Related to Intellectual Property Matters </w:t>
      </w:r>
      <w:r>
        <w:rPr>
          <w:rFonts w:ascii="Times New Roman;Times;serif" w:hAnsi="Times New Roman;Times;serif"/>
          <w:sz w:val="20"/>
        </w:rPr>
        <w:t xml:space="preserve"> </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If we fail to protect, or incur significant costs in defending, our intellectual property and other proprietary rights, our business and results of operations could be materially harmed.</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taken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We may be involved in intellectual property disputes in the future, which could divert management’s attention, cause us to incur significant costs and prevent us from selling or using the challenged technology.</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obtain from a third party claiming infringement a license to the relevant technology, which may not be available on reasonable terms, or at all;</w:t>
            </w:r>
          </w:p>
        </w:tc>
      </w:tr>
    </w:tbl>
    <w:p>
      <w:pPr>
        <w:pStyle w:val="TextBody"/>
        <w:bidi w:val="0"/>
        <w:spacing w:before="0" w:after="0"/>
        <w:ind w:left="1080" w:right="0" w:hanging="0"/>
        <w:jc w:val="both"/>
        <w:rPr/>
      </w:pPr>
      <w:r>
        <w:rPr/>
        <w:t> </w:t>
      </w:r>
    </w:p>
    <w:tbl>
      <w:tblPr>
        <w:tblW w:w="9035" w:type="dxa"/>
        <w:jc w:val="left"/>
        <w:tblInd w:w="0" w:type="dxa"/>
        <w:tblLayout w:type="fixed"/>
        <w:tblCellMar>
          <w:top w:w="0" w:type="dxa"/>
          <w:left w:w="0" w:type="dxa"/>
          <w:bottom w:w="0" w:type="dxa"/>
          <w:right w:w="0" w:type="dxa"/>
        </w:tblCellMar>
      </w:tblPr>
      <w:tblGrid>
        <w:gridCol w:w="60"/>
        <w:gridCol w:w="75"/>
        <w:gridCol w:w="890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stop manufacturing, selling, incorporating or using our products that use the challenged intellectual property;</w:t>
            </w:r>
          </w:p>
        </w:tc>
      </w:tr>
    </w:tbl>
    <w:p>
      <w:pPr>
        <w:pStyle w:val="TextBody"/>
        <w:bidi w:val="0"/>
        <w:spacing w:before="0" w:after="0"/>
        <w:ind w:left="0" w:right="0" w:hanging="0"/>
        <w:jc w:val="both"/>
        <w:rPr/>
      </w:pPr>
      <w:r>
        <w:rPr/>
        <w:t> </w:t>
      </w:r>
    </w:p>
    <w:tbl>
      <w:tblPr>
        <w:tblW w:w="3215" w:type="dxa"/>
        <w:jc w:val="left"/>
        <w:tblInd w:w="0" w:type="dxa"/>
        <w:tblLayout w:type="fixed"/>
        <w:tblCellMar>
          <w:top w:w="0" w:type="dxa"/>
          <w:left w:w="0" w:type="dxa"/>
          <w:bottom w:w="0" w:type="dxa"/>
          <w:right w:w="0" w:type="dxa"/>
        </w:tblCellMar>
      </w:tblPr>
      <w:tblGrid>
        <w:gridCol w:w="60"/>
        <w:gridCol w:w="75"/>
        <w:gridCol w:w="308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pay substantial monetary damages; or</w:t>
            </w:r>
          </w:p>
        </w:tc>
      </w:tr>
    </w:tbl>
    <w:p>
      <w:pPr>
        <w:pStyle w:val="TextBody"/>
        <w:bidi w:val="0"/>
        <w:spacing w:before="0" w:after="0"/>
        <w:ind w:left="0" w:right="0" w:hanging="0"/>
        <w:jc w:val="both"/>
        <w:rPr/>
      </w:pPr>
      <w:r>
        <w:rPr/>
        <w:t> </w:t>
      </w:r>
    </w:p>
    <w:tbl>
      <w:tblPr>
        <w:tblW w:w="9935" w:type="dxa"/>
        <w:jc w:val="left"/>
        <w:tblInd w:w="0" w:type="dxa"/>
        <w:tblLayout w:type="fixed"/>
        <w:tblCellMar>
          <w:top w:w="0" w:type="dxa"/>
          <w:left w:w="0" w:type="dxa"/>
          <w:bottom w:w="0" w:type="dxa"/>
          <w:right w:w="0" w:type="dxa"/>
        </w:tblCellMar>
      </w:tblPr>
      <w:tblGrid>
        <w:gridCol w:w="60"/>
        <w:gridCol w:w="75"/>
        <w:gridCol w:w="980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980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expend significant resources to redesign the products that use the technology and to develop non-infringing technology.</w:t>
            </w:r>
          </w:p>
        </w:tc>
      </w:tr>
    </w:tbl>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Any of these actions could result in a substantial reduction in our revenue and could result in losses over an extended period of time.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Risks Related to Our Common Stock</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Our stock price has been and is likely to be volatile.</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the past, many companies that have experienced volatility in the market price of their stock have been subject to securities class action litigation. We have been and may become the target of this type of litigation in the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Our charter documents, stock incentive plans and Delaware law could prevent a takeover that stockholders consider favorable and could also reduce the market price of our stock.</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pStyle w:val="TextBody"/>
        <w:bidi w:val="0"/>
        <w:spacing w:before="0" w:after="0"/>
        <w:ind w:left="1440" w:right="0" w:hanging="720"/>
        <w:jc w:val="both"/>
        <w:rPr>
          <w:shd w:fill="FFFFFF" w:val="clear"/>
        </w:rPr>
      </w:pPr>
      <w:r>
        <w:rPr>
          <w:shd w:fill="FFFFFF" w:val="clear"/>
        </w:rPr>
        <w:t>  </w:t>
      </w:r>
    </w:p>
    <w:tbl>
      <w:tblPr>
        <w:tblW w:w="6320" w:type="dxa"/>
        <w:jc w:val="left"/>
        <w:tblInd w:w="0" w:type="dxa"/>
        <w:tblLayout w:type="fixed"/>
        <w:tblCellMar>
          <w:top w:w="0" w:type="dxa"/>
          <w:left w:w="0" w:type="dxa"/>
          <w:bottom w:w="0" w:type="dxa"/>
          <w:right w:w="0" w:type="dxa"/>
        </w:tblCellMar>
      </w:tblPr>
      <w:tblGrid>
        <w:gridCol w:w="60"/>
        <w:gridCol w:w="75"/>
        <w:gridCol w:w="618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618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providing for a classified board of directors with staggered, three-year terms;</w:t>
            </w:r>
          </w:p>
        </w:tc>
      </w:tr>
    </w:tbl>
    <w:p>
      <w:pPr>
        <w:pStyle w:val="TextBody"/>
        <w:bidi w:val="0"/>
        <w:spacing w:before="0" w:after="0"/>
        <w:ind w:left="1080" w:right="0" w:hanging="0"/>
        <w:jc w:val="both"/>
        <w:rPr/>
      </w:pPr>
      <w:r>
        <w:rPr/>
        <w:t> </w:t>
      </w:r>
    </w:p>
    <w:tbl>
      <w:tblPr>
        <w:tblW w:w="5330" w:type="dxa"/>
        <w:jc w:val="left"/>
        <w:tblInd w:w="0" w:type="dxa"/>
        <w:tblLayout w:type="fixed"/>
        <w:tblCellMar>
          <w:top w:w="0" w:type="dxa"/>
          <w:left w:w="0" w:type="dxa"/>
          <w:bottom w:w="0" w:type="dxa"/>
          <w:right w:w="0" w:type="dxa"/>
        </w:tblCellMar>
      </w:tblPr>
      <w:tblGrid>
        <w:gridCol w:w="60"/>
        <w:gridCol w:w="75"/>
        <w:gridCol w:w="519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not providing for cumulative voting in the election of directors;</w:t>
            </w:r>
          </w:p>
        </w:tc>
      </w:tr>
    </w:tbl>
    <w:p>
      <w:pPr>
        <w:pStyle w:val="TextBody"/>
        <w:bidi w:val="0"/>
        <w:spacing w:before="0" w:after="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authorizing our board of directors to issue, without stockholder approval, preferred stock rights senior to those of common stock;</w:t>
            </w:r>
          </w:p>
        </w:tc>
      </w:tr>
    </w:tbl>
    <w:p>
      <w:pPr>
        <w:pStyle w:val="TextBody"/>
        <w:bidi w:val="0"/>
        <w:spacing w:before="0" w:after="0"/>
        <w:ind w:left="1080" w:right="0" w:hanging="0"/>
        <w:jc w:val="both"/>
        <w:rPr/>
      </w:pPr>
      <w:r>
        <w:rPr/>
        <w:t> </w:t>
      </w:r>
    </w:p>
    <w:tbl>
      <w:tblPr>
        <w:tblW w:w="4250" w:type="dxa"/>
        <w:jc w:val="left"/>
        <w:tblInd w:w="0" w:type="dxa"/>
        <w:tblLayout w:type="fixed"/>
        <w:tblCellMar>
          <w:top w:w="0" w:type="dxa"/>
          <w:left w:w="0" w:type="dxa"/>
          <w:bottom w:w="0" w:type="dxa"/>
          <w:right w:w="0" w:type="dxa"/>
        </w:tblCellMar>
      </w:tblPr>
      <w:tblGrid>
        <w:gridCol w:w="60"/>
        <w:gridCol w:w="75"/>
        <w:gridCol w:w="411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411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prohibiting stockholder action by written consent;</w:t>
            </w:r>
          </w:p>
        </w:tc>
      </w:tr>
    </w:tbl>
    <w:p>
      <w:pPr>
        <w:pStyle w:val="TextBody"/>
        <w:bidi w:val="0"/>
        <w:spacing w:before="0" w:after="0"/>
        <w:ind w:left="1080" w:right="0" w:hanging="0"/>
        <w:jc w:val="both"/>
        <w:rPr/>
      </w:pPr>
      <w:r>
        <w:rPr/>
        <w:t> </w:t>
      </w:r>
    </w:p>
    <w:tbl>
      <w:tblPr>
        <w:tblW w:w="5645" w:type="dxa"/>
        <w:jc w:val="left"/>
        <w:tblInd w:w="0" w:type="dxa"/>
        <w:tblLayout w:type="fixed"/>
        <w:tblCellMar>
          <w:top w:w="0" w:type="dxa"/>
          <w:left w:w="0" w:type="dxa"/>
          <w:bottom w:w="0" w:type="dxa"/>
          <w:right w:w="0" w:type="dxa"/>
        </w:tblCellMar>
      </w:tblPr>
      <w:tblGrid>
        <w:gridCol w:w="60"/>
        <w:gridCol w:w="75"/>
        <w:gridCol w:w="551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551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limiting the persons who may call special meetings of stockholders;</w:t>
            </w:r>
          </w:p>
        </w:tc>
      </w:tr>
    </w:tbl>
    <w:p>
      <w:pPr>
        <w:pStyle w:val="TextBody"/>
        <w:bidi w:val="0"/>
        <w:spacing w:before="0" w:after="0"/>
        <w:ind w:left="1080" w:right="0" w:hanging="0"/>
        <w:jc w:val="both"/>
        <w:rPr/>
      </w:pPr>
      <w:r>
        <w:rPr/>
        <w:t> </w:t>
      </w:r>
    </w:p>
    <w:tbl>
      <w:tblPr>
        <w:tblW w:w="6485" w:type="dxa"/>
        <w:jc w:val="left"/>
        <w:tblInd w:w="0" w:type="dxa"/>
        <w:tblLayout w:type="fixed"/>
        <w:tblCellMar>
          <w:top w:w="0" w:type="dxa"/>
          <w:left w:w="0" w:type="dxa"/>
          <w:bottom w:w="0" w:type="dxa"/>
          <w:right w:w="0" w:type="dxa"/>
        </w:tblCellMar>
      </w:tblPr>
      <w:tblGrid>
        <w:gridCol w:w="60"/>
        <w:gridCol w:w="75"/>
        <w:gridCol w:w="635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635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requiring advance notification of stockholder nominations and proposals; and</w:t>
            </w:r>
          </w:p>
        </w:tc>
      </w:tr>
    </w:tbl>
    <w:p>
      <w:pPr>
        <w:pStyle w:val="TextBody"/>
        <w:bidi w:val="0"/>
        <w:spacing w:before="0" w:after="0"/>
        <w:ind w:left="108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change of control provisions in our stock incentive plans, and the individual stock option agreements, which provide that a change of control may accelerate the vesting of the stock options and equity awards issued under such plans.</w:t>
            </w:r>
          </w:p>
        </w:tc>
      </w:tr>
    </w:tbl>
    <w:p>
      <w:pPr>
        <w:pStyle w:val="TextBody"/>
        <w:bidi w:val="0"/>
        <w:spacing w:before="0" w:after="0"/>
        <w:ind w:left="1440" w:right="0" w:hanging="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These and other provisions in our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Our Restated Certificate of Incorporation includes a forum selection clause, which could limit our stockholders' ability to obtain a favorable judicial forum for disputes with us. </w:t>
      </w:r>
    </w:p>
    <w:p>
      <w:pPr>
        <w:pStyle w:val="TextBody"/>
        <w:bidi w:val="0"/>
        <w:spacing w:before="0" w:after="0"/>
        <w:ind w:left="144" w:right="144"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Restated Certificate of Incorporation may limit our stockholders' ability to obtain a favorable judicial forum for disputes with us. It is also possible that a court could rule that such a provision is inapplicable or unenforceable.    </w:t>
      </w:r>
    </w:p>
    <w:p>
      <w:pPr>
        <w:pStyle w:val="TextBody"/>
        <w:bidi w:val="0"/>
        <w:spacing w:before="0" w:after="0"/>
        <w:ind w:left="0" w:right="0" w:hanging="0"/>
        <w:jc w:val="left"/>
        <w:rPr/>
      </w:pPr>
      <w:r>
        <w:rPr/>
        <w:t> </w:t>
      </w:r>
    </w:p>
    <w:tbl>
      <w:tblPr>
        <w:tblW w:w="3145" w:type="dxa"/>
        <w:jc w:val="left"/>
        <w:tblInd w:w="0" w:type="dxa"/>
        <w:tblLayout w:type="fixed"/>
        <w:tblCellMar>
          <w:top w:w="0" w:type="dxa"/>
          <w:left w:w="0" w:type="dxa"/>
          <w:bottom w:w="0" w:type="dxa"/>
          <w:right w:w="0" w:type="dxa"/>
        </w:tblCellMar>
      </w:tblPr>
      <w:tblGrid>
        <w:gridCol w:w="785"/>
        <w:gridCol w:w="2360"/>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6" w:name="Item_1B"/>
            <w:bookmarkEnd w:id="6"/>
            <w:r>
              <w:rPr>
                <w:rFonts w:ascii="Times New Roman;Times;serif" w:hAnsi="Times New Roman;Times;serif"/>
                <w:b/>
                <w:sz w:val="20"/>
                <w:shd w:fill="FFFFFF" w:val="clear"/>
              </w:rPr>
              <w:t xml:space="preserve">Item 1B. </w:t>
            </w:r>
          </w:p>
        </w:tc>
        <w:tc>
          <w:tcPr>
            <w:tcW w:w="236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Unresolved Staff Comments</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1080" w:right="0" w:hanging="360"/>
        <w:jc w:val="left"/>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bidi w:val="0"/>
        <w:spacing w:before="0" w:after="0"/>
        <w:ind w:left="1080" w:right="0" w:hanging="360"/>
        <w:jc w:val="left"/>
        <w:rPr/>
      </w:pPr>
      <w:r>
        <w:rPr/>
        <w:t> </w:t>
      </w:r>
    </w:p>
    <w:p>
      <w:pPr>
        <w:pStyle w:val="TextBody"/>
        <w:bidi w:val="0"/>
        <w:spacing w:before="0" w:after="0"/>
        <w:jc w:val="left"/>
        <w:rPr/>
      </w:pPr>
      <w:r>
        <w:rPr/>
        <w:t xml:space="preserve">  </w:t>
      </w:r>
    </w:p>
    <w:tbl>
      <w:tblPr>
        <w:tblW w:w="2410" w:type="dxa"/>
        <w:jc w:val="left"/>
        <w:tblInd w:w="0" w:type="dxa"/>
        <w:tblLayout w:type="fixed"/>
        <w:tblCellMar>
          <w:top w:w="0" w:type="dxa"/>
          <w:left w:w="0" w:type="dxa"/>
          <w:bottom w:w="0" w:type="dxa"/>
          <w:right w:w="0" w:type="dxa"/>
        </w:tblCellMar>
      </w:tblPr>
      <w:tblGrid>
        <w:gridCol w:w="890"/>
        <w:gridCol w:w="1520"/>
      </w:tblGrid>
      <w:tr>
        <w:trPr/>
        <w:tc>
          <w:tcPr>
            <w:tcW w:w="890" w:type="dxa"/>
            <w:tcBorders/>
            <w:vAlign w:val="center"/>
          </w:tcPr>
          <w:p>
            <w:pPr>
              <w:pStyle w:val="TableContents"/>
              <w:bidi w:val="0"/>
              <w:spacing w:before="0" w:after="283"/>
              <w:jc w:val="left"/>
              <w:rPr/>
            </w:pPr>
            <w:bookmarkStart w:id="7" w:name="Cybersecurity"/>
            <w:bookmarkEnd w:id="7"/>
            <w:r>
              <w:rPr>
                <w:b/>
              </w:rPr>
              <w:t xml:space="preserve">Item </w:t>
            </w:r>
            <w:r>
              <w:rPr>
                <w:rStyle w:val="Emphasis"/>
                <w:b/>
              </w:rPr>
              <w:t>1C.</w:t>
            </w:r>
          </w:p>
        </w:tc>
        <w:tc>
          <w:tcPr>
            <w:tcW w:w="1520" w:type="dxa"/>
            <w:tcBorders/>
            <w:vAlign w:val="center"/>
          </w:tcPr>
          <w:p>
            <w:pPr>
              <w:pStyle w:val="TableContents"/>
              <w:bidi w:val="0"/>
              <w:spacing w:before="0" w:after="283"/>
              <w:jc w:val="left"/>
              <w:rPr>
                <w:b/>
              </w:rPr>
            </w:pPr>
            <w:r>
              <w:rPr>
                <w:b/>
              </w:rPr>
              <w:t xml:space="preserve">Cybersecurity </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Cyber criminals are becoming more sophisticated and effective every day. All companies utilizing technology are subject to threats of breaches of their cybersecurity programs. To mitigate the threat to our business, we take a comprehensive approach to cybersecurity risk management and make securing the data customers and other stakeholders entrust to us a top priority. Our board of directors (the "Board") and our management are actively involved in the oversight of risk management program, of which cybersecurity represents an important component. As described in more detail below, we have established policies, standards, processes and practices for assessing, identifying, and managing material risks from cybersecurity threats. We have devoted financial and personnel resources to implement and maintain security measures to meet regulatory requirements and customer expectations, and we intend to continue to make investments to maintain the security of our data and cybersecurity infrastructure. There can be no guarantee that our policies and procedures will be properly followed in every instance or that those policies and procedures will be effective. Our Risk Factors include further detail about the material cybersecurity risks we face and have faced in the past. We can provide no assurance that there will not be incidents in the future or that they will not materially affect us, including our business strategy, results of operations, or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 Management and Strategy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policies, standards, processes and practices for assessing, identifying, and managing material risks from cybersecurity threats are integrated into our overall risk management. Our cybersecurity program in particular focuses on the following key areas:</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Collaboration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cybersecurity risks are identified and addressed through a cross-functional approach. Key security, risk, and compliance stakeholders meet to develop strategies for preserving the confidentiality, integrity and availability of Company and customer information, identifying, preventing and mitigating cybersecurity threats, and effectively responding to cybersecurity incidents. We maintain controls and procedures that are designed to ensure prompt escalation of certain cybersecurity incidents so that decisions regarding public disclosure and reporting of such incidents can be made by management and the Board in a timely manner.</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i/>
          <w:sz w:val="20"/>
        </w:rPr>
        <w:t>Risk Assessment</w:t>
      </w:r>
      <w:r>
        <w:rPr>
          <w:rFonts w:ascii="Times New Roman;Times;serif" w:hAnsi="Times New Roman;Times;serif"/>
          <w:b/>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least annually, we conduct a cybersecurity risk assessment that takes into account information from internal stakeholders, known information security vulnerabilities, and information from external sources (e.g., reported security incidents that have impacted other companies, industry trends, and evaluations by third parties and consultants). The results of the assessment are used to drive alignment on, and prioritization of, initiatives to enhance our security controls, make recommendations to improve processes, and inform a broader enterprise-level risk assessment that is presented to our Board and members of management.</w:t>
      </w:r>
    </w:p>
    <w:p>
      <w:pPr>
        <w:pStyle w:val="TextBody"/>
        <w:bidi w:val="0"/>
        <w:spacing w:before="0" w:after="0"/>
        <w:ind w:left="0" w:right="0" w:firstLine="360"/>
        <w:jc w:val="left"/>
        <w:rPr/>
      </w:pPr>
      <w:r>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Technical Safeguards</w:t>
      </w:r>
    </w:p>
    <w:p>
      <w:pPr>
        <w:pStyle w:val="TextBody"/>
        <w:bidi w:val="0"/>
        <w:spacing w:before="0" w:after="0"/>
        <w:ind w:left="0" w:right="0" w:firstLine="36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regularly assess and deploy technical safeguards designed to protect our information systems from cybersecurity threats. Such safeguards are regularly evaluated and improved based on vulnerability assessments, cybersecurity threat intelligence and incident response experience.</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Incident Response and Recovery Planning</w:t>
      </w:r>
    </w:p>
    <w:p>
      <w:pPr>
        <w:pStyle w:val="TextBody"/>
        <w:bidi w:val="0"/>
        <w:spacing w:before="0" w:after="0"/>
        <w:ind w:left="0" w:right="0" w:firstLine="36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established comprehensive incident response and recovery plans and continue to evaluate the effectiveness of those plans. Our incident response and recovery plans address — and guide our employees, management and the Board on — our response to a cybersecurity incident.</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b/>
          <w:i/>
          <w:sz w:val="20"/>
        </w:rPr>
      </w:pPr>
      <w:r>
        <w:rPr>
          <w:rFonts w:ascii="Times New Roman;Times;serif" w:hAnsi="Times New Roman;Times;serif"/>
          <w:b/>
          <w:i/>
          <w:sz w:val="20"/>
        </w:rPr>
        <w:t>Education and Awareness</w:t>
      </w:r>
    </w:p>
    <w:p>
      <w:pPr>
        <w:pStyle w:val="TextBody"/>
        <w:bidi w:val="0"/>
        <w:spacing w:before="0" w:after="0"/>
        <w:ind w:left="0" w:right="0" w:firstLine="36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policies require our employees to contribute to our data security efforts. We provide awareness training to our employees to help identify, avoid and mitigate cybersecurity threats. Our employees participate annually in required training, including spear phishing and other awareness training.</w:t>
      </w:r>
    </w:p>
    <w:p>
      <w:pPr>
        <w:pStyle w:val="TextBody"/>
        <w:bidi w:val="0"/>
        <w:spacing w:before="0" w:after="0"/>
        <w:ind w:left="0" w:right="0" w:firstLine="36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Governance </w:t>
      </w:r>
    </w:p>
    <w:p>
      <w:pPr>
        <w:pStyle w:val="TextBody"/>
        <w:bidi w:val="0"/>
        <w:spacing w:before="0" w:after="0"/>
        <w:ind w:left="0" w:right="0" w:firstLine="360"/>
        <w:jc w:val="left"/>
        <w:rPr/>
      </w:pPr>
      <w:r>
        <w:rPr/>
        <w:t> </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i/>
          <w:sz w:val="20"/>
        </w:rPr>
        <w:t>Board and Management Oversight</w:t>
      </w:r>
      <w:r>
        <w:rPr>
          <w:rFonts w:ascii="Times New Roman;Times;serif" w:hAnsi="Times New Roman;Times;serif"/>
          <w:b/>
          <w:sz w:val="20"/>
        </w:rPr>
        <w:t xml:space="preserve"> </w:t>
      </w:r>
    </w:p>
    <w:p>
      <w:pPr>
        <w:pStyle w:val="TextBody"/>
        <w:bidi w:val="0"/>
        <w:spacing w:before="0" w:after="0"/>
        <w:ind w:left="0" w:right="0" w:firstLine="36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Board oversees our management of cybersecurity risk. They receive regular reports from management about the prevention, detection, mitigation, and remediation of cybersecurity incidents, including material security risks and information security vulnerabilities.</w:t>
      </w:r>
    </w:p>
    <w:p>
      <w:pPr>
        <w:pStyle w:val="TextBody"/>
        <w:bidi w:val="0"/>
        <w:spacing w:before="0" w:after="0"/>
        <w:ind w:left="0" w:right="0" w:firstLine="36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general manager and MIS director have primary responsibility for assessing and managing material cybersecurity risks. They meet to review security performance metrics, identify security risks, and assess the status of approved security enhancements. They also consider and make recommendations on security policies and procedures, security service requirements, and risk mitigation strategies.</w:t>
      </w:r>
    </w:p>
    <w:p>
      <w:pPr>
        <w:pStyle w:val="TextBody"/>
        <w:bidi w:val="0"/>
        <w:spacing w:before="0" w:after="0"/>
        <w:ind w:left="0" w:right="0" w:firstLine="36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Our MIS director has served in various roles in information technology and information security for over </w:t>
      </w:r>
      <w:r>
        <w:rPr>
          <w:rStyle w:val="Emphasis"/>
          <w:rFonts w:ascii="Times New Roman;Times;serif" w:hAnsi="Times New Roman;Times;serif"/>
          <w:sz w:val="20"/>
        </w:rPr>
        <w:t>20</w:t>
      </w:r>
      <w:r>
        <w:rPr>
          <w:rFonts w:ascii="Times New Roman;Times;serif" w:hAnsi="Times New Roman;Times;serif"/>
          <w:sz w:val="20"/>
        </w:rPr>
        <w:t xml:space="preserve"> years. Our general manager has over </w:t>
      </w:r>
      <w:r>
        <w:rPr>
          <w:rStyle w:val="Emphasis"/>
          <w:rFonts w:ascii="Times New Roman;Times;serif" w:hAnsi="Times New Roman;Times;serif"/>
          <w:sz w:val="20"/>
        </w:rPr>
        <w:t>20</w:t>
      </w:r>
      <w:r>
        <w:rPr>
          <w:rFonts w:ascii="Times New Roman;Times;serif" w:hAnsi="Times New Roman;Times;serif"/>
          <w:sz w:val="20"/>
        </w:rPr>
        <w:t xml:space="preserve"> years of experience managing risks, including risks arising from cybersecurity threats.</w:t>
      </w:r>
    </w:p>
    <w:p>
      <w:pPr>
        <w:pStyle w:val="TextBody"/>
        <w:bidi w:val="0"/>
        <w:spacing w:before="0" w:after="0"/>
        <w:ind w:left="0" w:right="0" w:firstLine="720"/>
        <w:jc w:val="left"/>
        <w:rPr/>
      </w:pPr>
      <w:r>
        <w:rPr/>
        <w:t> </w:t>
      </w:r>
    </w:p>
    <w:p>
      <w:pPr>
        <w:pStyle w:val="TextBody"/>
        <w:bidi w:val="0"/>
        <w:spacing w:before="0" w:after="0"/>
        <w:jc w:val="left"/>
        <w:rPr/>
      </w:pPr>
      <w:r>
        <w:rPr/>
        <w:t xml:space="preserve">  </w:t>
      </w:r>
    </w:p>
    <w:tbl>
      <w:tblPr>
        <w:tblW w:w="1555" w:type="dxa"/>
        <w:jc w:val="left"/>
        <w:tblInd w:w="0" w:type="dxa"/>
        <w:tblLayout w:type="fixed"/>
        <w:tblCellMar>
          <w:top w:w="0" w:type="dxa"/>
          <w:left w:w="0" w:type="dxa"/>
          <w:bottom w:w="0" w:type="dxa"/>
          <w:right w:w="0" w:type="dxa"/>
        </w:tblCellMar>
      </w:tblPr>
      <w:tblGrid>
        <w:gridCol w:w="650"/>
        <w:gridCol w:w="90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8" w:name="Item_2"/>
            <w:bookmarkEnd w:id="8"/>
            <w:r>
              <w:rPr>
                <w:rFonts w:ascii="Times New Roman;Times;serif" w:hAnsi="Times New Roman;Times;serif"/>
                <w:b/>
                <w:sz w:val="20"/>
                <w:shd w:fill="FFFFFF" w:val="clear"/>
              </w:rPr>
              <w:t xml:space="preserve">Item 2. </w:t>
            </w:r>
          </w:p>
        </w:tc>
        <w:tc>
          <w:tcPr>
            <w:tcW w:w="90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Properties</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maintain manufacturing, research and development, sales and administrative offices in the U.S., China and Taiwan. Our corporate headquarters is located at our facility in Sugar Land, Texas. The table below provides information regarding our facilities.</w:t>
      </w:r>
    </w:p>
    <w:p>
      <w:pPr>
        <w:pStyle w:val="TextBody"/>
        <w:bidi w:val="0"/>
        <w:spacing w:before="0" w:after="0"/>
        <w:ind w:left="0" w:right="0" w:firstLine="720"/>
        <w:jc w:val="left"/>
        <w:rPr>
          <w:shd w:fill="FFFFFF" w:val="clear"/>
        </w:rPr>
      </w:pPr>
      <w:r>
        <w:rPr>
          <w:shd w:fill="FFFFFF" w:val="clear"/>
        </w:rPr>
        <w:t>  </w:t>
      </w:r>
    </w:p>
    <w:tbl>
      <w:tblPr>
        <w:tblW w:w="9755" w:type="dxa"/>
        <w:jc w:val="left"/>
        <w:tblInd w:w="0" w:type="dxa"/>
        <w:tblLayout w:type="fixed"/>
        <w:tblCellMar>
          <w:top w:w="0" w:type="dxa"/>
          <w:left w:w="0" w:type="dxa"/>
          <w:bottom w:w="0" w:type="dxa"/>
          <w:right w:w="0" w:type="dxa"/>
        </w:tblCellMar>
      </w:tblPr>
      <w:tblGrid>
        <w:gridCol w:w="1520"/>
        <w:gridCol w:w="60"/>
        <w:gridCol w:w="1490"/>
        <w:gridCol w:w="60"/>
        <w:gridCol w:w="1355"/>
        <w:gridCol w:w="60"/>
        <w:gridCol w:w="5210"/>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Approximate</w:t>
            </w:r>
          </w:p>
        </w:tc>
        <w:tc>
          <w:tcPr>
            <w:tcW w:w="6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Location</w:t>
            </w:r>
          </w:p>
        </w:tc>
        <w:tc>
          <w:tcPr>
            <w:tcW w:w="60" w:type="dxa"/>
            <w:tcBorders/>
            <w:shd w:fill="FFFFFF" w:val="clear"/>
            <w:vAlign w:val="center"/>
          </w:tcPr>
          <w:p>
            <w:pPr>
              <w:pStyle w:val="TableContents"/>
              <w:bidi w:val="0"/>
              <w:spacing w:before="0" w:after="283"/>
              <w:jc w:val="left"/>
              <w:rPr/>
            </w:pPr>
            <w:r>
              <w:rPr/>
              <w:t> </w:t>
            </w:r>
          </w:p>
        </w:tc>
        <w:tc>
          <w:tcPr>
            <w:tcW w:w="14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Owned or leased</w:t>
            </w:r>
          </w:p>
        </w:tc>
        <w:tc>
          <w:tcPr>
            <w:tcW w:w="60" w:type="dxa"/>
            <w:tcBorders/>
            <w:shd w:fill="FFFFFF" w:val="clear"/>
            <w:vAlign w:val="center"/>
          </w:tcPr>
          <w:p>
            <w:pPr>
              <w:pStyle w:val="TableContents"/>
              <w:bidi w:val="0"/>
              <w:spacing w:before="0" w:after="283"/>
              <w:jc w:val="left"/>
              <w:rPr/>
            </w:pPr>
            <w:r>
              <w:rPr/>
              <w:t> </w:t>
            </w:r>
          </w:p>
        </w:tc>
        <w:tc>
          <w:tcPr>
            <w:tcW w:w="135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Square Footage</w:t>
            </w:r>
          </w:p>
        </w:tc>
        <w:tc>
          <w:tcPr>
            <w:tcW w:w="60" w:type="dxa"/>
            <w:tcBorders/>
            <w:shd w:fill="FFFFFF" w:val="clear"/>
            <w:vAlign w:val="center"/>
          </w:tcPr>
          <w:p>
            <w:pPr>
              <w:pStyle w:val="TableContents"/>
              <w:bidi w:val="0"/>
              <w:spacing w:before="0" w:after="283"/>
              <w:jc w:val="left"/>
              <w:rPr/>
            </w:pPr>
            <w:r>
              <w:rPr/>
              <w:t> </w:t>
            </w:r>
          </w:p>
        </w:tc>
        <w:tc>
          <w:tcPr>
            <w:tcW w:w="52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w:t>
            </w:r>
          </w:p>
        </w:tc>
      </w:tr>
      <w:tr>
        <w:trPr/>
        <w:tc>
          <w:tcPr>
            <w:tcW w:w="1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Sugar Land, Texas</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and leased</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139,450</w:t>
            </w:r>
          </w:p>
        </w:tc>
        <w:tc>
          <w:tcPr>
            <w:tcW w:w="60" w:type="dxa"/>
            <w:tcBorders/>
            <w:shd w:fill="CCEEFF" w:val="clear"/>
            <w:vAlign w:val="center"/>
          </w:tcPr>
          <w:p>
            <w:pPr>
              <w:pStyle w:val="TableContents"/>
              <w:bidi w:val="0"/>
              <w:spacing w:before="0" w:after="283"/>
              <w:jc w:val="left"/>
              <w:rPr/>
            </w:pPr>
            <w:r>
              <w:rPr/>
              <w:t> </w:t>
            </w:r>
          </w:p>
        </w:tc>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sales, manufacturing, research and development</w:t>
            </w:r>
          </w:p>
        </w:tc>
      </w:tr>
      <w:tr>
        <w:trPr/>
        <w:tc>
          <w:tcPr>
            <w:tcW w:w="1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Duluth, Georgia</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38,900</w:t>
            </w:r>
          </w:p>
        </w:tc>
        <w:tc>
          <w:tcPr>
            <w:tcW w:w="6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research and development</w:t>
            </w:r>
          </w:p>
        </w:tc>
      </w:tr>
      <w:tr>
        <w:trPr/>
        <w:tc>
          <w:tcPr>
            <w:tcW w:w="1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Ningbo, China</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1,203,740</w:t>
            </w:r>
          </w:p>
        </w:tc>
        <w:tc>
          <w:tcPr>
            <w:tcW w:w="60" w:type="dxa"/>
            <w:tcBorders/>
            <w:shd w:fill="CCEEFF" w:val="clear"/>
            <w:vAlign w:val="center"/>
          </w:tcPr>
          <w:p>
            <w:pPr>
              <w:pStyle w:val="TableContents"/>
              <w:bidi w:val="0"/>
              <w:spacing w:before="0" w:after="283"/>
              <w:jc w:val="left"/>
              <w:rPr/>
            </w:pPr>
            <w:r>
              <w:rPr/>
              <w:t> </w:t>
            </w:r>
          </w:p>
        </w:tc>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sales, manufacturing, research and development</w:t>
            </w:r>
          </w:p>
        </w:tc>
      </w:tr>
      <w:tr>
        <w:trPr/>
        <w:tc>
          <w:tcPr>
            <w:tcW w:w="1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Taipei, Taiwan</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705,760</w:t>
            </w:r>
          </w:p>
        </w:tc>
        <w:tc>
          <w:tcPr>
            <w:tcW w:w="6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Administration, sales, manufacturing, research and development</w:t>
            </w:r>
          </w:p>
        </w:tc>
      </w:tr>
    </w:tbl>
    <w:p>
      <w:pPr>
        <w:pStyle w:val="TextBody"/>
        <w:bidi w:val="0"/>
        <w:spacing w:before="0" w:after="0"/>
        <w:ind w:left="0" w:right="0" w:hanging="0"/>
        <w:jc w:val="left"/>
        <w:rPr/>
      </w:pPr>
      <w:r>
        <w:rPr/>
        <w:t> </w:t>
      </w:r>
    </w:p>
    <w:tbl>
      <w:tblPr>
        <w:tblW w:w="2245" w:type="dxa"/>
        <w:jc w:val="left"/>
        <w:tblInd w:w="0" w:type="dxa"/>
        <w:tblLayout w:type="fixed"/>
        <w:tblCellMar>
          <w:top w:w="0" w:type="dxa"/>
          <w:left w:w="0" w:type="dxa"/>
          <w:bottom w:w="0" w:type="dxa"/>
          <w:right w:w="0" w:type="dxa"/>
        </w:tblCellMar>
      </w:tblPr>
      <w:tblGrid>
        <w:gridCol w:w="650"/>
        <w:gridCol w:w="159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9" w:name="Item_3"/>
            <w:bookmarkEnd w:id="9"/>
            <w:r>
              <w:rPr>
                <w:rFonts w:ascii="Times New Roman;Times;serif" w:hAnsi="Times New Roman;Times;serif"/>
                <w:b/>
                <w:sz w:val="20"/>
                <w:shd w:fill="FFFFFF" w:val="clear"/>
              </w:rPr>
              <w:t xml:space="preserve">Item 3. </w:t>
            </w:r>
          </w:p>
        </w:tc>
        <w:tc>
          <w:tcPr>
            <w:tcW w:w="159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Legal Proceedings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information set forth under Note T "Contingencies" included in Part II, Item 8 of this Form 10-K, is incorporated herein by reference. For an additional discussion of certain risks associated with legal proceedings, see "Risk Factors" above.</w:t>
      </w:r>
    </w:p>
    <w:p>
      <w:pPr>
        <w:pStyle w:val="TextBody"/>
        <w:bidi w:val="0"/>
        <w:spacing w:before="0" w:after="0"/>
        <w:ind w:left="0" w:right="0" w:hanging="0"/>
        <w:jc w:val="left"/>
        <w:rPr/>
      </w:pPr>
      <w:r>
        <w:rPr/>
        <w:t> </w:t>
      </w:r>
    </w:p>
    <w:tbl>
      <w:tblPr>
        <w:tblW w:w="2665" w:type="dxa"/>
        <w:jc w:val="left"/>
        <w:tblInd w:w="0" w:type="dxa"/>
        <w:tblLayout w:type="fixed"/>
        <w:tblCellMar>
          <w:top w:w="0" w:type="dxa"/>
          <w:left w:w="0" w:type="dxa"/>
          <w:bottom w:w="0" w:type="dxa"/>
          <w:right w:w="0" w:type="dxa"/>
        </w:tblCellMar>
      </w:tblPr>
      <w:tblGrid>
        <w:gridCol w:w="650"/>
        <w:gridCol w:w="201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0" w:name="Item_4"/>
            <w:bookmarkEnd w:id="10"/>
            <w:r>
              <w:rPr>
                <w:rFonts w:ascii="Times New Roman;Times;serif" w:hAnsi="Times New Roman;Times;serif"/>
                <w:b/>
                <w:sz w:val="20"/>
                <w:shd w:fill="FFFFFF" w:val="clear"/>
              </w:rPr>
              <w:t xml:space="preserve">Item 4. </w:t>
            </w:r>
          </w:p>
        </w:tc>
        <w:tc>
          <w:tcPr>
            <w:tcW w:w="2015" w:type="dxa"/>
            <w:tcBorders/>
            <w:vAlign w:val="center"/>
          </w:tcPr>
          <w:p>
            <w:pPr>
              <w:pStyle w:val="TableContents"/>
              <w:bidi w:val="0"/>
              <w:spacing w:before="0" w:after="0"/>
              <w:ind w:left="0" w:right="0" w:hanging="0"/>
              <w:jc w:val="left"/>
              <w:rPr>
                <w:shd w:fill="FFFFFF" w:val="clear"/>
              </w:rPr>
            </w:pPr>
            <w:r>
              <w:rPr>
                <w:shd w:fill="FFFFFF" w:val="clear"/>
              </w:rPr>
              <w:t> </w:t>
            </w:r>
            <w:r>
              <w:rPr>
                <w:rFonts w:ascii="Times New Roman;Times;serif" w:hAnsi="Times New Roman;Times;serif"/>
                <w:b/>
                <w:sz w:val="20"/>
                <w:shd w:fill="FFFFFF" w:val="clear"/>
              </w:rPr>
              <w:t>Mine Safety Disclosure</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Not Applicable.</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11" w:name="Part_II"/>
      <w:bookmarkEnd w:id="11"/>
      <w:r>
        <w:rPr>
          <w:rFonts w:ascii="Times New Roman;Times;serif" w:hAnsi="Times New Roman;Times;serif"/>
          <w:b/>
          <w:sz w:val="20"/>
          <w:shd w:fill="FFFFFF" w:val="clear"/>
        </w:rPr>
        <w:t>PART II</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tbl>
      <w:tblPr>
        <w:tblW w:w="10120" w:type="dxa"/>
        <w:jc w:val="left"/>
        <w:tblInd w:w="0" w:type="dxa"/>
        <w:tblLayout w:type="fixed"/>
        <w:tblCellMar>
          <w:top w:w="0" w:type="dxa"/>
          <w:left w:w="0" w:type="dxa"/>
          <w:bottom w:w="0" w:type="dxa"/>
          <w:right w:w="0" w:type="dxa"/>
        </w:tblCellMar>
      </w:tblPr>
      <w:tblGrid>
        <w:gridCol w:w="650"/>
        <w:gridCol w:w="947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2" w:name="Item_5"/>
            <w:bookmarkEnd w:id="12"/>
            <w:r>
              <w:rPr>
                <w:rFonts w:ascii="Times New Roman;Times;serif" w:hAnsi="Times New Roman;Times;serif"/>
                <w:b/>
                <w:sz w:val="20"/>
                <w:shd w:fill="FFFFFF" w:val="clear"/>
              </w:rPr>
              <w:t xml:space="preserve">Item 5. </w:t>
            </w:r>
          </w:p>
        </w:tc>
        <w:tc>
          <w:tcPr>
            <w:tcW w:w="947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Market for Registrant’s Common Equity, Related Stockholder Matters and Issuer Purchases of Equity Securities</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September 26, 2013, our common stock began to trade on the NASDAQ Global Market under the symbol "AAOI". Prior to that time, there was no public market for our common stock. As of February 24, 2026, there were 58 holders of record of our common stock (not including beneficial holders of our common stock holding in street name).</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graph below shows the cumulative total stockholder return of an investment of $100 (and the reinvestment of any dividends thereafter) on January 1, 2020 (the last five fiscal years) in (i) our common stock, (ii) the NASDAQ Composite Index and (iii) the NASDAQ Telecommunications Index. Our stock price performance shown in the graph below is not indicative of future stock price performance. The following graph and related information is being “furnished” and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pStyle w:val="TextBody"/>
        <w:bidi w:val="0"/>
        <w:spacing w:before="0" w:after="0"/>
        <w:ind w:left="0" w:right="0" w:firstLine="720"/>
        <w:jc w:val="left"/>
        <w:rPr/>
      </w:pPr>
      <w:r>
        <w:rPr/>
        <w:t> </w:t>
      </w:r>
    </w:p>
    <w:p>
      <w:pPr>
        <w:pStyle w:val="TextBody"/>
        <w:bidi w:val="0"/>
        <w:spacing w:before="0" w:after="0"/>
        <w:ind w:left="0" w:right="0" w:hanging="0"/>
        <w:jc w:val="center"/>
        <w:rPr/>
      </w:pPr>
      <w:r>
        <w:rPr/>
        <w:drawing>
          <wp:inline distT="0" distB="0" distL="0" distR="0">
            <wp:extent cx="5200650" cy="314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00650" cy="3143250"/>
                    </a:xfrm>
                    <a:prstGeom prst="rect">
                      <a:avLst/>
                    </a:prstGeom>
                  </pic:spPr>
                </pic:pic>
              </a:graphicData>
            </a:graphic>
          </wp:inline>
        </w:drawing>
      </w:r>
    </w:p>
    <w:p>
      <w:pPr>
        <w:pStyle w:val="TextBody"/>
        <w:bidi w:val="0"/>
        <w:spacing w:before="0" w:after="0"/>
        <w:ind w:left="0" w:right="0" w:hanging="0"/>
        <w:jc w:val="left"/>
        <w:rPr/>
      </w:pPr>
      <w:r>
        <w:rPr/>
        <w:t xml:space="preserve">  </w:t>
      </w:r>
    </w:p>
    <w:tbl>
      <w:tblPr>
        <w:tblW w:w="5838" w:type="dxa"/>
        <w:jc w:val="left"/>
        <w:tblInd w:w="0" w:type="dxa"/>
        <w:tblLayout w:type="fixed"/>
        <w:tblCellMar>
          <w:top w:w="28" w:type="dxa"/>
          <w:left w:w="28" w:type="dxa"/>
          <w:bottom w:w="28" w:type="dxa"/>
          <w:right w:w="0" w:type="dxa"/>
        </w:tblCellMar>
      </w:tblPr>
      <w:tblGrid>
        <w:gridCol w:w="995"/>
        <w:gridCol w:w="60"/>
        <w:gridCol w:w="60"/>
        <w:gridCol w:w="590"/>
        <w:gridCol w:w="185"/>
        <w:gridCol w:w="60"/>
        <w:gridCol w:w="150"/>
        <w:gridCol w:w="1489"/>
        <w:gridCol w:w="185"/>
        <w:gridCol w:w="60"/>
        <w:gridCol w:w="164"/>
        <w:gridCol w:w="1640"/>
        <w:gridCol w:w="200"/>
      </w:tblGrid>
      <w:tr>
        <w:trPr/>
        <w:tc>
          <w:tcPr>
            <w:tcW w:w="9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c>
          <w:tcPr>
            <w:tcW w:w="60" w:type="dxa"/>
            <w:tcBorders>
              <w:top w:val="single" w:sz="2" w:space="0" w:color="000000"/>
            </w:tcBorders>
            <w:tcMar>
              <w:left w:w="0" w:type="dxa"/>
              <w:bottom w:w="0" w:type="dxa"/>
            </w:tcMar>
            <w:vAlign w:val="center"/>
          </w:tcPr>
          <w:p>
            <w:pPr>
              <w:pStyle w:val="TableContents"/>
              <w:bidi w:val="0"/>
              <w:spacing w:before="0" w:after="283"/>
              <w:ind w:left="0" w:right="0" w:hanging="0"/>
              <w:jc w:val="left"/>
              <w:rPr/>
            </w:pPr>
            <w:r>
              <w:rPr/>
              <w:t> </w:t>
            </w:r>
          </w:p>
        </w:tc>
        <w:tc>
          <w:tcPr>
            <w:tcW w:w="650"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AAOI</w:t>
            </w:r>
          </w:p>
        </w:tc>
        <w:tc>
          <w:tcPr>
            <w:tcW w:w="185" w:type="dxa"/>
            <w:tcBorders>
              <w:top w:val="single" w:sz="2"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bottom w:w="0" w:type="dxa"/>
            </w:tcMar>
            <w:vAlign w:val="center"/>
          </w:tcPr>
          <w:p>
            <w:pPr>
              <w:pStyle w:val="TableContents"/>
              <w:bidi w:val="0"/>
              <w:spacing w:before="0" w:after="283"/>
              <w:ind w:left="0" w:right="0" w:hanging="0"/>
              <w:jc w:val="left"/>
              <w:rPr/>
            </w:pPr>
            <w:r>
              <w:rPr/>
              <w:t> </w:t>
            </w:r>
          </w:p>
        </w:tc>
        <w:tc>
          <w:tcPr>
            <w:tcW w:w="1639"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NASDAQ Telecom </w:t>
            </w:r>
          </w:p>
        </w:tc>
        <w:tc>
          <w:tcPr>
            <w:tcW w:w="185" w:type="dxa"/>
            <w:tcBorders>
              <w:top w:val="single" w:sz="2"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bottom w:w="0" w:type="dxa"/>
            </w:tcMar>
            <w:vAlign w:val="center"/>
          </w:tcPr>
          <w:p>
            <w:pPr>
              <w:pStyle w:val="TableContents"/>
              <w:bidi w:val="0"/>
              <w:spacing w:before="0" w:after="283"/>
              <w:ind w:left="0" w:right="0" w:hanging="0"/>
              <w:jc w:val="left"/>
              <w:rPr/>
            </w:pPr>
            <w:r>
              <w:rPr/>
              <w:t> </w:t>
            </w:r>
          </w:p>
        </w:tc>
        <w:tc>
          <w:tcPr>
            <w:tcW w:w="1804" w:type="dxa"/>
            <w:gridSpan w:val="2"/>
            <w:tcBorders>
              <w:top w:val="single" w:sz="2" w:space="0" w:color="000000"/>
              <w:bottom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NASDAQ Composite </w:t>
            </w:r>
          </w:p>
        </w:tc>
        <w:tc>
          <w:tcPr>
            <w:tcW w:w="200" w:type="dxa"/>
            <w:tcBorders>
              <w:top w:val="single" w:sz="2" w:space="0" w:color="000000"/>
              <w:right w:val="single" w:sz="2" w:space="0" w:color="000000"/>
            </w:tcBorders>
            <w:tcMar>
              <w:left w:w="0" w:type="dxa"/>
              <w:bottom w:w="0" w:type="dxa"/>
              <w:right w:w="28" w:type="dxa"/>
            </w:tcMar>
            <w:vAlign w:val="center"/>
          </w:tcPr>
          <w:p>
            <w:pPr>
              <w:pStyle w:val="TableContents"/>
              <w:bidi w:val="0"/>
              <w:spacing w:before="0" w:after="283"/>
              <w:jc w:val="left"/>
              <w:rPr/>
            </w:pPr>
            <w:r>
              <w:rPr/>
              <w:t> </w:t>
            </w:r>
          </w:p>
        </w:tc>
      </w:tr>
      <w:tr>
        <w:trPr/>
        <w:tc>
          <w:tcPr>
            <w:tcW w:w="995" w:type="dxa"/>
            <w:tcBorders>
              <w:left w:val="single" w:sz="2" w:space="0" w:color="000000"/>
            </w:tcBorders>
            <w:tcMar>
              <w:top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5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150" w:type="dxa"/>
            <w:tcBorders/>
            <w:tcMar>
              <w:top w:w="0" w:type="dxa"/>
              <w:left w:w="0" w:type="dxa"/>
              <w:bottom w:w="0" w:type="dxa"/>
            </w:tcMar>
            <w:vAlign w:val="center"/>
          </w:tcPr>
          <w:p>
            <w:pPr>
              <w:pStyle w:val="TableContents"/>
              <w:bidi w:val="0"/>
              <w:spacing w:before="0" w:after="283"/>
              <w:jc w:val="left"/>
              <w:rPr/>
            </w:pPr>
            <w:r>
              <w:rPr/>
              <w:t> </w:t>
            </w:r>
          </w:p>
        </w:tc>
        <w:tc>
          <w:tcPr>
            <w:tcW w:w="1489"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tcMar>
              <w:top w:w="0" w:type="dxa"/>
              <w:left w:w="0" w:type="dxa"/>
              <w:bottom w:w="0" w:type="dxa"/>
            </w:tcMar>
            <w:vAlign w:val="center"/>
          </w:tcPr>
          <w:p>
            <w:pPr>
              <w:pStyle w:val="TableContents"/>
              <w:bidi w:val="0"/>
              <w:spacing w:before="0" w:after="283"/>
              <w:jc w:val="left"/>
              <w:rPr/>
            </w:pPr>
            <w:r>
              <w:rPr/>
              <w:t> </w:t>
            </w:r>
          </w:p>
        </w:tc>
        <w:tc>
          <w:tcPr>
            <w:tcW w:w="164" w:type="dxa"/>
            <w:tcBorders/>
            <w:tcMar>
              <w:top w:w="0" w:type="dxa"/>
              <w:left w:w="0" w:type="dxa"/>
              <w:bottom w:w="0" w:type="dxa"/>
            </w:tcMar>
            <w:vAlign w:val="center"/>
          </w:tcPr>
          <w:p>
            <w:pPr>
              <w:pStyle w:val="TableContents"/>
              <w:bidi w:val="0"/>
              <w:spacing w:before="0" w:after="283"/>
              <w:jc w:val="left"/>
              <w:rPr/>
            </w:pPr>
            <w:r>
              <w:rPr/>
              <w:t> </w:t>
            </w:r>
          </w:p>
        </w:tc>
        <w:tc>
          <w:tcPr>
            <w:tcW w:w="1640" w:type="dxa"/>
            <w:tcBorders/>
            <w:tcMar>
              <w:top w:w="0" w:type="dxa"/>
              <w:left w:w="0" w:type="dxa"/>
              <w:bottom w:w="0" w:type="dxa"/>
            </w:tcMar>
            <w:vAlign w:val="center"/>
          </w:tcPr>
          <w:p>
            <w:pPr>
              <w:pStyle w:val="TableContents"/>
              <w:bidi w:val="0"/>
              <w:spacing w:before="0" w:after="283"/>
              <w:jc w:val="left"/>
              <w:rPr/>
            </w:pPr>
            <w:r>
              <w:rPr/>
              <w:t> </w:t>
            </w:r>
          </w:p>
        </w:tc>
        <w:tc>
          <w:tcPr>
            <w:tcW w:w="200" w:type="dxa"/>
            <w:tcBorders>
              <w:right w:val="single" w:sz="2" w:space="0" w:color="000000"/>
            </w:tcBorders>
            <w:tcMar>
              <w:top w:w="0" w:type="dxa"/>
              <w:left w:w="0" w:type="dxa"/>
              <w:bottom w:w="0" w:type="dxa"/>
              <w:right w:w="28" w:type="dxa"/>
            </w:tcMar>
            <w:vAlign w:val="center"/>
          </w:tcPr>
          <w:p>
            <w:pPr>
              <w:pStyle w:val="TableContents"/>
              <w:bidi w:val="0"/>
              <w:spacing w:before="0" w:after="283"/>
              <w:jc w:val="left"/>
              <w:rPr/>
            </w:pPr>
            <w:r>
              <w:rPr/>
              <w:t> </w:t>
            </w:r>
          </w:p>
        </w:tc>
      </w:tr>
      <w:tr>
        <w:trPr/>
        <w:tc>
          <w:tcPr>
            <w:tcW w:w="99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12/31/2020</w:t>
            </w:r>
          </w:p>
          <w:p>
            <w:pPr>
              <w:pStyle w:val="TableContents"/>
              <w:bidi w:val="0"/>
              <w:spacing w:before="0" w:after="0"/>
              <w:ind w:left="0" w:right="0" w:hanging="0"/>
              <w:jc w:val="center"/>
              <w:rPr/>
            </w:pPr>
            <w:r>
              <w:rPr/>
              <w:t> </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200" w:type="dxa"/>
            <w:tcBorders>
              <w:right w:val="single" w:sz="2" w:space="0" w:color="000000"/>
            </w:tcBorders>
            <w:shd w:fill="CCEE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12/31/2021</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w:t>
            </w:r>
          </w:p>
        </w:tc>
        <w:tc>
          <w:tcPr>
            <w:tcW w:w="18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104.78</w:t>
            </w:r>
          </w:p>
        </w:tc>
        <w:tc>
          <w:tcPr>
            <w:tcW w:w="18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121.39</w:t>
            </w:r>
          </w:p>
        </w:tc>
        <w:tc>
          <w:tcPr>
            <w:tcW w:w="200" w:type="dxa"/>
            <w:tcBorders>
              <w:right w:val="single" w:sz="2" w:space="0" w:color="000000"/>
            </w:tcBorders>
            <w:shd w:fill="FFFF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12/31/2022</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78.34</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81.21</w:t>
            </w:r>
          </w:p>
        </w:tc>
        <w:tc>
          <w:tcPr>
            <w:tcW w:w="200" w:type="dxa"/>
            <w:tcBorders>
              <w:right w:val="single" w:sz="2" w:space="0" w:color="000000"/>
            </w:tcBorders>
            <w:shd w:fill="CCEE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12/31/2023</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227.03</w:t>
            </w:r>
          </w:p>
        </w:tc>
        <w:tc>
          <w:tcPr>
            <w:tcW w:w="18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87.97</w:t>
            </w:r>
          </w:p>
        </w:tc>
        <w:tc>
          <w:tcPr>
            <w:tcW w:w="185" w:type="dxa"/>
            <w:tcBorders/>
            <w:shd w:fill="FFFF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top w:w="0" w:type="dxa"/>
              <w:left w:w="0" w:type="dxa"/>
              <w:bottom w:w="0" w:type="dxa"/>
            </w:tcM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116.47</w:t>
            </w:r>
          </w:p>
        </w:tc>
        <w:tc>
          <w:tcPr>
            <w:tcW w:w="200" w:type="dxa"/>
            <w:tcBorders>
              <w:right w:val="single" w:sz="2" w:space="0" w:color="000000"/>
            </w:tcBorders>
            <w:shd w:fill="FFFF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left w:val="single" w:sz="2" w:space="0" w:color="000000"/>
              <w:bottom w:val="single" w:sz="2" w:space="0" w:color="000000"/>
            </w:tcBorders>
            <w:shd w:fill="CCEE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12/31/2024</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433.14</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97.78</w:t>
            </w:r>
          </w:p>
        </w:tc>
        <w:tc>
          <w:tcPr>
            <w:tcW w:w="185" w:type="dxa"/>
            <w:tcBorders/>
            <w:shd w:fill="CCEEFF" w:val="clear"/>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top w:w="0" w:type="dxa"/>
              <w:left w:w="0" w:type="dxa"/>
              <w:bottom w:w="0" w:type="dxa"/>
            </w:tcM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CCEE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149.83</w:t>
            </w:r>
          </w:p>
        </w:tc>
        <w:tc>
          <w:tcPr>
            <w:tcW w:w="200" w:type="dxa"/>
            <w:tcBorders>
              <w:right w:val="single" w:sz="2" w:space="0" w:color="000000"/>
            </w:tcBorders>
            <w:shd w:fill="CCEEFF" w:val="clear"/>
            <w:tcMar>
              <w:top w:w="0" w:type="dxa"/>
              <w:left w:w="0" w:type="dxa"/>
              <w:bottom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left w:val="single" w:sz="2" w:space="0" w:color="000000"/>
              <w:bottom w:val="single" w:sz="2" w:space="0" w:color="000000"/>
            </w:tcBorders>
            <w:shd w:fill="FFFFFF" w:val="clear"/>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12/31/2025</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409.64</w:t>
            </w:r>
          </w:p>
        </w:tc>
        <w:tc>
          <w:tcPr>
            <w:tcW w:w="185" w:type="dxa"/>
            <w:tcBorders>
              <w:bottom w:val="single" w:sz="2"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489"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107.40</w:t>
            </w:r>
          </w:p>
        </w:tc>
        <w:tc>
          <w:tcPr>
            <w:tcW w:w="185" w:type="dxa"/>
            <w:tcBorders>
              <w:bottom w:val="single" w:sz="2" w:space="0" w:color="000000"/>
            </w:tcBorders>
            <w:shd w:fill="FFFFFF" w:val="clear"/>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top w:w="0" w:type="dxa"/>
              <w:left w:w="0" w:type="dxa"/>
            </w:tcM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left"/>
              <w:rPr/>
            </w:pPr>
            <w:r>
              <w:rPr/>
              <w:t> </w:t>
            </w:r>
          </w:p>
        </w:tc>
        <w:tc>
          <w:tcPr>
            <w:tcW w:w="1640" w:type="dxa"/>
            <w:tcBorders>
              <w:bottom w:val="single" w:sz="2" w:space="0" w:color="000000"/>
            </w:tcBorders>
            <w:shd w:fill="FFFFFF" w:val="clear"/>
            <w:tcMar>
              <w:top w:w="0" w:type="dxa"/>
              <w:lef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180.33</w:t>
            </w:r>
          </w:p>
        </w:tc>
        <w:tc>
          <w:tcPr>
            <w:tcW w:w="200" w:type="dxa"/>
            <w:tcBorders>
              <w:bottom w:val="single" w:sz="2" w:space="0" w:color="000000"/>
              <w:right w:val="single" w:sz="2" w:space="0" w:color="000000"/>
            </w:tcBorders>
            <w:shd w:fill="FFFFFF" w:val="clear"/>
            <w:tcMar>
              <w:top w:w="0" w:type="dxa"/>
              <w:left w:w="0"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For equity compensation plan information refer to Item 12 of this Form 10-K.</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Dividend Policy</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Unregistered Sales of Equity Securities</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None.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Purchases of Equity Securities by Issuer and Affiliated Purchasers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None.</w:t>
      </w:r>
      <w:r>
        <w:rPr>
          <w:rFonts w:cs="Times New Roman;Times;serif"/>
          <w:szCs w:val="20"/>
        </w:rPr>
        <w:t>﻿</w:t>
      </w:r>
    </w:p>
    <w:p>
      <w:pPr>
        <w:pStyle w:val="TextBody"/>
        <w:bidi w:val="0"/>
        <w:spacing w:before="0" w:after="0"/>
        <w:ind w:left="0" w:right="0" w:firstLine="720"/>
        <w:jc w:val="left"/>
        <w:rPr/>
      </w:pPr>
      <w:r>
        <w:rPr/>
        <w:t> </w:t>
      </w:r>
    </w:p>
    <w:tbl>
      <w:tblPr>
        <w:tblW w:w="1570" w:type="dxa"/>
        <w:jc w:val="left"/>
        <w:tblInd w:w="0" w:type="dxa"/>
        <w:tblLayout w:type="fixed"/>
        <w:tblCellMar>
          <w:top w:w="0" w:type="dxa"/>
          <w:left w:w="0" w:type="dxa"/>
          <w:bottom w:w="0" w:type="dxa"/>
          <w:right w:w="0" w:type="dxa"/>
        </w:tblCellMar>
      </w:tblPr>
      <w:tblGrid>
        <w:gridCol w:w="650"/>
        <w:gridCol w:w="92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3" w:name="Item_6"/>
            <w:bookmarkEnd w:id="13"/>
            <w:r>
              <w:rPr>
                <w:rFonts w:ascii="Times New Roman;Times;serif" w:hAnsi="Times New Roman;Times;serif"/>
                <w:b/>
                <w:sz w:val="20"/>
                <w:shd w:fill="FFFFFF" w:val="clear"/>
              </w:rPr>
              <w:t xml:space="preserve">Item 6. </w:t>
            </w:r>
          </w:p>
        </w:tc>
        <w:tc>
          <w:tcPr>
            <w:tcW w:w="92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[Reserved]</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hanging="0"/>
        <w:jc w:val="left"/>
        <w:rPr/>
      </w:pPr>
      <w:r>
        <w:rPr/>
        <w:t> </w:t>
      </w:r>
    </w:p>
    <w:tbl>
      <w:tblPr>
        <w:tblW w:w="8125" w:type="dxa"/>
        <w:jc w:val="left"/>
        <w:tblInd w:w="0" w:type="dxa"/>
        <w:tblLayout w:type="fixed"/>
        <w:tblCellMar>
          <w:top w:w="0" w:type="dxa"/>
          <w:left w:w="0" w:type="dxa"/>
          <w:bottom w:w="0" w:type="dxa"/>
          <w:right w:w="0" w:type="dxa"/>
        </w:tblCellMar>
      </w:tblPr>
      <w:tblGrid>
        <w:gridCol w:w="650"/>
        <w:gridCol w:w="747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4" w:name="Item_7"/>
            <w:bookmarkEnd w:id="14"/>
            <w:r>
              <w:rPr>
                <w:rFonts w:ascii="Times New Roman;Times;serif" w:hAnsi="Times New Roman;Times;serif"/>
                <w:b/>
                <w:sz w:val="20"/>
                <w:shd w:fill="FFFFFF" w:val="clear"/>
              </w:rPr>
              <w:t xml:space="preserve">Item 7. </w:t>
            </w:r>
          </w:p>
        </w:tc>
        <w:tc>
          <w:tcPr>
            <w:tcW w:w="747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Management’s Discussion and Analysis of Financial Condition and Results of Operations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 xml:space="preserve">of our plans, objectives, expectations and intentions. Our actual results could differ materially from those discussed in the forward-looking statements. Factors that could cause or contribute to such differences include, but are not limited to, those discussed in “Risk Factors.” </w:t>
      </w:r>
      <w:r>
        <w:rPr>
          <w:rFonts w:ascii="Times New Roman" w:hAnsi="Times New Roman"/>
          <w:i/>
          <w:color w:val="000000"/>
          <w:sz w:val="20"/>
          <w:shd w:fill="FFFFFF" w:val="clear"/>
        </w:rPr>
        <w:t>This section generally discusses the results of our operations for the year ended December 31, 2025, compared to the year ended December 31, 2024. For a discussion of the year ended December 31, 2024 compared to the year ended December 31, 2023, please refer to Part II, Item 7, "Management's Discussion and Analysis of Financial Condition and Results of Operations" in our Annual Report on Form 10-K for the year ended December 31,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Overview</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return-path bandwidth available to offer to their customers. In the FTTH market, we benefit from continuing PON deployments and system upgrades among telecom service providers. In the telecom market, we benefit from deployment of new high-speed fiber-optic networks by telecom network operators, including 5G networks.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 2024 and 2023</w:t>
      </w:r>
      <w:r>
        <w:rPr>
          <w:rFonts w:ascii="Times New Roman;Times;serif" w:hAnsi="Times New Roman;Times;serif"/>
          <w:sz w:val="20"/>
          <w:shd w:fill="FFFFFF" w:val="clear"/>
        </w:rPr>
        <w:t xml:space="preserve">, our revenue was $455.7 million, $249.4 million and $217.6 million, and our gross margin was 30.1%, 24.8% and 27.1%, respectively. We have grown our annual revenue at a compound annual growth rate, or CAGR, of 5.7% between 2016 and </w:t>
      </w:r>
      <w:r>
        <w:rPr>
          <w:rFonts w:ascii="Times New Roman;Times;serif" w:hAnsi="Times New Roman;Times;serif"/>
          <w:sz w:val="20"/>
        </w:rPr>
        <w:t>2025</w:t>
      </w:r>
      <w:r>
        <w:rPr>
          <w:rFonts w:ascii="Times New Roman;Times;serif" w:hAnsi="Times New Roman;Times;serif"/>
          <w:sz w:val="20"/>
          <w:shd w:fill="FFFFFF" w:val="clear"/>
        </w:rPr>
        <w:t xml:space="preserve">. In the years ended </w:t>
      </w:r>
      <w:r>
        <w:rPr>
          <w:rFonts w:ascii="Times New Roman;Times;serif" w:hAnsi="Times New Roman;Times;serif"/>
          <w:sz w:val="20"/>
        </w:rPr>
        <w:t>December 31, 2025, 2024 and 2023</w:t>
      </w:r>
      <w:r>
        <w:rPr>
          <w:rFonts w:ascii="Times New Roman;Times;serif" w:hAnsi="Times New Roman;Times;serif"/>
          <w:sz w:val="20"/>
          <w:shd w:fill="FFFFFF" w:val="clear"/>
        </w:rPr>
        <w:t xml:space="preserve">, we had net loss of $38.2 million, $186.7 million and $56.0 million,  respectively.  At </w:t>
      </w:r>
      <w:r>
        <w:rPr>
          <w:rFonts w:ascii="Times New Roman;Times;serif" w:hAnsi="Times New Roman;Times;serif"/>
          <w:sz w:val="20"/>
        </w:rPr>
        <w:t>December 31, 2025 and 2024</w:t>
      </w:r>
      <w:r>
        <w:rPr>
          <w:rFonts w:ascii="Times New Roman;Times;serif" w:hAnsi="Times New Roman;Times;serif"/>
          <w:sz w:val="20"/>
          <w:shd w:fill="FFFFFF" w:val="clear"/>
        </w:rPr>
        <w:t xml:space="preserve">, our accumulated deficit was $491.0 million and $451.9 million, respectively. In </w:t>
      </w:r>
      <w:r>
        <w:rPr>
          <w:rFonts w:ascii="Times New Roman;Times;serif" w:hAnsi="Times New Roman;Times;serif"/>
          <w:sz w:val="20"/>
        </w:rPr>
        <w:t>2025</w:t>
      </w:r>
      <w:r>
        <w:rPr>
          <w:rFonts w:ascii="Times New Roman;Times;serif" w:hAnsi="Times New Roman;Times;serif"/>
          <w:sz w:val="20"/>
          <w:shd w:fill="FFFFFF" w:val="clear"/>
        </w:rPr>
        <w:t>, we earned 53.8% of our total revenue from the CATV market and 42.9% of our total revenue from the internet data center market.</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We sell our products to leading OEMs in the CATV, telecom, and FTTH markets as well as internet data center operators and CATV MSOs. In </w:t>
      </w:r>
      <w:r>
        <w:rPr>
          <w:rFonts w:ascii="Times New Roman;Times;serif" w:hAnsi="Times New Roman;Times;serif"/>
          <w:sz w:val="20"/>
        </w:rPr>
        <w:t>2025</w:t>
      </w:r>
      <w:r>
        <w:rPr>
          <w:rFonts w:ascii="Times New Roman;Times;serif" w:hAnsi="Times New Roman;Times;serif"/>
          <w:sz w:val="20"/>
          <w:shd w:fill="FFFFFF" w:val="clear"/>
        </w:rPr>
        <w:t xml:space="preserve">, revenue from CATV market, the internet data center market, telecom market, FTTH and other markets provided 53.8%, 42.9%, 3.0% and 0.3% of our revenue, respectively, compared to 35.2%, 59.5%, 4.4% and 0.9%, respectively, in </w:t>
      </w:r>
      <w:r>
        <w:rPr>
          <w:rFonts w:ascii="Times New Roman;Times;serif" w:hAnsi="Times New Roman;Times;serif"/>
          <w:sz w:val="20"/>
        </w:rPr>
        <w:t>2024</w:t>
      </w:r>
      <w:r>
        <w:rPr>
          <w:rFonts w:ascii="Times New Roman;Times;serif" w:hAnsi="Times New Roman;Times;serif"/>
          <w:sz w:val="20"/>
          <w:shd w:fill="FFFFFF" w:val="clear"/>
        </w:rPr>
        <w:t xml:space="preserve">. In </w:t>
      </w:r>
      <w:r>
        <w:rPr>
          <w:rFonts w:ascii="Times New Roman;Times;serif" w:hAnsi="Times New Roman;Times;serif"/>
          <w:sz w:val="20"/>
        </w:rPr>
        <w:t>2025</w:t>
      </w:r>
      <w:r>
        <w:rPr>
          <w:rFonts w:ascii="Times New Roman;Times;serif" w:hAnsi="Times New Roman;Times;serif"/>
          <w:sz w:val="20"/>
          <w:shd w:fill="FFFFFF" w:val="clear"/>
        </w:rPr>
        <w:t xml:space="preserve">, our key customer in the CATV market was Digicomm. In </w:t>
      </w:r>
      <w:r>
        <w:rPr>
          <w:rFonts w:ascii="Times New Roman;Times;serif" w:hAnsi="Times New Roman;Times;serif"/>
          <w:sz w:val="20"/>
        </w:rPr>
        <w:t>2025</w:t>
      </w:r>
      <w:r>
        <w:rPr>
          <w:rFonts w:ascii="Times New Roman;Times;serif" w:hAnsi="Times New Roman;Times;serif"/>
          <w:sz w:val="20"/>
          <w:shd w:fill="FFFFFF" w:val="clear"/>
        </w:rPr>
        <w:t xml:space="preserve">, </w:t>
      </w:r>
      <w:r>
        <w:rPr>
          <w:rFonts w:ascii="Times New Roman;Times;serif" w:hAnsi="Times New Roman;Times;serif"/>
          <w:sz w:val="20"/>
        </w:rPr>
        <w:t>2024</w:t>
      </w:r>
      <w:r>
        <w:rPr>
          <w:rFonts w:ascii="Times New Roman;Times;serif" w:hAnsi="Times New Roman;Times;serif"/>
          <w:sz w:val="20"/>
          <w:shd w:fill="FFFFFF" w:val="clear"/>
        </w:rPr>
        <w:t xml:space="preserve">, and </w:t>
      </w:r>
      <w:r>
        <w:rPr>
          <w:rFonts w:ascii="Times New Roman;Times;serif" w:hAnsi="Times New Roman;Times;serif"/>
          <w:sz w:val="20"/>
        </w:rPr>
        <w:t>2023</w:t>
      </w:r>
      <w:r>
        <w:rPr>
          <w:rFonts w:ascii="Times New Roman;Times;serif" w:hAnsi="Times New Roman;Times;serif"/>
          <w:sz w:val="20"/>
          <w:shd w:fill="FFFFFF" w:val="clear"/>
        </w:rPr>
        <w:t xml:space="preserve">, Digicomm accounted for 53.1%, 34.1% and 11.3% of our revenue, respectively, and in 2023, ATX Networks accounted for 15.6% of our revenue. In </w:t>
      </w:r>
      <w:r>
        <w:rPr>
          <w:rFonts w:ascii="Times New Roman;Times;serif" w:hAnsi="Times New Roman;Times;serif"/>
          <w:sz w:val="20"/>
        </w:rPr>
        <w:t>2025</w:t>
      </w:r>
      <w:r>
        <w:rPr>
          <w:rFonts w:ascii="Times New Roman;Times;serif" w:hAnsi="Times New Roman;Times;serif"/>
          <w:sz w:val="20"/>
          <w:shd w:fill="FFFFFF" w:val="clear"/>
        </w:rPr>
        <w:t xml:space="preserve">, our key customer in the internet data center market was Microsoft. In </w:t>
      </w:r>
      <w:r>
        <w:rPr>
          <w:rFonts w:ascii="Times New Roman;Times;serif" w:hAnsi="Times New Roman;Times;serif"/>
          <w:sz w:val="20"/>
        </w:rPr>
        <w:t>2025, 2024 and 2023</w:t>
      </w:r>
      <w:r>
        <w:rPr>
          <w:rFonts w:ascii="Times New Roman;Times;serif" w:hAnsi="Times New Roman;Times;serif"/>
          <w:sz w:val="20"/>
          <w:shd w:fill="FFFFFF" w:val="clear"/>
        </w:rPr>
        <w:t>, Microsoft accounted for 28.8%, 46.6% and 18.4% of our revenue, respectively, and in 2024, Oracle accounted for 12.4% of our revenue.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w:t>
      </w:r>
      <w:r>
        <w:rPr>
          <w:rFonts w:ascii="Times New Roman;Times;serif" w:hAnsi="Times New Roman;Times;serif"/>
          <w:sz w:val="20"/>
          <w:shd w:fill="FFFFFF" w:val="clear"/>
        </w:rPr>
        <w:t>, our increase of revenue of 82.8% over the prior-year was driven primarily by increased demands both for our CATV products and internet data center products, which we believe is arising from demand for products necessary for new data center construction along with data center upgrades to enable new technologies like AI. Based on customer forecasts and order backlog we believe that this elevated data center demand will likely continue into 2026. We also believe that sales in our CATV market will increase in 2026.</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expect continued sales of our 40 Gbps, 100 Gbps, and 400 Gbps products in 2026, and we expect that sales of 800 Gbps products will likely exceed sales of 400 Gbps products later in 2026. However, quarter-to-quarter results may show considerable variability as is usual in a period of technology transition. Similar to revenue, our gross margins can fluctuate materially depending on a variety of factors including average selling price changes, product mix, global supply chain situation, raw material cost reduction or increase, manufacturing utilization rate and changes in manufacturing efficiency.</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along with CATV MSOs.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2025, 2024 and 2023, we had 9, 8 and 6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Factors Affecting Our Performance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Increasing Demand for Data Center Connectivity, Especially for AI applications.</w:t>
      </w:r>
      <w:r>
        <w:rPr>
          <w:rFonts w:ascii="Times New Roman;Times;serif" w:hAnsi="Times New Roman;Times;serif"/>
          <w:sz w:val="20"/>
        </w:rPr>
        <w:t xml:space="preserve"> Our large hyperscale customers are increasingly deploying massive data centers to support AI compute (e.g. training AI models, and drawing inferences from those models). As the demand for AI compute increases, so does the demand for interconnection between compute elements. Our products are used to interconnect network elements within data centers generally, and our 800G products in particular are used to interconnect AI compute infrastructure. Increasing use of AI and building more sophisticated and compute-intensive AI models directly drives the need for our products in interconnects within these AI-focused data centers.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Increasing Consumer Demand for Bandwidth.</w:t>
      </w:r>
      <w:r>
        <w:rPr>
          <w:rFonts w:ascii="Times New Roman;Times;serif" w:hAnsi="Times New Roman;Times;serif"/>
          <w:sz w:val="20"/>
          <w:shd w:fill="FFFFFF" w:val="clear"/>
        </w:rPr>
        <w:t xml:space="preserve"> Bandwidth demand in all of our target markets is driving service provider investment in new 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Pricing, Product Cost and Margins.</w:t>
      </w:r>
      <w:r>
        <w:rPr>
          <w:rFonts w:ascii="Times New Roman;Times;serif" w:hAnsi="Times New Roman;Times;serif"/>
          <w:sz w:val="20"/>
          <w:shd w:fill="FFFFFF" w:val="clear"/>
        </w:rPr>
        <w:t xml:space="preserve"> Our products are sold in a highly competitive marketplace, and in many cases our products are only 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pStyle w:val="TextBody"/>
        <w:bidi w:val="0"/>
        <w:spacing w:before="0" w:after="0"/>
        <w:ind w:left="0" w:right="0" w:firstLine="72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tc>
      </w:tr>
    </w:tbl>
    <w:p>
      <w:pPr>
        <w:pStyle w:val="TextBody"/>
        <w:bidi w:val="0"/>
        <w:spacing w:before="0" w:after="0"/>
        <w:ind w:left="1490" w:right="0" w:hanging="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tc>
      </w:tr>
    </w:tbl>
    <w:p>
      <w:pPr>
        <w:pStyle w:val="TextBody"/>
        <w:bidi w:val="0"/>
        <w:spacing w:before="0" w:after="0"/>
        <w:ind w:left="1490" w:right="0" w:hanging="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60"/>
        <w:gridCol w:w="75"/>
        <w:gridCol w:w="1007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0"/>
              <w:ind w:left="0" w:right="0" w:hanging="0"/>
              <w:jc w:val="both"/>
              <w:rPr>
                <w:shd w:fill="FFFFFF" w:val="clear"/>
              </w:rPr>
            </w:pPr>
            <w:r>
              <w:rPr>
                <w:shd w:fill="FFFFFF" w:val="clear"/>
              </w:rPr>
              <w:noBreakHyphen/>
            </w:r>
          </w:p>
        </w:tc>
        <w:tc>
          <w:tcPr>
            <w:tcW w:w="1007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product pricing is established when the product is initially introduced to the market, and thereafter through periodic negotiations with customers.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Customer Concentration within End Markets.</w:t>
      </w:r>
      <w:r>
        <w:rPr>
          <w:rFonts w:ascii="Times New Roman;Times;serif" w:hAnsi="Times New Roman;Times;serif"/>
          <w:sz w:val="20"/>
          <w:shd w:fill="FFFFFF" w:val="clear"/>
        </w:rPr>
        <w:t xml:space="preserve"> Our revenue tends to be split primarily between CATV market and data center market. Moreover, within these markets, revenue tends to be concentrated among a small number of customers.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two customers that accounted for more than 10% of our revenue in 2025 and three customers that accounted for more than 10% of our revenue in 2024.  Given the size of our data center customers, however, we continue to expect high concentration of our revenue with the largest of these customers.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shd w:fill="FFFFFF" w:val="clear"/>
        </w:rPr>
        <w:t>Product Development.</w:t>
      </w:r>
      <w:r>
        <w:rPr>
          <w:rFonts w:ascii="Times New Roman;Times;serif" w:hAnsi="Times New Roman;Times;serif"/>
          <w:sz w:val="20"/>
          <w:shd w:fill="FFFFFF" w:val="clear"/>
        </w:rPr>
        <w:t xml:space="preserve"> We invest heavily to develop new and innovative products. The majority of our research and development expense is allocated to product development, usually with a specific customer and customer platform in mind. We believe our close coordination with our customers regarding their future product requirements enhances the efficiency of our research and development expenditures.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shd w:fill="FFFFFF" w:val="clear"/>
        </w:rPr>
        <w:t>Discussion of Financial Performance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Revenue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w:t>
      </w:r>
      <w:r>
        <w:rPr>
          <w:rFonts w:ascii="Times New Roman;Times;serif" w:hAnsi="Times New Roman;Times;serif"/>
          <w:sz w:val="20"/>
        </w:rPr>
        <w:t>2025, 2024 and 2023</w:t>
      </w:r>
      <w:r>
        <w:rPr>
          <w:rFonts w:ascii="Times New Roman;Times;serif" w:hAnsi="Times New Roman;Times;serif"/>
          <w:sz w:val="20"/>
          <w:shd w:fill="FFFFFF" w:val="clear"/>
        </w:rPr>
        <w:t>, as well as the corresponding percentage of our total revenue for each period (in thousands, except percentages):</w:t>
      </w:r>
    </w:p>
    <w:p>
      <w:pPr>
        <w:pStyle w:val="TextBody"/>
        <w:bidi w:val="0"/>
        <w:spacing w:before="0" w:after="0"/>
        <w:ind w:left="0" w:right="0" w:hanging="0"/>
        <w:jc w:val="left"/>
        <w:rPr/>
      </w:pPr>
      <w:r>
        <w:rPr/>
        <w:t> </w:t>
      </w:r>
    </w:p>
    <w:tbl>
      <w:tblPr>
        <w:tblW w:w="4130" w:type="dxa"/>
        <w:jc w:val="left"/>
        <w:tblInd w:w="0" w:type="dxa"/>
        <w:tblLayout w:type="fixed"/>
        <w:tblCellMar>
          <w:top w:w="0" w:type="dxa"/>
          <w:left w:w="0" w:type="dxa"/>
          <w:bottom w:w="0" w:type="dxa"/>
          <w:right w:w="0" w:type="dxa"/>
        </w:tblCellMar>
      </w:tblPr>
      <w:tblGrid>
        <w:gridCol w:w="1310"/>
        <w:gridCol w:w="60"/>
        <w:gridCol w:w="125"/>
        <w:gridCol w:w="695"/>
        <w:gridCol w:w="60"/>
        <w:gridCol w:w="60"/>
        <w:gridCol w:w="125"/>
        <w:gridCol w:w="695"/>
        <w:gridCol w:w="60"/>
        <w:gridCol w:w="60"/>
        <w:gridCol w:w="125"/>
        <w:gridCol w:w="695"/>
        <w:gridCol w:w="60"/>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59,942</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141,213</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13,831</w:t>
            </w:r>
          </w:p>
        </w:tc>
        <w:tc>
          <w:tcPr>
            <w:tcW w:w="60"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60"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492" w:type="dxa"/>
        <w:jc w:val="left"/>
        <w:tblInd w:w="0" w:type="dxa"/>
        <w:tblLayout w:type="fixed"/>
        <w:tblCellMar>
          <w:top w:w="0" w:type="dxa"/>
          <w:left w:w="0" w:type="dxa"/>
          <w:bottom w:w="0" w:type="dxa"/>
          <w:right w:w="0" w:type="dxa"/>
        </w:tblCellMar>
      </w:tblPr>
      <w:tblGrid>
        <w:gridCol w:w="1310"/>
        <w:gridCol w:w="60"/>
        <w:gridCol w:w="64"/>
        <w:gridCol w:w="407"/>
        <w:gridCol w:w="198"/>
        <w:gridCol w:w="64"/>
        <w:gridCol w:w="64"/>
        <w:gridCol w:w="407"/>
        <w:gridCol w:w="198"/>
        <w:gridCol w:w="64"/>
        <w:gridCol w:w="64"/>
        <w:gridCol w:w="407"/>
        <w:gridCol w:w="185"/>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Revenue</w:t>
            </w:r>
          </w:p>
        </w:tc>
        <w:tc>
          <w:tcPr>
            <w:tcW w:w="18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Center</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CATV</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FTTH and other</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w:t>
      </w:r>
      <w:r>
        <w:rPr>
          <w:rFonts w:ascii="Times New Roman;Times;serif" w:hAnsi="Times New Roman;Times;serif"/>
          <w:sz w:val="20"/>
        </w:rPr>
        <w:t>2025, 2024 and 2023</w:t>
      </w:r>
      <w:r>
        <w:rPr>
          <w:rFonts w:ascii="Times New Roman;Times;serif" w:hAnsi="Times New Roman;Times;serif"/>
          <w:sz w:val="20"/>
          <w:shd w:fill="FFFFFF" w:val="clear"/>
        </w:rPr>
        <w:t>, our top ten customers represented 96.6%, 95.0% and 92.7% of our revenue, respectively.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w:t>
      </w:r>
      <w:r>
        <w:rPr>
          <w:rFonts w:ascii="Times New Roman;Times;serif" w:hAnsi="Times New Roman;Times;serif"/>
          <w:sz w:val="20"/>
        </w:rPr>
        <w:t>December 31, 2025</w:t>
      </w:r>
      <w:r>
        <w:rPr>
          <w:rFonts w:ascii="Times New Roman;Times;serif" w:hAnsi="Times New Roman;Times;serif"/>
          <w:sz w:val="20"/>
          <w:shd w:fill="FFFFFF" w:val="clear"/>
        </w:rPr>
        <w:t>, 57.5% of our total revenue was manufactured at our China-based subsidiary, with $3.4 million denominated in RMB and 38.2% of our total revenue was from products manufactured at our Taiwan-based facility, with no revenue denominated in NT dollars. We expect a similar (negligible) portion of our sales to be denominated in foreign currencies in 2026. In 2026, we expect to expand our manufacturing operations in the U.S. and Taiwan, with these two locations contributing more meaningfully to total revenue than in prior years.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Cost of goods sold and gross margin</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cost of goods sold is impacted by variances arising from changes in yields and production volume, as well as increases or decreases in the cost of raw materials used in production. We typically experience lower yields and higher associated costs on new products, especially during the initial phase of the production.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manufacture products in our facilities located in the U.S., Taiwan and China. Generally, laser chips and optical components are manufactured in our Sugar Land facility, and optical components, subassemblies and optical equipment are manufactured in our Taiwan and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a global set of suppliers to help balance considerations related to product availability, quality and cost. Components of our cost of goods sold are denominated in U.S. or NT dollars or RMB, depending upon the manufacturing location.</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24.8% and 30.0%,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Operating expenses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Sales and marketing.</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Sales and marketing expense consists primarily of personnel costs, including share-based compensation for our sales and marketing personnel, as well as travel and trade show expenses, shipping and tariff expenses, sales commissions and the allocation of overall corporate services and facility costs. We sell our products to customers who either incorporate our products into their own products, use them in their own infrastructure,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w:t>
      </w:r>
      <w:r>
        <w:rPr>
          <w:rFonts w:ascii="Times New Roman;Times;serif" w:hAnsi="Times New Roman;Times;serif"/>
          <w:sz w:val="20"/>
        </w:rPr>
        <w:t>2025, 2024 and 2023</w:t>
      </w:r>
      <w:r>
        <w:rPr>
          <w:rFonts w:ascii="Times New Roman;Times;serif" w:hAnsi="Times New Roman;Times;serif"/>
          <w:sz w:val="20"/>
          <w:shd w:fill="FFFFFF" w:val="clear"/>
        </w:rPr>
        <w:t xml:space="preserve">. Additionally, we pay commissions to third parties on certain product lines and identified customers, which also amounted to less than one percent of our revenue in </w:t>
      </w:r>
      <w:r>
        <w:rPr>
          <w:rFonts w:ascii="Times New Roman;Times;serif" w:hAnsi="Times New Roman;Times;serif"/>
          <w:sz w:val="20"/>
        </w:rPr>
        <w:t>2025, 2024 and 2023</w:t>
      </w:r>
      <w:r>
        <w:rPr>
          <w:rFonts w:ascii="Times New Roman;Times;serif" w:hAnsi="Times New Roman;Times;serif"/>
          <w:sz w:val="20"/>
          <w:shd w:fill="FFFFFF" w:val="clear"/>
        </w:rPr>
        <w:t>.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Other income (expense)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Interest income consists of income earned on our cash, cash equivalents and short-term investments. Interest expense consists of amounts paid for interest on our short-term and long-term debt borrowings, and convertible senior notes.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income (expense), net is primarily made up of government subsidized income, extinguishment of debt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Income taxes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2025, 2024 and 2023 our effective tax rate was 17.97%.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three-year period. Global renewed its national high-tech enterprise certificate in 2011, 2014, 2017, 2020, and 2023 extending its three-year tax preferential status through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For the years ended December 31, 2025 and 2024, we had $0.2 million each, of unrecognized tax benefits related to U.S. tax benefits recognized for which we do not meet the more likely than not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See additional information regarding income taxes in Note O, included in Part II, Item 8 of this Form 10-K.</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Seasonality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We are uncertain whether the demand for our internet data center, CATV, telecom and FTTH products is seasonal, as our sales data does not indicate a significant trend with respect to these products. Our Ningbo, China factory experiences a lengthy shut-down associated with the Lunar New Year holiday which occurs in the first quarter of each year. In addition to the factory shut-down, it is also common for employees in the factory to fail to return to work following resumption of operations. In the years </w:t>
      </w:r>
      <w:r>
        <w:rPr>
          <w:rFonts w:ascii="Times New Roman;Times;serif" w:hAnsi="Times New Roman;Times;serif"/>
          <w:sz w:val="20"/>
        </w:rPr>
        <w:t>2025</w:t>
      </w:r>
      <w:r>
        <w:rPr>
          <w:rFonts w:ascii="Times New Roman;Times;serif" w:hAnsi="Times New Roman;Times;serif"/>
          <w:sz w:val="20"/>
          <w:shd w:fill="FFFFFF" w:val="clear"/>
        </w:rPr>
        <w:t>, </w:t>
      </w:r>
      <w:r>
        <w:rPr>
          <w:rFonts w:ascii="Times New Roman;Times;serif" w:hAnsi="Times New Roman;Times;serif"/>
          <w:sz w:val="20"/>
        </w:rPr>
        <w:t>2024</w:t>
      </w:r>
      <w:r>
        <w:rPr>
          <w:rFonts w:ascii="Times New Roman;Times;serif" w:hAnsi="Times New Roman;Times;serif"/>
          <w:sz w:val="20"/>
          <w:shd w:fill="FFFFFF" w:val="clear"/>
        </w:rPr>
        <w:t xml:space="preserve">, and </w:t>
      </w:r>
      <w:r>
        <w:rPr>
          <w:rFonts w:ascii="Times New Roman;Times;serif" w:hAnsi="Times New Roman;Times;serif"/>
          <w:sz w:val="20"/>
        </w:rPr>
        <w:t>2023</w:t>
      </w:r>
      <w:r>
        <w:rPr>
          <w:rFonts w:ascii="Times New Roman;Times;serif" w:hAnsi="Times New Roman;Times;serif"/>
          <w:sz w:val="20"/>
          <w:shd w:fill="FFFFFF" w:val="clear"/>
        </w:rPr>
        <w:t>, the percentage of employees in our China factory who resigned or were terminated during the first quarter, relative to the average number of employees during the quarter was 7.9%, 17.2% and 53.8% , respectively.  As a result of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the first quarter. In 2025, we began to produce more of our CATV and internet data center products outside of China which we believe will be instrumental in alleviating some of the typical seasonality that we see in the first quarter.</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pStyle w:val="TextBody"/>
        <w:bidi w:val="0"/>
        <w:spacing w:before="0" w:after="0"/>
        <w:ind w:left="0" w:right="0" w:hanging="0"/>
        <w:jc w:val="both"/>
        <w:rPr>
          <w:shd w:fill="FFFFFF" w:val="clear"/>
        </w:rPr>
      </w:pPr>
      <w:r>
        <w:rPr>
          <w:shd w:fill="FFFFFF" w:val="clea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Results of Operations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sets forth our results of operations for the periods presented as a percentage of our revenue for those periods. The period-to-period comparison of our financial results is not necessarily indicative of our financial results to be achieved in future periods.</w:t>
      </w:r>
    </w:p>
    <w:p>
      <w:pPr>
        <w:pStyle w:val="TextBody"/>
        <w:bidi w:val="0"/>
        <w:spacing w:before="0" w:after="0"/>
        <w:ind w:left="0" w:right="0" w:hanging="0"/>
        <w:jc w:val="left"/>
        <w:rPr>
          <w:shd w:fill="FFFFFF" w:val="clear"/>
        </w:rPr>
      </w:pPr>
      <w:r>
        <w:rPr>
          <w:shd w:fill="FFFFFF" w:val="clear"/>
        </w:rPr>
        <w:t>  </w:t>
      </w:r>
    </w:p>
    <w:tbl>
      <w:tblPr>
        <w:tblW w:w="5038" w:type="dxa"/>
        <w:jc w:val="left"/>
        <w:tblInd w:w="0" w:type="dxa"/>
        <w:tblLayout w:type="fixed"/>
        <w:tblCellMar>
          <w:top w:w="0" w:type="dxa"/>
          <w:left w:w="0" w:type="dxa"/>
          <w:bottom w:w="0" w:type="dxa"/>
          <w:right w:w="0" w:type="dxa"/>
        </w:tblCellMar>
      </w:tblPr>
      <w:tblGrid>
        <w:gridCol w:w="2480"/>
        <w:gridCol w:w="60"/>
        <w:gridCol w:w="60"/>
        <w:gridCol w:w="487"/>
        <w:gridCol w:w="246"/>
        <w:gridCol w:w="60"/>
        <w:gridCol w:w="60"/>
        <w:gridCol w:w="487"/>
        <w:gridCol w:w="246"/>
        <w:gridCol w:w="60"/>
        <w:gridCol w:w="60"/>
        <w:gridCol w:w="487"/>
        <w:gridCol w:w="245"/>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expense,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shd w:fill="FFFFFF" w:val="clear"/>
        </w:rPr>
        <w:t>Comparison of Years Ended </w:t>
      </w:r>
      <w:r>
        <w:rPr>
          <w:rFonts w:ascii="Times New Roman;Times;serif" w:hAnsi="Times New Roman;Times;serif"/>
          <w:b/>
          <w:i/>
          <w:sz w:val="20"/>
        </w:rPr>
        <w:t xml:space="preserve">December 31, 2025 and 2024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Revenue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w:t>
      </w:r>
      <w:r>
        <w:rPr>
          <w:rFonts w:ascii="Times New Roman;Times;serif" w:hAnsi="Times New Roman;Times;serif"/>
          <w:sz w:val="20"/>
        </w:rPr>
        <w:t>December 31, 2025 and 2024</w:t>
      </w:r>
      <w:r>
        <w:rPr>
          <w:rFonts w:ascii="Times New Roman;Times;serif" w:hAnsi="Times New Roman;Times;serif"/>
          <w:sz w:val="20"/>
          <w:shd w:fill="FFFFFF" w:val="clear"/>
        </w:rPr>
        <w:t xml:space="preserve"> (in thousands, except percentages):</w:t>
      </w:r>
    </w:p>
    <w:p>
      <w:pPr>
        <w:pStyle w:val="TextBody"/>
        <w:bidi w:val="0"/>
        <w:spacing w:before="0" w:after="0"/>
        <w:ind w:left="0" w:right="0" w:firstLine="720"/>
        <w:jc w:val="left"/>
        <w:rPr/>
      </w:pPr>
      <w:r>
        <w:rPr/>
        <w:t> </w:t>
      </w:r>
    </w:p>
    <w:tbl>
      <w:tblPr>
        <w:tblW w:w="6970" w:type="dxa"/>
        <w:jc w:val="left"/>
        <w:tblInd w:w="0" w:type="dxa"/>
        <w:tblLayout w:type="fixed"/>
        <w:tblCellMar>
          <w:top w:w="0" w:type="dxa"/>
          <w:left w:w="0" w:type="dxa"/>
          <w:bottom w:w="0" w:type="dxa"/>
          <w:right w:w="0" w:type="dxa"/>
        </w:tblCellMar>
      </w:tblPr>
      <w:tblGrid>
        <w:gridCol w:w="1310"/>
        <w:gridCol w:w="60"/>
        <w:gridCol w:w="125"/>
        <w:gridCol w:w="695"/>
        <w:gridCol w:w="60"/>
        <w:gridCol w:w="60"/>
        <w:gridCol w:w="81"/>
        <w:gridCol w:w="659"/>
        <w:gridCol w:w="185"/>
        <w:gridCol w:w="60"/>
        <w:gridCol w:w="125"/>
        <w:gridCol w:w="695"/>
        <w:gridCol w:w="60"/>
        <w:gridCol w:w="60"/>
        <w:gridCol w:w="81"/>
        <w:gridCol w:w="659"/>
        <w:gridCol w:w="185"/>
        <w:gridCol w:w="60"/>
        <w:gridCol w:w="125"/>
        <w:gridCol w:w="695"/>
        <w:gridCol w:w="80"/>
        <w:gridCol w:w="60"/>
        <w:gridCol w:w="60"/>
        <w:gridCol w:w="485"/>
        <w:gridCol w:w="245"/>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Revenue increased by $206.4 million, or 82.8%, from 2024 to 2025. The increase was driven primarily by increased demand in the CATV market, which we believe is due to large scale deployments of our DOCSIS 4.0 products in 2025, and increased demand for our internet data center products, arising from demand for products necessary for new data center construction along with data center upgrades to enable new technologies like AI.  Based on customer forecasts and order backlog we believe that this elevated data center demand will likely continue into 2026. We also believe that sales in our CATV market will increase in 2026 as a result of further adoption of our DOCSIS 4.0 products, including adoption by new customers.</w:t>
      </w:r>
    </w:p>
    <w:p>
      <w:pPr>
        <w:pStyle w:val="TextBody"/>
        <w:bidi w:val="0"/>
        <w:spacing w:before="0" w:after="0"/>
        <w:ind w:left="144" w:right="144" w:hanging="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 the years ended </w:t>
      </w:r>
      <w:r>
        <w:rPr>
          <w:rFonts w:ascii="Times New Roman;Times;serif" w:hAnsi="Times New Roman;Times;serif"/>
          <w:sz w:val="20"/>
        </w:rPr>
        <w:t>December 31, 2025 and 2024</w:t>
      </w:r>
      <w:r>
        <w:rPr>
          <w:rFonts w:ascii="Times New Roman;Times;serif" w:hAnsi="Times New Roman;Times;serif"/>
          <w:sz w:val="20"/>
          <w:shd w:fill="FFFFFF" w:val="clear"/>
        </w:rPr>
        <w:t>, our top ten customers represented 96.6% and 95.0%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Cost of goods sold and gross margin</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tbl>
      <w:tblPr>
        <w:tblW w:w="7115" w:type="dxa"/>
        <w:jc w:val="left"/>
        <w:tblInd w:w="0" w:type="dxa"/>
        <w:tblLayout w:type="fixed"/>
        <w:tblCellMar>
          <w:top w:w="0" w:type="dxa"/>
          <w:left w:w="0" w:type="dxa"/>
          <w:bottom w:w="0" w:type="dxa"/>
          <w:right w:w="0" w:type="dxa"/>
        </w:tblCellMar>
      </w:tblPr>
      <w:tblGrid>
        <w:gridCol w:w="1535"/>
        <w:gridCol w:w="60"/>
        <w:gridCol w:w="125"/>
        <w:gridCol w:w="695"/>
        <w:gridCol w:w="60"/>
        <w:gridCol w:w="60"/>
        <w:gridCol w:w="100"/>
        <w:gridCol w:w="640"/>
        <w:gridCol w:w="185"/>
        <w:gridCol w:w="60"/>
        <w:gridCol w:w="125"/>
        <w:gridCol w:w="695"/>
        <w:gridCol w:w="60"/>
        <w:gridCol w:w="60"/>
        <w:gridCol w:w="100"/>
        <w:gridCol w:w="640"/>
        <w:gridCol w:w="185"/>
        <w:gridCol w:w="60"/>
        <w:gridCol w:w="125"/>
        <w:gridCol w:w="695"/>
        <w:gridCol w:w="60"/>
        <w:gridCol w:w="60"/>
        <w:gridCol w:w="60"/>
        <w:gridCol w:w="485"/>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$131.2 million, or 70.0%, from </w:t>
      </w:r>
      <w:r>
        <w:rPr>
          <w:rFonts w:ascii="Times New Roman;Times;serif" w:hAnsi="Times New Roman;Times;serif"/>
          <w:sz w:val="20"/>
        </w:rPr>
        <w:t>2024</w:t>
      </w:r>
      <w:r>
        <w:rPr>
          <w:rFonts w:ascii="Times New Roman;Times;serif" w:hAnsi="Times New Roman;Times;serif"/>
          <w:sz w:val="20"/>
          <w:shd w:fill="FFFFFF" w:val="clear"/>
        </w:rPr>
        <w:t xml:space="preserve"> to </w:t>
      </w:r>
      <w:r>
        <w:rPr>
          <w:rFonts w:ascii="Times New Roman;Times;serif" w:hAnsi="Times New Roman;Times;serif"/>
          <w:sz w:val="20"/>
        </w:rPr>
        <w:t>2025. The increase in 2025 was primarily attributable to higher direct material and direct labor costs associated with increased revenue volumes, as well as an increase in inventory reserves.The increase in the reserve is consistent with the higher inventory levels and overall business expansion in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increase in gross margin for the year ended </w:t>
      </w:r>
      <w:r>
        <w:rPr>
          <w:rFonts w:ascii="Times New Roman;Times;serif" w:hAnsi="Times New Roman;Times;serif"/>
          <w:sz w:val="20"/>
        </w:rPr>
        <w:t>December 31, 2025</w:t>
      </w:r>
      <w:r>
        <w:rPr>
          <w:rFonts w:ascii="Times New Roman;Times;serif" w:hAnsi="Times New Roman;Times;serif"/>
          <w:sz w:val="20"/>
          <w:shd w:fill="FFFFFF" w:val="clear"/>
        </w:rPr>
        <w:t xml:space="preserve"> compared to the same period ended </w:t>
      </w:r>
      <w:r>
        <w:rPr>
          <w:rFonts w:ascii="Times New Roman;Times;serif" w:hAnsi="Times New Roman;Times;serif"/>
          <w:sz w:val="20"/>
        </w:rPr>
        <w:t>December 31, 2024 was primarily driven by larger scale production of our CATV products, which resulted in improved manufacturing efficiencies and lower cost variances</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Operating expenses</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tbl>
      <w:tblPr>
        <w:tblW w:w="7490" w:type="dxa"/>
        <w:jc w:val="left"/>
        <w:tblInd w:w="0" w:type="dxa"/>
        <w:tblLayout w:type="fixed"/>
        <w:tblCellMar>
          <w:top w:w="0" w:type="dxa"/>
          <w:left w:w="0" w:type="dxa"/>
          <w:bottom w:w="0" w:type="dxa"/>
          <w:right w:w="0" w:type="dxa"/>
        </w:tblCellMar>
      </w:tblPr>
      <w:tblGrid>
        <w:gridCol w:w="2210"/>
        <w:gridCol w:w="60"/>
        <w:gridCol w:w="125"/>
        <w:gridCol w:w="695"/>
        <w:gridCol w:w="60"/>
        <w:gridCol w:w="60"/>
        <w:gridCol w:w="94"/>
        <w:gridCol w:w="601"/>
        <w:gridCol w:w="185"/>
        <w:gridCol w:w="60"/>
        <w:gridCol w:w="125"/>
        <w:gridCol w:w="695"/>
        <w:gridCol w:w="60"/>
        <w:gridCol w:w="60"/>
        <w:gridCol w:w="94"/>
        <w:gridCol w:w="601"/>
        <w:gridCol w:w="185"/>
        <w:gridCol w:w="60"/>
        <w:gridCol w:w="125"/>
        <w:gridCol w:w="590"/>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3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Research and development expense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Research and development expense increased $30.6 million, or 55.6%, from </w:t>
      </w:r>
      <w:r>
        <w:rPr>
          <w:rFonts w:ascii="Times New Roman;Times;serif" w:hAnsi="Times New Roman;Times;serif"/>
          <w:sz w:val="20"/>
        </w:rPr>
        <w:t>2024</w:t>
      </w:r>
      <w:r>
        <w:rPr>
          <w:rFonts w:ascii="Times New Roman;Times;serif" w:hAnsi="Times New Roman;Times;serif"/>
          <w:sz w:val="20"/>
          <w:shd w:fill="FFFFFF" w:val="clear"/>
        </w:rPr>
        <w:t> to </w:t>
      </w:r>
      <w:r>
        <w:rPr>
          <w:rFonts w:ascii="Times New Roman;Times;serif" w:hAnsi="Times New Roman;Times;serif"/>
          <w:sz w:val="20"/>
        </w:rPr>
        <w:t>2025</w:t>
      </w:r>
      <w:r>
        <w:rPr>
          <w:rFonts w:ascii="Times New Roman;Times;serif" w:hAnsi="Times New Roman;Times;serif"/>
          <w:sz w:val="20"/>
          <w:shd w:fill="FFFFFF" w:val="clear"/>
        </w:rPr>
        <w:t>. Research and development costs consist of R&amp;D work orders, R&amp;D material usage and other project related costs related to 100 Gbps, 200/400/800/1,600 Gbps data center products, DOCSIS 4.0 capable CATV products, including 1.8 GHz-capable amplifier products, and other new product development, and depreciation expense resulting from R&amp;D equipment investments. The expenses increased due to a higher volume of internal work orders and headcount increase. During 2025, we experienced increased interest in new technologies like 800G and 1.6T among our data center customers. Supporting customer testing and qualification for these new opportunities materially increased our R&amp;D expenditures, and to the extent that we continue to see elevated customer interest in these new technologies we also expect continued elevated R&amp;D expenditures relative to historical averages. We continue to place a high degree of strategic focus on innovation and product development to support future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Sales and marketing expense</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Sales and marketing expense increased by $12.1 million, or 66.7%, from </w:t>
      </w:r>
      <w:r>
        <w:rPr>
          <w:rFonts w:ascii="Times New Roman;Times;serif" w:hAnsi="Times New Roman;Times;serif"/>
          <w:sz w:val="20"/>
        </w:rPr>
        <w:t>2024</w:t>
      </w:r>
      <w:r>
        <w:rPr>
          <w:rFonts w:ascii="Times New Roman;Times;serif" w:hAnsi="Times New Roman;Times;serif"/>
          <w:sz w:val="20"/>
          <w:shd w:fill="FFFFFF" w:val="clear"/>
        </w:rPr>
        <w:t xml:space="preserve"> to </w:t>
      </w:r>
      <w:r>
        <w:rPr>
          <w:rFonts w:ascii="Times New Roman;Times;serif" w:hAnsi="Times New Roman;Times;serif"/>
          <w:sz w:val="20"/>
        </w:rPr>
        <w:t>2025</w:t>
      </w:r>
      <w:r>
        <w:rPr>
          <w:rFonts w:ascii="Times New Roman;Times;serif" w:hAnsi="Times New Roman;Times;serif"/>
          <w:sz w:val="20"/>
          <w:shd w:fill="FFFFFF" w:val="clear"/>
        </w:rPr>
        <w:t>. These increases were primarily due to more sales effort for our Quantum Bandwidth™ products and higher shipping expenses, including tariffs.  </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General and administrative expense increased by $16.1 million, or 27.1%, from </w:t>
      </w:r>
      <w:r>
        <w:rPr>
          <w:rFonts w:ascii="Times New Roman;Times;serif" w:hAnsi="Times New Roman;Times;serif"/>
          <w:sz w:val="20"/>
        </w:rPr>
        <w:t>2024</w:t>
      </w:r>
      <w:r>
        <w:rPr>
          <w:rFonts w:ascii="Times New Roman;Times;serif" w:hAnsi="Times New Roman;Times;serif"/>
          <w:sz w:val="20"/>
          <w:shd w:fill="FFFFFF" w:val="clear"/>
        </w:rPr>
        <w:t xml:space="preserve"> to </w:t>
      </w:r>
      <w:r>
        <w:rPr>
          <w:rFonts w:ascii="Times New Roman;Times;serif" w:hAnsi="Times New Roman;Times;serif"/>
          <w:sz w:val="20"/>
        </w:rPr>
        <w:t>2025</w:t>
      </w:r>
      <w:r>
        <w:rPr>
          <w:rFonts w:ascii="Times New Roman;Times;serif" w:hAnsi="Times New Roman;Times;serif"/>
          <w:sz w:val="20"/>
          <w:shd w:fill="FFFFFF" w:val="clear"/>
        </w:rPr>
        <w:t>. These increases were primarily due to the higher professional service fees and increased headcount and offset by decreased share-based compensation.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Other income (expense), net</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tbl>
      <w:tblPr>
        <w:tblW w:w="8440" w:type="dxa"/>
        <w:jc w:val="left"/>
        <w:tblInd w:w="0" w:type="dxa"/>
        <w:tblLayout w:type="fixed"/>
        <w:tblCellMar>
          <w:top w:w="0" w:type="dxa"/>
          <w:left w:w="0" w:type="dxa"/>
          <w:bottom w:w="0" w:type="dxa"/>
          <w:right w:w="0" w:type="dxa"/>
        </w:tblCellMar>
      </w:tblPr>
      <w:tblGrid>
        <w:gridCol w:w="2735"/>
        <w:gridCol w:w="60"/>
        <w:gridCol w:w="129"/>
        <w:gridCol w:w="566"/>
        <w:gridCol w:w="80"/>
        <w:gridCol w:w="60"/>
        <w:gridCol w:w="104"/>
        <w:gridCol w:w="591"/>
        <w:gridCol w:w="245"/>
        <w:gridCol w:w="60"/>
        <w:gridCol w:w="125"/>
        <w:gridCol w:w="755"/>
        <w:gridCol w:w="80"/>
        <w:gridCol w:w="60"/>
        <w:gridCol w:w="83"/>
        <w:gridCol w:w="612"/>
        <w:gridCol w:w="245"/>
        <w:gridCol w:w="60"/>
        <w:gridCol w:w="125"/>
        <w:gridCol w:w="695"/>
        <w:gridCol w:w="6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 ended 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0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Interest income increased by $0.9 million, or 105.0%, from </w:t>
      </w:r>
      <w:r>
        <w:rPr>
          <w:rFonts w:ascii="Times New Roman;Times;serif" w:hAnsi="Times New Roman;Times;serif"/>
          <w:sz w:val="20"/>
        </w:rPr>
        <w:t>2024</w:t>
      </w:r>
      <w:r>
        <w:rPr>
          <w:rFonts w:ascii="Times New Roman;Times;serif" w:hAnsi="Times New Roman;Times;serif"/>
          <w:sz w:val="20"/>
          <w:shd w:fill="FFFFFF" w:val="clear"/>
        </w:rPr>
        <w:t xml:space="preserve"> to </w:t>
      </w:r>
      <w:r>
        <w:rPr>
          <w:rFonts w:ascii="Times New Roman;Times;serif" w:hAnsi="Times New Roman;Times;serif"/>
          <w:sz w:val="20"/>
        </w:rPr>
        <w:t>2025</w:t>
      </w:r>
      <w:r>
        <w:rPr>
          <w:rFonts w:ascii="Times New Roman;Times;serif" w:hAnsi="Times New Roman;Times;serif"/>
          <w:sz w:val="20"/>
          <w:shd w:fill="FFFFFF" w:val="clear"/>
        </w:rPr>
        <w:t>. The increase was primarily due to higher savings balance in 2025.</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Interest expense decreased by $3.3 million, or 48.8%, from </w:t>
      </w:r>
      <w:r>
        <w:rPr>
          <w:rFonts w:ascii="Times New Roman;Times;serif" w:hAnsi="Times New Roman;Times;serif"/>
          <w:sz w:val="20"/>
        </w:rPr>
        <w:t>2024</w:t>
      </w:r>
      <w:r>
        <w:rPr>
          <w:rFonts w:ascii="Times New Roman;Times;serif" w:hAnsi="Times New Roman;Times;serif"/>
          <w:sz w:val="20"/>
          <w:shd w:fill="FFFFFF" w:val="clear"/>
        </w:rPr>
        <w:t xml:space="preserve"> to </w:t>
      </w:r>
      <w:r>
        <w:rPr>
          <w:rFonts w:ascii="Times New Roman;Times;serif" w:hAnsi="Times New Roman;Times;serif"/>
          <w:sz w:val="20"/>
        </w:rPr>
        <w:t>2025</w:t>
      </w:r>
      <w:r>
        <w:rPr>
          <w:rFonts w:ascii="Times New Roman;Times;serif" w:hAnsi="Times New Roman;Times;serif"/>
          <w:sz w:val="20"/>
          <w:shd w:fill="FFFFFF" w:val="clear"/>
        </w:rPr>
        <w:t xml:space="preserve">. </w:t>
      </w:r>
      <w:r>
        <w:rPr>
          <w:rFonts w:ascii="Times New Roman;Times;serif" w:hAnsi="Times New Roman;Times;serif"/>
          <w:sz w:val="20"/>
        </w:rPr>
        <w:t>The decrease was primarily due to a lower effective interest rate on the 2030 Notes in 2025 and the absence of loss on extinguishment, which was recognized in 2024 in connection with the exchange of the 2030 Notes with the 2026 Notes.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Other expense of $109.9 million in 2024 shifted to other income of $9.6 million in 2025. </w:t>
      </w:r>
      <w:r>
        <w:rPr>
          <w:rFonts w:ascii="Times New Roman;Times;serif" w:hAnsi="Times New Roman;Times;serif"/>
          <w:sz w:val="20"/>
        </w:rPr>
        <w:t>This favorable variance was primarily due to the absence of debt extinguishment costs related to the 2026 Notes, which in the prior period reflected the difference between the carrying value of the 2026 Notes and their fair value at the time of settlement. The settlement resulted in a one-time loss recognized in the prior period, which increased non-operating expenses. In 2025, the company recorded $1.9 million foreign currency exchange gains and $4.9 million of government subsidies in other income.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(expense) for income taxes</w:t>
      </w:r>
    </w:p>
    <w:p>
      <w:pPr>
        <w:pStyle w:val="TextBody"/>
        <w:bidi w:val="0"/>
        <w:spacing w:before="0" w:after="0"/>
        <w:ind w:left="0" w:right="0" w:hanging="0"/>
        <w:jc w:val="left"/>
        <w:rPr>
          <w:shd w:fill="FFFFFF" w:val="clear"/>
        </w:rPr>
      </w:pPr>
      <w:r>
        <w:rPr>
          <w:shd w:fill="FFFFFF" w:val="clear"/>
        </w:rPr>
        <w:t>  </w:t>
      </w:r>
    </w:p>
    <w:tbl>
      <w:tblPr>
        <w:tblW w:w="6111" w:type="dxa"/>
        <w:jc w:val="left"/>
        <w:tblInd w:w="0" w:type="dxa"/>
        <w:tblLayout w:type="fixed"/>
        <w:tblCellMar>
          <w:top w:w="0" w:type="dxa"/>
          <w:left w:w="0" w:type="dxa"/>
          <w:bottom w:w="0" w:type="dxa"/>
          <w:right w:w="0" w:type="dxa"/>
        </w:tblCellMar>
      </w:tblPr>
      <w:tblGrid>
        <w:gridCol w:w="2945"/>
        <w:gridCol w:w="60"/>
        <w:gridCol w:w="128"/>
        <w:gridCol w:w="498"/>
        <w:gridCol w:w="61"/>
        <w:gridCol w:w="61"/>
        <w:gridCol w:w="182"/>
        <w:gridCol w:w="270"/>
        <w:gridCol w:w="82"/>
        <w:gridCol w:w="61"/>
        <w:gridCol w:w="61"/>
        <w:gridCol w:w="498"/>
        <w:gridCol w:w="61"/>
        <w:gridCol w:w="61"/>
        <w:gridCol w:w="61"/>
        <w:gridCol w:w="776"/>
        <w:gridCol w:w="245"/>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w:t>
            </w:r>
          </w:p>
        </w:tc>
        <w:tc>
          <w:tcPr>
            <w:tcW w:w="245"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5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(423,900</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income tax benefit (expense) consists of U.S. income tax, state taxes, and Taiwan and China income tax recorded during the periods. Our effective tax rate is affected by recurring items, such as tax rates in state and foreign jurisdictions, the relative amounts of income we earn in those jurisdictions, and valuation allowances on our deferred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income tax benefit in the year ended December 31, 2025 was due primarily to the release of the valuation allowance on our wholly owned subsidiary, Global Technology, Inc.  The income tax expense for the year ended December 31, 2024 was primarily related to the state tax provision and the recording of a valuation allowance on our deferred tax assets.</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recorded no federal tax expense for the years ended December 31, 2025 and December 31, 2024. The income tax expense in the years ended December 31, 2025 and December 31, 2024 was primarily related to the state tax provision and the recording of a valuation allowance on our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Liquidity and Capital Resources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December 31, 2025</w:t>
      </w:r>
      <w:r>
        <w:rPr>
          <w:rFonts w:ascii="Times New Roman;Times;serif" w:hAnsi="Times New Roman;Times;serif"/>
          <w:sz w:val="20"/>
          <w:shd w:fill="FFFFFF" w:val="clear"/>
        </w:rPr>
        <w:t xml:space="preserve">, we had $60.7 million of unused borrowing capacity from all of our loan agreements. As of </w:t>
      </w:r>
      <w:r>
        <w:rPr>
          <w:rFonts w:ascii="Times New Roman;Times;serif" w:hAnsi="Times New Roman;Times;serif"/>
          <w:sz w:val="20"/>
        </w:rPr>
        <w:t>December 31, 2025</w:t>
      </w:r>
      <w:r>
        <w:rPr>
          <w:rFonts w:ascii="Times New Roman;Times;serif" w:hAnsi="Times New Roman;Times;serif"/>
          <w:sz w:val="20"/>
          <w:shd w:fill="FFFFFF" w:val="clear"/>
        </w:rPr>
        <w:t>, our cash, cash equivalents, restricted cash and short-term investments totaled $216.0 million. Cash and cash equivalents are held for working capital purposes and are invested primarily in money market or time deposit funds.</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18, 2024, the Company filed an automatic shelf registration statement on Form S-3ASR (Registration File No. 333-283905) with the Securities and Exchange Commission, which became effective immediately upon filing.</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February 28, 2025, the Company entered into an Equity Distribution Agreement with Raymond James &amp; Associates ("Raymond James") pursuant to which the Company could issue and sell shares of the Company’s common stock, having an aggregate offering price of up to $100 million (the "First ATM Offering"), from time to time through Raymond James. On April 8, 2025, the Company completed the First ATM Offering and sold approximately 2.1 million shares at a weighted average price of $12.69 per share, providing proceeds of approximately $26 million, net of expenses and underwriting discounts and commissions.  </w:t>
      </w:r>
    </w:p>
    <w:p>
      <w:pPr>
        <w:pStyle w:val="TextBody"/>
        <w:bidi w:val="0"/>
        <w:spacing w:before="0" w:after="0"/>
        <w:ind w:left="0" w:right="0" w:firstLine="720"/>
        <w:jc w:val="left"/>
        <w:rPr/>
      </w:pPr>
      <w:r>
        <w:rPr/>
        <w:t xml:space="preserve">  </w:t>
      </w:r>
    </w:p>
    <w:p>
      <w:pPr>
        <w:pStyle w:val="TextBody"/>
        <w:bidi w:val="0"/>
        <w:ind w:left="0" w:right="0" w:firstLine="720"/>
        <w:jc w:val="left"/>
        <w:rPr>
          <w:rFonts w:ascii="Times New Roman" w:hAnsi="Times New Roman"/>
          <w:sz w:val="20"/>
        </w:rPr>
      </w:pPr>
      <w:r>
        <w:rPr>
          <w:rFonts w:ascii="Times New Roman" w:hAnsi="Times New Roman"/>
          <w:sz w:val="20"/>
        </w:rPr>
        <w:t xml:space="preserve">On May 28, 2025, the Company entered into an Equity Distribution Agreement with Raymond James and Needham &amp; Company, LLC (collectively, the "Sales Agents" and each, a "Sales Agent") pursuant to which the Company could issue and sell shares of the Company's common stock having an aggregate offering price of up to $100 million (the "Second ATM Offering"), from time to time through the Sales Agents. On June 18, 2025, the Company completed the Second ATM Offering and sold approximately 5.7 million shares at a weighted average price of $17.46 per share, providing proceeds of approximately $98 million, net of expense and underwriting discounts and commissions.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August 27, 2025, the Company entered into an Equity Distribution Agreement with the Sales Agents pursuant to which the Company could issue and sell shares of the Company's common stock having an aggregate offering price of up to $150 million (the "Third ATM Offering"), from time to time through the Sales Agents. On September 22, 2025, the Company completed the Third ATM Offering and sold approximately 5.7 million shares at a weighted average price of $26.41 per share, providing proceeds of approximately $147 million, net of expense and underwriting discounts and commissions.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On November 7, 2025, the Company entered into another Equity Distribution Agreement (the "Agreement") with the Sales Agents pursuant to which the Company could issue and sell shares of the Company's common stock, par value $0.001 per share (the "Shares") having an aggregate offering price of up to $180 million (the "Fourth ATM Offering"), from time to time through the Sales Agents. Upon delivery of a placement notice and subject to the terms and conditions of this Agreement, sales of the Shares were made through the Sales Agents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one day. Subject to the terms and conditions of the Agreement, the Sales Agents would use its commercially reasonable efforts to sell Shares on the Company's behalf up to the designated amount specified in the placement notice.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pPr>
      <w:r>
        <w:rPr>
          <w:rFonts w:ascii="Times New Roman" w:hAnsi="Times New Roman"/>
          <w:sz w:val="20"/>
        </w:rPr>
        <w:t>The Agreement provided that each of the Sales Agents would be entitled to compensation of up to 2% of the gross sales price of the Shares sold through such Sales Agent</w:t>
      </w:r>
      <w:r>
        <w:rPr>
          <w:rFonts w:cs="Times New Roman"/>
          <w:szCs w:val="20"/>
        </w:rPr>
        <w:t xml:space="preserve">﻿ </w:t>
      </w:r>
      <w:r>
        <w:rPr>
          <w:rFonts w:ascii="Times New Roman" w:hAnsi="Times New Roman"/>
          <w:sz w:val="20"/>
        </w:rPr>
        <w:t xml:space="preserve">from time to time. The Company also agreed to reimburse the Sales Agents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 </w:t>
      </w:r>
    </w:p>
    <w:p>
      <w:pPr>
        <w:pStyle w:val="TextBody"/>
        <w:bidi w:val="0"/>
        <w:spacing w:before="0" w:after="0"/>
        <w:ind w:left="0" w:right="0" w:firstLine="720"/>
        <w:jc w:val="left"/>
        <w:rPr/>
      </w:pPr>
      <w:r>
        <w:rPr/>
        <w:t xml:space="preserve">  </w:t>
      </w:r>
    </w:p>
    <w:p>
      <w:pPr>
        <w:pStyle w:val="TextBody"/>
        <w:bidi w:val="0"/>
        <w:ind w:left="0" w:right="0" w:firstLine="720"/>
        <w:jc w:val="left"/>
        <w:rPr>
          <w:rFonts w:ascii="Times New Roman" w:hAnsi="Times New Roman"/>
          <w:sz w:val="20"/>
        </w:rPr>
      </w:pPr>
      <w:r>
        <w:rPr>
          <w:rFonts w:ascii="Times New Roman" w:hAnsi="Times New Roman"/>
          <w:sz w:val="20"/>
        </w:rPr>
        <w:t xml:space="preserve">By December 23, 2025, the Company completed the Fourth ATM Offering and sold approximately 6.7 million shares at a weighted average price of $26.87 per share, providing proceeds of $176 million, net of expenses and underwriting discounts and commissions. </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The details of the shares of common stock sold through the First ATM Offering, the Second ATM Offering, the Third ATM Offering and the Fourth ATM Offering through December 31, 2025 are as follows (in thousands, except shares and weighted average per share price): </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2871"/>
        <w:gridCol w:w="60"/>
        <w:gridCol w:w="601"/>
        <w:gridCol w:w="60"/>
        <w:gridCol w:w="364"/>
        <w:gridCol w:w="1413"/>
        <w:gridCol w:w="60"/>
        <w:gridCol w:w="60"/>
        <w:gridCol w:w="84"/>
        <w:gridCol w:w="1342"/>
        <w:gridCol w:w="60"/>
        <w:gridCol w:w="60"/>
        <w:gridCol w:w="144"/>
        <w:gridCol w:w="805"/>
        <w:gridCol w:w="60"/>
        <w:gridCol w:w="60"/>
        <w:gridCol w:w="354"/>
        <w:gridCol w:w="1682"/>
        <w:gridCol w:w="65"/>
      </w:tblGrid>
      <w:tr>
        <w:trPr/>
        <w:tc>
          <w:tcPr>
            <w:tcW w:w="287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77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42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4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Proceeds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203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Compensation to Distribution Agent</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87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0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Mar-25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6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34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3,535,650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4"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87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Inc.</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Apr-25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34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2,110,057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ind w:left="0" w:right="0" w:hanging="0"/>
              <w:jc w:val="left"/>
              <w:rPr/>
            </w:pPr>
            <w:r>
              <w:rPr/>
              <w:t> </w:t>
            </w:r>
          </w:p>
        </w:tc>
        <w:tc>
          <w:tcPr>
            <w:tcW w:w="168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87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0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Jun-25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34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5,725,948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ind w:left="0" w:right="0" w:hanging="0"/>
              <w:jc w:val="left"/>
              <w:rPr/>
            </w:pPr>
            <w:r>
              <w:rPr/>
              <w:t> </w:t>
            </w:r>
          </w:p>
        </w:tc>
        <w:tc>
          <w:tcPr>
            <w:tcW w:w="16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87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Sep-25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134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5,680,235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ind w:left="0" w:right="0" w:hanging="0"/>
              <w:jc w:val="left"/>
              <w:rPr/>
            </w:pPr>
            <w:r>
              <w:rPr/>
              <w:t> </w:t>
            </w:r>
          </w:p>
        </w:tc>
        <w:tc>
          <w:tcPr>
            <w:tcW w:w="80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shd w:fill="FFFFFF" w:val="clear"/>
            <w:tcMar>
              <w:bottom w:w="0" w:type="dxa"/>
            </w:tcMar>
            <w:vAlign w:val="center"/>
          </w:tcPr>
          <w:p>
            <w:pPr>
              <w:pStyle w:val="TableContents"/>
              <w:bidi w:val="0"/>
              <w:spacing w:before="0" w:after="283"/>
              <w:ind w:left="0" w:right="0" w:hanging="0"/>
              <w:jc w:val="left"/>
              <w:rPr/>
            </w:pPr>
            <w:r>
              <w:rPr/>
              <w:t> </w:t>
            </w:r>
          </w:p>
        </w:tc>
        <w:tc>
          <w:tcPr>
            <w:tcW w:w="1682"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287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60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Nov-25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ind w:left="0" w:right="0" w:hanging="0"/>
              <w:jc w:val="left"/>
              <w:rPr/>
            </w:pPr>
            <w:r>
              <w:rPr/>
              <w:t> </w:t>
            </w:r>
          </w:p>
        </w:tc>
        <w:tc>
          <w:tcPr>
            <w:tcW w:w="1413"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134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2,778,564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ind w:left="0" w:right="0" w:hanging="0"/>
              <w:jc w:val="left"/>
              <w:rPr/>
            </w:pPr>
            <w:r>
              <w:rPr/>
              <w:t> </w:t>
            </w:r>
          </w:p>
        </w:tc>
        <w:tc>
          <w:tcPr>
            <w:tcW w:w="80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ind w:left="0" w:right="0" w:hanging="0"/>
              <w:jc w:val="left"/>
              <w:rPr/>
            </w:pPr>
            <w:r>
              <w:rPr/>
              <w:t> </w:t>
            </w:r>
          </w:p>
        </w:tc>
        <w:tc>
          <w:tcPr>
            <w:tcW w:w="1682"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w:t>
            </w:r>
          </w:p>
        </w:tc>
        <w:tc>
          <w:tcPr>
            <w:tcW w:w="65" w:type="dxa"/>
            <w:tcBorders/>
            <w:shd w:fill="CCEEFF" w:val="clear"/>
            <w:tcMar>
              <w:bottom w:w="0" w:type="dxa"/>
            </w:tcMar>
            <w:vAlign w:val="center"/>
          </w:tcPr>
          <w:p>
            <w:pPr>
              <w:pStyle w:val="TableContents"/>
              <w:bidi w:val="0"/>
              <w:spacing w:before="0" w:after="283"/>
              <w:jc w:val="left"/>
              <w:rPr/>
            </w:pPr>
            <w:r>
              <w:rPr/>
              <w:t> </w:t>
            </w:r>
          </w:p>
        </w:tc>
      </w:tr>
      <w:tr>
        <w:trPr/>
        <w:tc>
          <w:tcPr>
            <w:tcW w:w="287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Dec-25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ind w:left="0" w:right="0" w:hanging="0"/>
              <w:jc w:val="left"/>
              <w:rPr/>
            </w:pPr>
            <w:r>
              <w:rPr/>
              <w:t> </w:t>
            </w:r>
          </w:p>
        </w:tc>
        <w:tc>
          <w:tcPr>
            <w:tcW w:w="1413"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34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3,919,517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2,313</w:t>
            </w:r>
          </w:p>
        </w:tc>
        <w:tc>
          <w:tcPr>
            <w:tcW w:w="65" w:type="dxa"/>
            <w:tcBorders/>
            <w:shd w:fill="FFFFFF" w:val="clear"/>
            <w:tcMar>
              <w:bottom w:w="0" w:type="dxa"/>
            </w:tcMar>
            <w:vAlign w:val="center"/>
          </w:tcPr>
          <w:p>
            <w:pPr>
              <w:pStyle w:val="TableContents"/>
              <w:bidi w:val="0"/>
              <w:spacing w:before="0" w:after="283"/>
              <w:jc w:val="left"/>
              <w:rPr/>
            </w:pPr>
            <w:r>
              <w:rPr/>
              <w:t> </w:t>
            </w:r>
          </w:p>
        </w:tc>
      </w:tr>
      <w:tr>
        <w:trPr/>
        <w:tc>
          <w:tcPr>
            <w:tcW w:w="3532" w:type="dxa"/>
            <w:gridSpan w:val="3"/>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141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34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23,749,971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w:t>
            </w:r>
          </w:p>
        </w:tc>
        <w:tc>
          <w:tcPr>
            <w:tcW w:w="6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Registered Direct Offering</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On December 23, 2024, 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December 23,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Raymond James and Associates, Inc. acted as the sole placement agent (the "Placement Agent") for the Company in connection with the Registered Direct Offering. Pursuant to that certain Placement Agency Agreement, dated as of December 18, 2024, between the Company and the Placement Agent, the Placement Agent is entitled to a fee equal to an aggregate of 3% of the aggregate principal amount of the Registered Direct Offering.</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may include among other things, capital expenditures and working capital. The Company may also use such proceeds to fund acquisitions of businesses, technologies or product lines that complement its current business; however, the Company has no present plans, agreements or commitments with respect to any potential acquisition.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December 5, 2023, the Company issued approximately $80.2 million aggregate principal amount of 5.250% convertible senior notes due 2026 (the "2026 Notes"), bearing interest at a rate of 5.250% per year maturing on December 5, 2026, unless earlier repurchased, redeemed or converted in accordance with their terms. The sale of the 2026 Notes generated net proceeds of $76.2 million, after expenses. On July 30, 2025, the Company retired the final $3.5 million principal and accrued and unpaid interest on the 2026 Notes by exchanging such outstanding principal for 239,404 shares of the Company's common stock and by paying the accrued and outstanding interest in cash. </w:t>
      </w:r>
      <w:r>
        <w:rPr>
          <w:rFonts w:ascii="Times New Roman;Times;serif" w:hAnsi="Times New Roman;Times;serif"/>
          <w:sz w:val="20"/>
          <w:shd w:fill="FFFFFF" w:val="clear"/>
        </w:rPr>
        <w:t>Also refer to Note L “Convertible Senior Notes” to the consolidated financial statements for further discussion of the 2026 Notes.</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December 23, 2024, the Company issued approximately $125.0 million aggregate principal amount of 2.750%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L "Convertible Senior Notes" to the consolidated financial statements for further discussion of the 2030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sets forth selected cash flow data for the periods presented (in thousands):</w:t>
      </w:r>
    </w:p>
    <w:p>
      <w:pPr>
        <w:pStyle w:val="TextBody"/>
        <w:bidi w:val="0"/>
        <w:spacing w:before="0" w:after="0"/>
        <w:ind w:left="0" w:right="0" w:hanging="0"/>
        <w:jc w:val="left"/>
        <w:rPr/>
      </w:pPr>
      <w:r>
        <w:rPr/>
        <w:t> </w:t>
      </w:r>
    </w:p>
    <w:tbl>
      <w:tblPr>
        <w:tblW w:w="7250" w:type="dxa"/>
        <w:jc w:val="left"/>
        <w:tblInd w:w="0" w:type="dxa"/>
        <w:tblLayout w:type="fixed"/>
        <w:tblCellMar>
          <w:top w:w="0" w:type="dxa"/>
          <w:left w:w="0" w:type="dxa"/>
          <w:bottom w:w="0" w:type="dxa"/>
          <w:right w:w="0" w:type="dxa"/>
        </w:tblCellMar>
      </w:tblPr>
      <w:tblGrid>
        <w:gridCol w:w="4355"/>
        <w:gridCol w:w="60"/>
        <w:gridCol w:w="125"/>
        <w:gridCol w:w="755"/>
        <w:gridCol w:w="80"/>
        <w:gridCol w:w="60"/>
        <w:gridCol w:w="125"/>
        <w:gridCol w:w="695"/>
        <w:gridCol w:w="80"/>
        <w:gridCol w:w="60"/>
        <w:gridCol w:w="125"/>
        <w:gridCol w:w="650"/>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40,578</w:t>
            </w:r>
          </w:p>
        </w:tc>
        <w:tc>
          <w:tcPr>
            <w:tcW w:w="8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increase(decrease)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shd w:fill="FFFFFF" w:val="clear"/>
        </w:rPr>
        <w:t>Operating activities</w:t>
      </w:r>
      <w:r>
        <w:rPr>
          <w:rFonts w:ascii="Times New Roman;Times;serif" w:hAnsi="Times New Roman;Times;serif"/>
          <w:sz w:val="20"/>
        </w:rPr>
        <w:t xml:space="preserve"> </w:t>
      </w:r>
      <w:r>
        <w:rPr>
          <w:rFonts w:ascii="Times New Roman;Times;serif" w:hAnsi="Times New Roman;Times;serif"/>
          <w:sz w:val="20"/>
          <w:shd w:fill="FFFFFF" w:val="clear"/>
        </w:rPr>
        <w:t> </w:t>
      </w:r>
      <w:r>
        <w:rPr>
          <w:rFonts w:ascii="Times New Roman;Times;serif" w:hAnsi="Times New Roman;Times;serif"/>
          <w:sz w:val="20"/>
        </w:rPr>
        <w:t xml:space="preserve"> </w:t>
      </w:r>
    </w:p>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2025, </w:t>
      </w:r>
      <w:r>
        <w:rPr>
          <w:rFonts w:ascii="Times New Roman;Times;serif" w:hAnsi="Times New Roman;Times;serif"/>
          <w:sz w:val="20"/>
          <w:shd w:fill="FFFFFF" w:val="clear"/>
        </w:rPr>
        <w:t>net cash used in operating activities was $174.4 million. Net cash used in operating activities mainly consisted of our net loss of $38.2 million, after excluding non-cash items of $39.7 million, an increase in accounts receivable from our customers of $127.6 million, an increase in other receivables by $10.2 million, an increase in inventory by $100.7 million, offset by an increase in accounts payable and accrual of $65.5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2024, net cash used in operating activities was $69.5 million. Net cash used in operating activities mainly consisted of our net loss of $186.7 million, after excluding non-cash items of $153.1 million, an increase in accounts receivable from our customers of $68.7 million, an increase in other receivables by $7.9 million, an increase in inventory by $29.4 million, offset by an increase in accounts payable and accrual of $75.9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2023, net cash used in operating activities was $7.9 million. Net cash used in operating activities consisted of our net loss of $56.0 million, after the exclusion of non-cash items of $42.1 million, a decrease in accounts receivable from our customers of $14.5 million and a decrease in our inventory of $6.8 million, contributing to the cash increases. These cash increases were offset by a decrease in accounts payable of $15.0 million and a decrease in unearned revenue of $2.5 million.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Investing activities</w:t>
      </w:r>
      <w:r>
        <w:rPr>
          <w:rFonts w:ascii="Times New Roman;Times;serif" w:hAnsi="Times New Roman;Times;serif"/>
          <w:sz w:val="20"/>
          <w:shd w:fill="FFFFFF" w:val="clear"/>
        </w:rPr>
        <w:t> </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investing activities consisted primarily of capital expenditures and purchases of intangible assets.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2025, </w:t>
      </w:r>
      <w:r>
        <w:rPr>
          <w:rFonts w:ascii="Times New Roman;Times;serif" w:hAnsi="Times New Roman;Times;serif"/>
          <w:sz w:val="20"/>
          <w:shd w:fill="FFFFFF" w:val="clear"/>
        </w:rPr>
        <w:t xml:space="preserve">net cash used in investing activities was $210.6 million. The majority of the cash was used for CapEx spending of $210.2 million. </w:t>
      </w:r>
    </w:p>
    <w:p>
      <w:pPr>
        <w:pStyle w:val="TextBody"/>
        <w:bidi w:val="0"/>
        <w:spacing w:before="0" w:after="0"/>
        <w:ind w:left="0" w:right="0" w:hanging="0"/>
        <w:jc w:val="both"/>
        <w:rPr/>
      </w:pPr>
      <w:r>
        <w:rPr/>
        <w:t> </w:t>
      </w:r>
    </w:p>
    <w:p>
      <w:pPr>
        <w:pStyle w:val="TextBody"/>
        <w:bidi w:val="0"/>
        <w:spacing w:before="0" w:after="0"/>
        <w:ind w:left="0" w:right="0" w:hanging="0"/>
        <w:jc w:val="both"/>
        <w:rPr>
          <w:shd w:fill="FFFFFF" w:val="clear"/>
        </w:rPr>
      </w:pPr>
      <w:r>
        <w:rPr>
          <w:shd w:fill="FFFFFF" w:val="clear"/>
        </w:rPr>
        <w:t xml:space="preserve">              </w:t>
      </w:r>
      <w:r>
        <w:rPr>
          <w:rFonts w:ascii="Times New Roman;Times;serif" w:hAnsi="Times New Roman;Times;serif"/>
          <w:sz w:val="20"/>
          <w:shd w:fill="FFFFFF" w:val="clear"/>
        </w:rPr>
        <w:t>In 2024, net cash used in investing activities was $50.7 million. The majority of the cash was used for CapEx spending of $50.2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2023, net cash used in investing activities was $14.8 million. The majority of the cash was used for CapEx spending of $14.3 million. </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Financing activities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financing activities have historically consisted primarily of proceeds from the issuance of common stock and arrangements with various commercial lenders.</w:t>
      </w:r>
    </w:p>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In 2025, our financing activities provided $527.9 million in cash. This increase in cash was primarily due to $518.9 million of net proceeds from our ATM offerings, and around $19.6 million from net proceeds from line of credit borrowing and bank acceptance payable. </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2024, our financing activities provided $142.2 million in cash. This increase in cash was primarily due to $113 million of net proceeds from our ATM offerings, and around $30 million from the 2030 Notes.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 2023, our financing activities provided $40.6 million in cash. This increase in cash was primarily due to $69.0 million of net proceeds from our ATM offering, $76.1 million from the 2026 Notes, offset by the repayment of the 2024 Notes amounting to $80.2 million and repayment of line of credit borrowings of $34.2 million.</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i/>
          <w:sz w:val="20"/>
          <w:shd w:fill="FFFFFF" w:val="clear"/>
        </w:rPr>
        <w:t>Loans and commitments</w:t>
      </w:r>
      <w:r>
        <w:rPr>
          <w:rFonts w:ascii="Times New Roman;Times;serif" w:hAnsi="Times New Roman;Times;serif"/>
          <w:sz w:val="20"/>
        </w:rPr>
        <w:t xml:space="preserve"> </w:t>
      </w:r>
      <w:r>
        <w:rPr>
          <w:rFonts w:ascii="Times New Roman;Times;serif" w:hAnsi="Times New Roman;Times;serif"/>
          <w:sz w:val="20"/>
          <w:shd w:fill="FFFFFF" w:val="clear"/>
        </w:rPr>
        <w:t> </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December 31, 2025, we have lending arrangements with one U.S. bank, one financial institution in Taiwan and four financial institutions in China. As of December 31, 2025, we were in compliance with the covenants in the lending arrangements. </w:t>
      </w:r>
      <w:r>
        <w:rPr>
          <w:rFonts w:ascii="Times New Roman;Times;serif" w:hAnsi="Times New Roman;Times;serif"/>
          <w:sz w:val="20"/>
          <w:shd w:fill="FFFFFF" w:val="clear"/>
        </w:rPr>
        <w:t xml:space="preserve">As of </w:t>
      </w:r>
      <w:r>
        <w:rPr>
          <w:rFonts w:ascii="Times New Roman;Times;serif" w:hAnsi="Times New Roman;Times;serif"/>
          <w:sz w:val="20"/>
        </w:rPr>
        <w:t xml:space="preserve">December 31, 2025 </w:t>
      </w:r>
      <w:r>
        <w:rPr>
          <w:rFonts w:ascii="Times New Roman;Times;serif" w:hAnsi="Times New Roman;Times;serif"/>
          <w:sz w:val="20"/>
          <w:shd w:fill="FFFFFF" w:val="clear"/>
        </w:rPr>
        <w:t>, we had $60.7 million of unused borrowing capacity. </w:t>
      </w:r>
      <w:r>
        <w:rPr>
          <w:rFonts w:ascii="Times New Roman;Times;serif" w:hAnsi="Times New Roman;Times;serif"/>
          <w:sz w:val="20"/>
        </w:rPr>
        <w:t xml:space="preserve"> </w:t>
      </w:r>
    </w:p>
    <w:p>
      <w:pPr>
        <w:pStyle w:val="TextBody"/>
        <w:bidi w:val="0"/>
        <w:jc w:val="both"/>
        <w:rPr/>
      </w:pPr>
      <w:r>
        <w:rPr/>
        <w:t xml:space="preserve">  </w:t>
      </w:r>
    </w:p>
    <w:p>
      <w:pPr>
        <w:pStyle w:val="TextBody"/>
        <w:bidi w:val="0"/>
        <w:spacing w:before="0" w:after="0"/>
        <w:ind w:left="0" w:right="144" w:firstLine="720"/>
        <w:jc w:val="left"/>
        <w:rPr>
          <w:rFonts w:ascii="Times New Roman;Times;serif" w:hAnsi="Times New Roman;Times;serif"/>
          <w:sz w:val="20"/>
        </w:rPr>
      </w:pPr>
      <w:r>
        <w:rPr>
          <w:rFonts w:ascii="Times New Roman;Times;serif" w:hAnsi="Times New Roman;Times;serif"/>
          <w:sz w:val="20"/>
        </w:rPr>
        <w:t>On December 5, 2023, the Company issued $80.2 million of 5.250% convertible senior notes due 2026. The 2026 Notes were to mature on December 15, 2026, unless earlier repurchased, redeemed or converted in accordance with their terms. On July 30, 2025, the Company retired the final $3.5 million principal and accrued and unpaid interest on the 2026 Notes by exchanging such outstanding principal for 239,404 shares of the Company's common stock and by paying the accrued and outstanding interest in cash. </w:t>
      </w:r>
    </w:p>
    <w:p>
      <w:pPr>
        <w:pStyle w:val="TextBody"/>
        <w:bidi w:val="0"/>
        <w:spacing w:before="0" w:after="0"/>
        <w:ind w:left="0" w:right="144" w:firstLine="720"/>
        <w:jc w:val="left"/>
        <w:rPr/>
      </w:pPr>
      <w:r>
        <w:rPr/>
        <w:t> </w:t>
      </w:r>
    </w:p>
    <w:p>
      <w:pPr>
        <w:pStyle w:val="TextBody"/>
        <w:bidi w:val="0"/>
        <w:spacing w:before="0" w:after="0"/>
        <w:ind w:left="0" w:right="144"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See Note K "Notes Payable and Long-term Debt" and Note L "Convertible Senior Notes" of our Consolidated Financial Statements for a description of our notes payable and long-term debt and convertible senior notes.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Future liquidity needs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Contractual Obligations and Commitments</w:t>
      </w:r>
    </w:p>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have outstanding notes payable and debt with varying maturities with various financial institutions. As of December 31, 2025, our debt had an amount of $34.0 million, which is due within 12 months. Further information regarding our notes payable is provided in Note K – Notes Payable and Long-Term Debt in the Notes to Consolidated Financial Statements in this Form 10-K. We also have fixed-rate convertible senior notes. As of December 31, 2025, the 2030 Notes had an aggregate principal amount of $125 million and future interest payments associated with the 2030 Notes totaled $10.5 million. Further information regarding our convertible senior notes is provided in Note L – Convertible Senior Notes in the Notes to Consolidated Financial Statements in this Form 10-K. In addition, we have operating leases for certain property and equipment with an expected term at the commencement date of more than 12 months. As of December 31, 2025, the future minimum payments required under these leases totaled $63.2 million, with $5.2 million payable within 12 months. Further information regarding our leases is provided in Note D – Leases to Consolidated Financial Statements in this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shd w:fill="FFFFFF" w:val="clear"/>
        </w:rPr>
        <w:t>Inflation</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annual inflation rate in the US came down to 2.7% in 2025, compared with 2.9% in 2024. Even though the inflation has slowed from the peak, it remained above the Federal Reserve's objective of 2%. The annual inflation rate in Taiwan came down to around 1.7% in 2025 from 2.1% in 2024.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We cannot be sure when or if prices will return to pre-pandemic levels. Compared to other major economies in the world, China has a stable level of inflation, which has not had a significant impact on our sales or operating results. However, there is no guarantee that we may increase selling prices or reduce costs to fully mitigate the effect of inflation on our costs, which may adversely impact our sales margins and profitability. </w:t>
      </w:r>
    </w:p>
    <w:p>
      <w:pPr>
        <w:pStyle w:val="TextBody"/>
        <w:bidi w:val="0"/>
        <w:spacing w:before="0" w:after="0"/>
        <w:ind w:left="0" w:right="0" w:hanging="0"/>
        <w:jc w:val="both"/>
        <w:rPr>
          <w:shd w:fill="FFFFFF" w:val="clear"/>
        </w:rPr>
      </w:pPr>
      <w:r>
        <w:rPr>
          <w:shd w:fill="FFFFFF" w:val="clea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Critical Accounting Policies and Estimates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 xml:space="preserve">Long-lived assets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including meaningful asset grouping, expectations for future revenue, and disposal value for the asset(s).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w:t>
      </w:r>
      <w:r>
        <w:rPr>
          <w:rFonts w:ascii="Times New Roman;Times;serif" w:hAnsi="Times New Roman;Times;serif"/>
          <w:sz w:val="20"/>
        </w:rPr>
        <w:t xml:space="preserve"> any asset impairment charges in 2025, 2024 and 2023.     </w:t>
      </w:r>
      <w:r>
        <w:rPr>
          <w:rFonts w:ascii="Times New Roman;Times;serif" w:hAnsi="Times New Roman;Times;serif"/>
          <w:sz w:val="20"/>
          <w:shd w:fill="FFFFFF" w:val="clear"/>
        </w:rPr>
        <w:t xml:space="preserve">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 xml:space="preserve">Valuation of inventories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(average-cost method) or net realizable value. Work in process and finished goods includes materials, labor and allocated overhead. We assess the valuation of our inventory on a periodic basis and provide an allowance for the value of estimated excess and obsolete inventory based on estimates of future demand. Inventory reserves are recorded to account for the excess and obsolete inventory combined with the lower of cost or net realizable value assessments. To develop the reserve, we developed certain percentages that determine the extent of inventory reserve adjustments based on the age of the inventory. Such percentages were determined through analysis of the inventory to determine each product's lifespan, a review of historical write-offs or scrapped inventory, and an assessment by product engineers of the possibility of obsolescence for each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During the years ended December 31, 2025, 2024 and 2023, we recorded excess and obsolete inventory reserve charges of $9.7 million, $3.4 million and $8.7 million, respectively. For the years ended December 31, 2025, 2024 and 2023, the direct inventory write-offs related to scrap, discontinued products and damaged inventories were $9.4 million,  $3.8 million and $10.6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an accounting policy to record a reserve for inventory encompassing the value of excess or obsolete items combined with the lower of cost or net reliable value.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 We consider these factors to be subjective because there can be no certainty that past trends will continue and our future expectations cannot be known with certainty. If past trends in demand, for example, change, then this could materially change the values used in our estimates.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Accounting for income taxes</w:t>
      </w:r>
    </w:p>
    <w:p>
      <w:pPr>
        <w:pStyle w:val="TextBody"/>
        <w:bidi w:val="0"/>
        <w:spacing w:before="0" w:after="0"/>
        <w:ind w:left="0" w:right="0" w:hanging="180"/>
        <w:jc w:val="left"/>
        <w:rPr>
          <w:shd w:fill="FFFFFF" w:val="clear"/>
        </w:rPr>
      </w:pPr>
      <w:r>
        <w:rPr>
          <w:shd w:fill="FFFFFF" w:val="clear"/>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On the basis of this evaluation, as of December 31, 2025, the company recognized $7.6 million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See additional information regarding income taxes in Note O of our Consolidated Financial Statements.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shd w:fill="FFFFFF" w:val="clear"/>
        </w:rPr>
        <w:t>Recent Accounting Pronouncements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See Note B of our Consolidated Financial Statements for a description of recent accounting pronouncements. </w:t>
      </w:r>
    </w:p>
    <w:p>
      <w:pPr>
        <w:pStyle w:val="TextBody"/>
        <w:bidi w:val="0"/>
        <w:spacing w:before="0" w:after="0"/>
        <w:ind w:left="0" w:right="0" w:hanging="0"/>
        <w:jc w:val="left"/>
        <w:rPr/>
      </w:pPr>
      <w:r>
        <w:rPr/>
        <w:t> </w:t>
      </w:r>
    </w:p>
    <w:tbl>
      <w:tblPr>
        <w:tblW w:w="5860" w:type="dxa"/>
        <w:jc w:val="left"/>
        <w:tblInd w:w="0" w:type="dxa"/>
        <w:tblLayout w:type="fixed"/>
        <w:tblCellMar>
          <w:top w:w="0" w:type="dxa"/>
          <w:left w:w="0" w:type="dxa"/>
          <w:bottom w:w="0" w:type="dxa"/>
          <w:right w:w="0" w:type="dxa"/>
        </w:tblCellMar>
      </w:tblPr>
      <w:tblGrid>
        <w:gridCol w:w="785"/>
        <w:gridCol w:w="507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5" w:name="Item_7A"/>
            <w:bookmarkEnd w:id="15"/>
            <w:r>
              <w:rPr>
                <w:rFonts w:ascii="Times New Roman;Times;serif" w:hAnsi="Times New Roman;Times;serif"/>
                <w:b/>
                <w:sz w:val="20"/>
                <w:shd w:fill="FFFFFF" w:val="clear"/>
              </w:rPr>
              <w:t xml:space="preserve">Item 7A. </w:t>
            </w:r>
          </w:p>
        </w:tc>
        <w:tc>
          <w:tcPr>
            <w:tcW w:w="507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Quantitative and Qualitative Disclosures about Market Risk</w:t>
            </w:r>
          </w:p>
        </w:tc>
      </w:tr>
    </w:tbl>
    <w:p>
      <w:pPr>
        <w:pStyle w:val="TextBody"/>
        <w:bidi w:val="0"/>
        <w:spacing w:before="0" w:after="0"/>
        <w:ind w:left="1440" w:right="0" w:hanging="144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Market Risks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Interest Rate Fluctuation Risk</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We could be exposed to interest rate risk, should we incur debt that had a floating interest rate.  As of </w:t>
      </w:r>
      <w:r>
        <w:rPr>
          <w:rFonts w:ascii="Times New Roman;Times;serif" w:hAnsi="Times New Roman;Times;serif"/>
          <w:sz w:val="20"/>
        </w:rPr>
        <w:t>December 31, 2025</w:t>
      </w:r>
      <w:r>
        <w:rPr>
          <w:rFonts w:ascii="Times New Roman;Times;serif" w:hAnsi="Times New Roman;Times;serif"/>
          <w:sz w:val="20"/>
          <w:shd w:fill="FFFFFF" w:val="clear"/>
        </w:rPr>
        <w:t xml:space="preserve">, all debts bore a fixed interest rate and therefore did not generate interest rate risk. As of </w:t>
      </w:r>
      <w:r>
        <w:rPr>
          <w:rFonts w:ascii="Times New Roman;Times;serif" w:hAnsi="Times New Roman;Times;serif"/>
          <w:sz w:val="20"/>
        </w:rPr>
        <w:t>December 31, 2025</w:t>
      </w:r>
      <w:r>
        <w:rPr>
          <w:rFonts w:ascii="Times New Roman;Times;serif" w:hAnsi="Times New Roman;Times;serif"/>
          <w:sz w:val="20"/>
          <w:shd w:fill="FFFFFF" w:val="clear"/>
        </w:rPr>
        <w:t>, we had not hedged our interest rate risk.</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Foreign Exchange Rates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we recognized approximately$0.1 million of exchange gain arising from foreign currency transactions and re-measurement of monetary assets and liabilities dominated in non-functional currency on the balance sheet date.</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year ended December 31, 2025, 0.7% of our revenue was denominated in RMB and none of our revenue was denominated in NT dollars. In the year ended December 31, 2025, 21.7% of our operating expenses were denominated in RMB and 17.8% of our operating expenses were 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2025, our operating expenses would have had been higher by $0.8 million.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December 31, 2025</w:t>
      </w:r>
      <w:r>
        <w:rPr>
          <w:rFonts w:ascii="Times New Roman;Times;serif" w:hAnsi="Times New Roman;Times;serif"/>
          <w:sz w:val="20"/>
          <w:shd w:fill="FFFFFF" w:val="clear"/>
        </w:rPr>
        <w:t>, we held the U.S. dollar denominated liabilities net of assets of approximately $2.3</w:t>
      </w:r>
      <w:r>
        <w:rPr>
          <w:rFonts w:ascii="Times New Roman;Times;serif" w:hAnsi="Times New Roman;Times;serif"/>
          <w:color w:val="0782C1"/>
          <w:sz w:val="20"/>
          <w:shd w:fill="FFFFFF" w:val="clear"/>
        </w:rPr>
        <w:t> </w:t>
      </w:r>
      <w:r>
        <w:rPr>
          <w:rFonts w:ascii="Times New Roman;Times;serif" w:hAnsi="Times New Roman;Times;serif"/>
          <w:sz w:val="20"/>
          <w:shd w:fill="FFFFFF" w:val="clear"/>
        </w:rPr>
        <w:t xml:space="preserve">million in our China subsidiary and liabilities net of assets of $39.5 million in our Taiwan branch. With respect to these U.S. dollar denominated net assets as of </w:t>
      </w:r>
      <w:r>
        <w:rPr>
          <w:rFonts w:ascii="Times New Roman;Times;serif" w:hAnsi="Times New Roman;Times;serif"/>
          <w:sz w:val="20"/>
        </w:rPr>
        <w:t>December 31, 2025</w:t>
      </w:r>
      <w:r>
        <w:rPr>
          <w:rFonts w:ascii="Times New Roman;Times;serif" w:hAnsi="Times New Roman;Times;serif"/>
          <w:sz w:val="20"/>
          <w:shd w:fill="FFFFFF" w:val="clear"/>
        </w:rPr>
        <w:t xml:space="preserve">, if exchange rates of RMB and NT dollars for U.S. dollars were 1% higher during the year ended </w:t>
      </w:r>
      <w:r>
        <w:rPr>
          <w:rFonts w:ascii="Times New Roman;Times;serif" w:hAnsi="Times New Roman;Times;serif"/>
          <w:sz w:val="20"/>
        </w:rPr>
        <w:t>December 31, 2025</w:t>
      </w:r>
      <w:r>
        <w:rPr>
          <w:rFonts w:ascii="Times New Roman;Times;serif" w:hAnsi="Times New Roman;Times;serif"/>
          <w:sz w:val="20"/>
          <w:shd w:fill="FFFFFF" w:val="clear"/>
        </w:rPr>
        <w:t>, our other operating expenses would have been reduced by $0.4 million. Any significant revaluation of the RMB and NT dollars may materially and adversely affect the cash flows, revenues, and net income (loss) as reported in U.S. dollars.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currently do not use derivative financial instruments to mitigate this exposure. We continue to review this issue and may consider hedging certain foreign exchange risks through the use of currency forwards or options in future years.</w:t>
      </w:r>
    </w:p>
    <w:p>
      <w:pPr>
        <w:pStyle w:val="TextBody"/>
        <w:bidi w:val="0"/>
        <w:spacing w:before="0" w:after="0"/>
        <w:ind w:left="0" w:right="0" w:firstLine="720"/>
        <w:jc w:val="left"/>
        <w:rPr>
          <w:shd w:fill="FFFFFF" w:val="clear"/>
        </w:rPr>
      </w:pPr>
      <w:r>
        <w:rPr>
          <w:shd w:fill="FFFFFF" w:val="clear"/>
        </w:rPr>
        <w:t>  </w:t>
      </w:r>
    </w:p>
    <w:tbl>
      <w:tblPr>
        <w:tblW w:w="4585" w:type="dxa"/>
        <w:jc w:val="left"/>
        <w:tblInd w:w="0" w:type="dxa"/>
        <w:tblLayout w:type="fixed"/>
        <w:tblCellMar>
          <w:top w:w="0" w:type="dxa"/>
          <w:left w:w="0" w:type="dxa"/>
          <w:bottom w:w="0" w:type="dxa"/>
          <w:right w:w="0" w:type="dxa"/>
        </w:tblCellMar>
      </w:tblPr>
      <w:tblGrid>
        <w:gridCol w:w="650"/>
        <w:gridCol w:w="393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6" w:name="Item_8"/>
            <w:bookmarkEnd w:id="16"/>
            <w:r>
              <w:rPr>
                <w:rFonts w:ascii="Times New Roman;Times;serif" w:hAnsi="Times New Roman;Times;serif"/>
                <w:b/>
                <w:sz w:val="20"/>
                <w:shd w:fill="FFFFFF" w:val="clear"/>
              </w:rPr>
              <w:t xml:space="preserve">Item 8. </w:t>
            </w:r>
          </w:p>
        </w:tc>
        <w:tc>
          <w:tcPr>
            <w:tcW w:w="393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Financial Statements and Supplementary Data</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information required by this item is incorporated by reference to the consolidated financial statements and accompanying notes beginning on page F-1 of this Form 10-K.</w:t>
      </w:r>
    </w:p>
    <w:p>
      <w:pPr>
        <w:pStyle w:val="TextBody"/>
        <w:bidi w:val="0"/>
        <w:spacing w:before="0" w:after="0"/>
        <w:ind w:left="0" w:right="0" w:hanging="0"/>
        <w:jc w:val="left"/>
        <w:rPr>
          <w:shd w:fill="FFFFFF" w:val="clear"/>
        </w:rPr>
      </w:pPr>
      <w:r>
        <w:rPr>
          <w:shd w:fill="FFFFFF" w:val="clear"/>
        </w:rPr>
        <w:t>  </w:t>
      </w:r>
    </w:p>
    <w:tbl>
      <w:tblPr>
        <w:tblW w:w="8140" w:type="dxa"/>
        <w:jc w:val="left"/>
        <w:tblInd w:w="0" w:type="dxa"/>
        <w:tblLayout w:type="fixed"/>
        <w:tblCellMar>
          <w:top w:w="0" w:type="dxa"/>
          <w:left w:w="0" w:type="dxa"/>
          <w:bottom w:w="0" w:type="dxa"/>
          <w:right w:w="0" w:type="dxa"/>
        </w:tblCellMar>
      </w:tblPr>
      <w:tblGrid>
        <w:gridCol w:w="650"/>
        <w:gridCol w:w="749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7" w:name="Item_9"/>
            <w:bookmarkEnd w:id="17"/>
            <w:r>
              <w:rPr>
                <w:rFonts w:ascii="Times New Roman;Times;serif" w:hAnsi="Times New Roman;Times;serif"/>
                <w:b/>
                <w:sz w:val="20"/>
                <w:shd w:fill="FFFFFF" w:val="clear"/>
              </w:rPr>
              <w:t xml:space="preserve">Item 9. </w:t>
            </w:r>
          </w:p>
        </w:tc>
        <w:tc>
          <w:tcPr>
            <w:tcW w:w="749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Changes in and Disagreements with Accountants on Accounting and Financial Disclosure</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2905" w:type="dxa"/>
        <w:jc w:val="left"/>
        <w:tblInd w:w="0" w:type="dxa"/>
        <w:tblLayout w:type="fixed"/>
        <w:tblCellMar>
          <w:top w:w="0" w:type="dxa"/>
          <w:left w:w="0" w:type="dxa"/>
          <w:bottom w:w="0" w:type="dxa"/>
          <w:right w:w="0" w:type="dxa"/>
        </w:tblCellMar>
      </w:tblPr>
      <w:tblGrid>
        <w:gridCol w:w="785"/>
        <w:gridCol w:w="2120"/>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18" w:name="Item_9A"/>
            <w:bookmarkEnd w:id="18"/>
            <w:r>
              <w:rPr>
                <w:rFonts w:ascii="Times New Roman;Times;serif" w:hAnsi="Times New Roman;Times;serif"/>
                <w:b/>
                <w:sz w:val="20"/>
                <w:shd w:fill="FFFFFF" w:val="clear"/>
              </w:rPr>
              <w:t xml:space="preserve">Item 9A. </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Controls and Procedures</w:t>
            </w:r>
          </w:p>
        </w:tc>
      </w:tr>
    </w:tbl>
    <w:p>
      <w:pPr>
        <w:pStyle w:val="TextBody"/>
        <w:bidi w:val="0"/>
        <w:spacing w:before="0" w:after="0"/>
        <w:ind w:left="0" w:right="0" w:hanging="0"/>
        <w:jc w:val="left"/>
        <w:rPr>
          <w:shd w:fill="FFFFFF" w:val="clear"/>
        </w:rPr>
      </w:pPr>
      <w:r>
        <w:rPr>
          <w:shd w:fill="FFFFFF" w:val="clear"/>
        </w:rPr>
        <w:t>  </w:t>
      </w:r>
    </w:p>
    <w:tbl>
      <w:tblPr>
        <w:tblW w:w="4315" w:type="dxa"/>
        <w:jc w:val="left"/>
        <w:tblInd w:w="0" w:type="dxa"/>
        <w:tblLayout w:type="fixed"/>
        <w:tblCellMar>
          <w:top w:w="0" w:type="dxa"/>
          <w:left w:w="0" w:type="dxa"/>
          <w:bottom w:w="0" w:type="dxa"/>
          <w:right w:w="0" w:type="dxa"/>
        </w:tblCellMar>
      </w:tblPr>
      <w:tblGrid>
        <w:gridCol w:w="60"/>
        <w:gridCol w:w="155"/>
        <w:gridCol w:w="410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w:t>
            </w:r>
          </w:p>
        </w:tc>
        <w:tc>
          <w:tcPr>
            <w:tcW w:w="410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Evaluation of Disclosure Controls and Procedures.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rPr>
        <w:t>December 31, 2025</w:t>
      </w:r>
      <w:r>
        <w:rPr>
          <w:rFonts w:ascii="Times New Roman;Times;serif" w:hAnsi="Times New Roman;Times;serif"/>
          <w:sz w:val="20"/>
          <w:shd w:fill="FFFFFF" w:val="clear"/>
        </w:rPr>
        <w:t>. Based upon that evaluation, our Chief Executive Officer and Chief Financial Officer concluded that, as of the end of the period covered in this Form 10-K, our disclosure controls and procedures were effective.</w:t>
      </w:r>
    </w:p>
    <w:p>
      <w:pPr>
        <w:pStyle w:val="TextBody"/>
        <w:bidi w:val="0"/>
        <w:spacing w:before="0" w:after="0"/>
        <w:ind w:left="0" w:right="0" w:hanging="0"/>
        <w:jc w:val="both"/>
        <w:rPr>
          <w:shd w:fill="FFFFFF" w:val="clear"/>
        </w:rPr>
      </w:pPr>
      <w:r>
        <w:rPr>
          <w:shd w:fill="FFFFFF" w:val="clear"/>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w:t>
            </w:r>
          </w:p>
        </w:tc>
        <w:tc>
          <w:tcPr>
            <w:tcW w:w="620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Management’s Annual Report on Internal Control over Financial Reporting.</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("COSO") of the Treadway Commission. Based on this evaluation, management concluded that our internal control over financial reporting was effective as of </w:t>
      </w:r>
      <w:r>
        <w:rPr>
          <w:rFonts w:ascii="Times New Roman;Times;serif" w:hAnsi="Times New Roman;Times;serif"/>
          <w:sz w:val="20"/>
        </w:rPr>
        <w:t>December 31, 2025</w:t>
      </w:r>
      <w:r>
        <w:rPr>
          <w:rFonts w:ascii="Times New Roman;Times;serif" w:hAnsi="Times New Roman;Times;serif"/>
          <w:sz w:val="20"/>
          <w:shd w:fill="FFFFFF" w:val="clear"/>
        </w:rPr>
        <w:t>. Accordingly, management believes that the consolidated financial statements included in this Form 10-K present fairly in all material respects our financial position, results of operations, and cash flows for the period presented.</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Remediation of Material Weakness Identified in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described on our Form 10-K for the year ending December 31, 2024, management identified a material weakness related to the operation of controls over our review of technical accounting analysis. Although this material weakness did not result in any material misstatement of our financial statements, we nevertheless concluded that our internal control over financial reporting was not effective as of December 31, 2024. During 2025, we took steps to remediate this material weakness, including instituting additional levels of review for technical accounting analyses, additional scrutiny of externally-prepared technical accounting analyses, and personnel changes within the Accounting department that possess knowledge of technical accounting matters sufficient to allow them to perform a review of the analysis that is precise enough to detect errors in the analysis that could lead to a conclusion that would have a material impact to the Company’s financial statements.</w:t>
      </w:r>
    </w:p>
    <w:p>
      <w:pPr>
        <w:pStyle w:val="TextBody"/>
        <w:bidi w:val="0"/>
        <w:spacing w:before="0" w:after="0"/>
        <w:ind w:left="0" w:right="0" w:firstLine="720"/>
        <w:jc w:val="left"/>
        <w:rPr/>
      </w:pPr>
      <w:r>
        <w:rPr/>
        <w:t> </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Under the oversight of our Audit Committee, we believe that these steps have been effective in remediating the material weakness.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2025.</w:t>
      </w:r>
    </w:p>
    <w:p>
      <w:pPr>
        <w:pStyle w:val="TextBody"/>
        <w:bidi w:val="0"/>
        <w:spacing w:before="0" w:after="0"/>
        <w:ind w:left="0" w:right="0" w:hanging="0"/>
        <w:jc w:val="left"/>
        <w:rPr/>
      </w:pPr>
      <w:r>
        <w:rPr/>
        <w:t> </w:t>
      </w:r>
    </w:p>
    <w:tbl>
      <w:tblPr>
        <w:tblW w:w="4585" w:type="dxa"/>
        <w:jc w:val="left"/>
        <w:tblInd w:w="0" w:type="dxa"/>
        <w:tblLayout w:type="fixed"/>
        <w:tblCellMar>
          <w:top w:w="0" w:type="dxa"/>
          <w:left w:w="0" w:type="dxa"/>
          <w:bottom w:w="0" w:type="dxa"/>
          <w:right w:w="0" w:type="dxa"/>
        </w:tblCellMar>
      </w:tblPr>
      <w:tblGrid>
        <w:gridCol w:w="60"/>
        <w:gridCol w:w="155"/>
        <w:gridCol w:w="437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w:t>
            </w:r>
          </w:p>
        </w:tc>
        <w:tc>
          <w:tcPr>
            <w:tcW w:w="437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Changes in Internal Control over Financial Reporting</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than the remediation steps discussed above, 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Stockholders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Applied Optoelectronics,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internal control over financial reporting of Applied Optoelectronics, Inc. (a Delaware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financial statements of the Company as of and for the year ended December 31, 2025, and our report dated February 26, 2026 expressed an unqualified opinion on those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360"/>
        <w:jc w:val="left"/>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Houston, Texas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26, 2026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2380" w:type="dxa"/>
        <w:jc w:val="left"/>
        <w:tblInd w:w="0" w:type="dxa"/>
        <w:tblLayout w:type="fixed"/>
        <w:tblCellMar>
          <w:top w:w="0" w:type="dxa"/>
          <w:left w:w="0" w:type="dxa"/>
          <w:bottom w:w="0" w:type="dxa"/>
          <w:right w:w="0" w:type="dxa"/>
        </w:tblCellMar>
      </w:tblPr>
      <w:tblGrid>
        <w:gridCol w:w="785"/>
        <w:gridCol w:w="1595"/>
      </w:tblGrid>
      <w:tr>
        <w:trPr/>
        <w:tc>
          <w:tcPr>
            <w:tcW w:w="785" w:type="dxa"/>
            <w:tcBorders/>
            <w:vAlign w:val="center"/>
          </w:tcPr>
          <w:p>
            <w:pPr>
              <w:pStyle w:val="TableContents"/>
              <w:bidi w:val="0"/>
              <w:spacing w:before="0" w:after="0"/>
              <w:ind w:left="0" w:right="0" w:hanging="0"/>
              <w:jc w:val="left"/>
              <w:rPr/>
            </w:pPr>
            <w:bookmarkStart w:id="19" w:name="Item_9B"/>
            <w:bookmarkEnd w:id="19"/>
            <w:r>
              <w:rPr>
                <w:rFonts w:ascii="Times New Roman;Times;serif" w:hAnsi="Times New Roman;Times;serif"/>
                <w:b/>
                <w:sz w:val="20"/>
                <w:shd w:fill="FFFFFF" w:val="clear"/>
              </w:rPr>
              <w:t xml:space="preserve">Item </w:t>
            </w:r>
            <w:r>
              <w:rPr>
                <w:rStyle w:val="Emphasis"/>
                <w:rFonts w:ascii="Times New Roman;Times;serif" w:hAnsi="Times New Roman;Times;serif"/>
                <w:b/>
                <w:sz w:val="20"/>
                <w:shd w:fill="FFFFFF" w:val="clear"/>
              </w:rPr>
              <w:t>9B.</w:t>
            </w:r>
            <w:r>
              <w:rPr>
                <w:rFonts w:ascii="Times New Roman;Times;serif" w:hAnsi="Times New Roman;Times;serif"/>
                <w:b/>
                <w:sz w:val="20"/>
                <w:shd w:fill="FFFFFF" w:val="clear"/>
              </w:rPr>
              <w:t xml:space="preserve"> </w:t>
            </w:r>
          </w:p>
        </w:tc>
        <w:tc>
          <w:tcPr>
            <w:tcW w:w="159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Other Information</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900" w:right="0" w:hanging="900"/>
        <w:jc w:val="left"/>
        <w:rPr/>
      </w:pPr>
      <w:r>
        <w:rPr>
          <w:rFonts w:ascii="Times New Roman;Times;serif" w:hAnsi="Times New Roman;Times;serif"/>
          <w:b/>
          <w:i/>
          <w:sz w:val="20"/>
        </w:rPr>
        <w:t xml:space="preserve">Rule </w:t>
      </w:r>
      <w:r>
        <w:rPr>
          <w:rStyle w:val="Emphasis"/>
          <w:rFonts w:ascii="Times New Roman;Times;serif" w:hAnsi="Times New Roman;Times;serif"/>
          <w:b/>
          <w:i/>
          <w:sz w:val="20"/>
        </w:rPr>
        <w:t>10b5</w:t>
      </w:r>
      <w:r>
        <w:rPr>
          <w:rFonts w:ascii="Times New Roman;Times;serif" w:hAnsi="Times New Roman;Times;serif"/>
          <w:b/>
          <w:i/>
          <w:sz w:val="20"/>
        </w:rPr>
        <w:t>-</w:t>
      </w:r>
      <w:r>
        <w:rPr>
          <w:rStyle w:val="Emphasis"/>
          <w:rFonts w:ascii="Times New Roman;Times;serif" w:hAnsi="Times New Roman;Times;serif"/>
          <w:b/>
          <w:i/>
          <w:sz w:val="20"/>
        </w:rPr>
        <w:t>1</w:t>
      </w:r>
      <w:r>
        <w:rPr>
          <w:rFonts w:ascii="Times New Roman;Times;serif" w:hAnsi="Times New Roman;Times;serif"/>
          <w:b/>
          <w:i/>
          <w:sz w:val="20"/>
        </w:rPr>
        <w:t xml:space="preserve"> Trading Plans </w:t>
      </w:r>
    </w:p>
    <w:p>
      <w:pPr>
        <w:pStyle w:val="TextBody"/>
        <w:bidi w:val="0"/>
        <w:spacing w:before="0" w:after="0"/>
        <w:ind w:left="90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adoption or termination of contracts, instructions or written plans for the purchase or sale of our securities by our Section </w:t>
      </w:r>
      <w:r>
        <w:rPr>
          <w:rStyle w:val="Emphasis"/>
          <w:rFonts w:ascii="Times New Roman;Times;serif" w:hAnsi="Times New Roman;Times;serif"/>
          <w:sz w:val="20"/>
        </w:rPr>
        <w:t>16</w:t>
      </w:r>
      <w:r>
        <w:rPr>
          <w:rFonts w:ascii="Times New Roman;Times;serif" w:hAnsi="Times New Roman;Times;serif"/>
          <w:sz w:val="20"/>
        </w:rPr>
        <w:t xml:space="preserve"> offers and directors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each of which is intended to satisfy the affirmative defense conditions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under the Exchange Act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Plan"), were as follows:</w:t>
      </w:r>
    </w:p>
    <w:p>
      <w:pPr>
        <w:pStyle w:val="TextBody"/>
        <w:bidi w:val="0"/>
        <w:spacing w:before="0" w:after="0"/>
        <w:ind w:left="0" w:right="0" w:firstLine="540"/>
        <w:jc w:val="left"/>
        <w:rPr/>
      </w:pPr>
      <w:r>
        <w:rPr/>
        <w:t> </w:t>
      </w:r>
    </w:p>
    <w:tbl>
      <w:tblPr>
        <w:tblW w:w="10205" w:type="dxa"/>
        <w:jc w:val="left"/>
        <w:tblInd w:w="0" w:type="dxa"/>
        <w:tblLayout w:type="fixed"/>
        <w:tblCellMar>
          <w:top w:w="0" w:type="dxa"/>
          <w:left w:w="0" w:type="dxa"/>
          <w:bottom w:w="28" w:type="dxa"/>
          <w:right w:w="0" w:type="dxa"/>
        </w:tblCellMar>
      </w:tblPr>
      <w:tblGrid>
        <w:gridCol w:w="1676"/>
        <w:gridCol w:w="60"/>
        <w:gridCol w:w="1775"/>
        <w:gridCol w:w="60"/>
        <w:gridCol w:w="920"/>
        <w:gridCol w:w="60"/>
        <w:gridCol w:w="1177"/>
        <w:gridCol w:w="60"/>
        <w:gridCol w:w="1387"/>
        <w:gridCol w:w="60"/>
        <w:gridCol w:w="2970"/>
      </w:tblGrid>
      <w:tr>
        <w:trPr/>
        <w:tc>
          <w:tcPr>
            <w:tcW w:w="1676" w:type="dxa"/>
            <w:tcBorders>
              <w:bottom w:val="single" w:sz="2" w:space="0" w:color="000000"/>
            </w:tcBorders>
            <w:vAlign w:val="center"/>
          </w:tcPr>
          <w:p>
            <w:pPr>
              <w:pStyle w:val="TableContents"/>
              <w:bidi w:val="0"/>
              <w:spacing w:before="0" w:after="283"/>
              <w:jc w:val="center"/>
              <w:rPr/>
            </w:pPr>
            <w:r>
              <w:rPr>
                <w:bCs/>
              </w:rPr>
              <w:t>﻿</w:t>
            </w:r>
            <w:r>
              <w:rPr>
                <w:b/>
              </w:rPr>
              <w:t>Name</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2" w:space="0" w:color="000000"/>
            </w:tcBorders>
            <w:vAlign w:val="center"/>
          </w:tcPr>
          <w:p>
            <w:pPr>
              <w:pStyle w:val="TableContents"/>
              <w:bidi w:val="0"/>
              <w:spacing w:before="0" w:after="283"/>
              <w:jc w:val="center"/>
              <w:rPr/>
            </w:pPr>
            <w:r>
              <w:rPr>
                <w:bCs/>
              </w:rPr>
              <w:t>﻿</w:t>
            </w:r>
            <w:r>
              <w:rPr>
                <w:b/>
              </w:rPr>
              <w:t>Title</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2" w:space="0" w:color="000000"/>
            </w:tcBorders>
            <w:vAlign w:val="center"/>
          </w:tcPr>
          <w:p>
            <w:pPr>
              <w:pStyle w:val="TableContents"/>
              <w:bidi w:val="0"/>
              <w:spacing w:before="0" w:after="283"/>
              <w:jc w:val="center"/>
              <w:rPr/>
            </w:pPr>
            <w:r>
              <w:rPr>
                <w:b/>
              </w:rPr>
              <w:t>Action</w:t>
            </w:r>
            <w:r>
              <w:rPr>
                <w:bCs/>
              </w:rPr>
              <w:t>﻿</w:t>
            </w:r>
          </w:p>
        </w:tc>
        <w:tc>
          <w:tcPr>
            <w:tcW w:w="60" w:type="dxa"/>
            <w:tcBorders/>
            <w:tcMar>
              <w:bottom w:w="0" w:type="dxa"/>
            </w:tcMar>
            <w:vAlign w:val="center"/>
          </w:tcPr>
          <w:p>
            <w:pPr>
              <w:pStyle w:val="TableContents"/>
              <w:bidi w:val="0"/>
              <w:spacing w:before="0" w:after="283"/>
              <w:jc w:val="center"/>
              <w:rPr/>
            </w:pPr>
            <w:r>
              <w:rPr/>
              <w:t> </w:t>
            </w:r>
          </w:p>
        </w:tc>
        <w:tc>
          <w:tcPr>
            <w:tcW w:w="1177" w:type="dxa"/>
            <w:tcBorders>
              <w:bottom w:val="single" w:sz="2" w:space="0" w:color="000000"/>
            </w:tcBorders>
            <w:vAlign w:val="center"/>
          </w:tcPr>
          <w:p>
            <w:pPr>
              <w:pStyle w:val="TableContents"/>
              <w:bidi w:val="0"/>
              <w:spacing w:before="0" w:after="283"/>
              <w:jc w:val="center"/>
              <w:rPr/>
            </w:pPr>
            <w:r>
              <w:rPr>
                <w:b/>
              </w:rPr>
              <w:t>Date Adopted</w:t>
            </w:r>
            <w:r>
              <w:rPr>
                <w:bCs/>
              </w:rPr>
              <w:t>﻿</w:t>
            </w:r>
          </w:p>
        </w:tc>
        <w:tc>
          <w:tcPr>
            <w:tcW w:w="60" w:type="dxa"/>
            <w:tcBorders/>
            <w:tcMar>
              <w:bottom w:w="0" w:type="dxa"/>
            </w:tcMar>
            <w:vAlign w:val="center"/>
          </w:tcPr>
          <w:p>
            <w:pPr>
              <w:pStyle w:val="TableContents"/>
              <w:bidi w:val="0"/>
              <w:spacing w:before="0" w:after="283"/>
              <w:jc w:val="center"/>
              <w:rPr/>
            </w:pPr>
            <w:r>
              <w:rPr/>
              <w:t> </w:t>
            </w:r>
          </w:p>
        </w:tc>
        <w:tc>
          <w:tcPr>
            <w:tcW w:w="1387" w:type="dxa"/>
            <w:tcBorders>
              <w:bottom w:val="single" w:sz="2" w:space="0" w:color="000000"/>
            </w:tcBorders>
            <w:vAlign w:val="center"/>
          </w:tcPr>
          <w:p>
            <w:pPr>
              <w:pStyle w:val="TableContents"/>
              <w:bidi w:val="0"/>
              <w:spacing w:before="0" w:after="283"/>
              <w:jc w:val="center"/>
              <w:rPr/>
            </w:pPr>
            <w:r>
              <w:rPr>
                <w:b/>
              </w:rPr>
              <w:t>Expiration Date</w:t>
            </w:r>
            <w:r>
              <w:rPr>
                <w:bCs/>
              </w:rPr>
              <w:t>﻿</w:t>
            </w:r>
          </w:p>
        </w:tc>
        <w:tc>
          <w:tcPr>
            <w:tcW w:w="60" w:type="dxa"/>
            <w:tcBorders/>
            <w:tcMar>
              <w:bottom w:w="0" w:type="dxa"/>
            </w:tcMar>
            <w:vAlign w:val="center"/>
          </w:tcPr>
          <w:p>
            <w:pPr>
              <w:pStyle w:val="TableContents"/>
              <w:bidi w:val="0"/>
              <w:spacing w:before="0" w:after="283"/>
              <w:jc w:val="center"/>
              <w:rPr/>
            </w:pPr>
            <w:r>
              <w:rPr/>
              <w:t> </w:t>
            </w:r>
          </w:p>
        </w:tc>
        <w:tc>
          <w:tcPr>
            <w:tcW w:w="2970" w:type="dxa"/>
            <w:tcBorders>
              <w:bottom w:val="single" w:sz="2" w:space="0" w:color="000000"/>
            </w:tcBorders>
            <w:vAlign w:val="center"/>
          </w:tcPr>
          <w:p>
            <w:pPr>
              <w:pStyle w:val="TableContents"/>
              <w:bidi w:val="0"/>
              <w:spacing w:before="0" w:after="283"/>
              <w:jc w:val="center"/>
              <w:rPr/>
            </w:pPr>
            <w:r>
              <w:rPr>
                <w:bCs/>
              </w:rPr>
              <w:t>﻿</w:t>
            </w:r>
            <w:r>
              <w:rPr>
                <w:b/>
              </w:rPr>
              <w:t>Aggregate # of Securities to be Purchased/Sold</w:t>
            </w:r>
          </w:p>
        </w:tc>
      </w:tr>
      <w:tr>
        <w:trPr/>
        <w:tc>
          <w:tcPr>
            <w:tcW w:w="1676" w:type="dxa"/>
            <w:tcBorders/>
            <w:shd w:fill="CCEEFF" w:val="clear"/>
            <w:tcMar>
              <w:bottom w:w="0" w:type="dxa"/>
            </w:tcMar>
            <w:vAlign w:val="center"/>
          </w:tcPr>
          <w:p>
            <w:pPr>
              <w:pStyle w:val="TableContents"/>
              <w:bidi w:val="0"/>
              <w:spacing w:lineRule="auto" w:line="288" w:before="0" w:after="283"/>
              <w:jc w:val="left"/>
              <w:rPr/>
            </w:pPr>
            <w:r>
              <w:rPr/>
              <w:t>Shu-Hua (Joshua) Yeh(</w:t>
            </w:r>
            <w:r>
              <w:rPr>
                <w:rStyle w:val="Emphasis"/>
              </w:rPr>
              <w:t>1</w:t>
            </w:r>
            <w:r>
              <w:rPr/>
              <w:t>)</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5" w:type="dxa"/>
            <w:tcBorders/>
            <w:shd w:fill="CCEEFF" w:val="clear"/>
            <w:tcMar>
              <w:bottom w:w="0" w:type="dxa"/>
            </w:tcMar>
            <w:vAlign w:val="center"/>
          </w:tcPr>
          <w:p>
            <w:pPr>
              <w:pStyle w:val="TableContents"/>
              <w:bidi w:val="0"/>
              <w:spacing w:before="0" w:after="283"/>
              <w:jc w:val="center"/>
              <w:rPr/>
            </w:pPr>
            <w:r>
              <w:rPr/>
              <w:t>SVP/Asia General Manager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w:t>
            </w:r>
            <w:r>
              <w:rPr/>
              <w:t>Adoption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7" w:type="dxa"/>
            <w:tcBorders/>
            <w:shd w:fill="CCEEFF" w:val="clear"/>
            <w:tcMar>
              <w:bottom w:w="0" w:type="dxa"/>
            </w:tcMar>
            <w:vAlign w:val="center"/>
          </w:tcPr>
          <w:p>
            <w:pPr>
              <w:pStyle w:val="TableContents"/>
              <w:bidi w:val="0"/>
              <w:spacing w:before="0" w:after="283"/>
              <w:jc w:val="center"/>
              <w:rPr/>
            </w:pPr>
            <w:r>
              <w:rPr/>
              <w:t>12/09/2025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center"/>
              <w:rPr/>
            </w:pPr>
            <w:r>
              <w:rPr/>
              <w:t>12/31/2026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0" w:type="dxa"/>
            <w:tcBorders/>
            <w:shd w:fill="CCEEFF" w:val="clear"/>
            <w:tcMar>
              <w:bottom w:w="0" w:type="dxa"/>
            </w:tcMar>
            <w:vAlign w:val="center"/>
          </w:tcPr>
          <w:p>
            <w:pPr>
              <w:pStyle w:val="TableContents"/>
              <w:bidi w:val="0"/>
              <w:spacing w:before="0" w:after="283"/>
              <w:jc w:val="center"/>
              <w:rPr/>
            </w:pPr>
            <w:r>
              <w:rPr/>
              <w:t>50,000</w:t>
            </w:r>
          </w:p>
        </w:tc>
      </w:tr>
    </w:tbl>
    <w:p>
      <w:pPr>
        <w:pStyle w:val="TextBody"/>
        <w:bidi w:val="0"/>
        <w:spacing w:before="0" w:after="0"/>
        <w:ind w:left="0" w:right="0" w:firstLine="540"/>
        <w:jc w:val="left"/>
        <w:rPr/>
      </w:pPr>
      <w:r>
        <w:rPr/>
        <w:t> </w:t>
      </w:r>
    </w:p>
    <w:p>
      <w:pPr>
        <w:pStyle w:val="TextBody"/>
        <w:bidi w:val="0"/>
        <w:spacing w:before="0" w:after="0"/>
        <w:ind w:left="0" w:right="0" w:firstLine="54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60"/>
        <w:gridCol w:w="9964"/>
      </w:tblGrid>
      <w:tr>
        <w:trPr/>
        <w:tc>
          <w:tcPr>
            <w:tcW w:w="181" w:type="dxa"/>
            <w:tcBorders/>
            <w:vAlign w:val="center"/>
          </w:tcPr>
          <w:p>
            <w:pPr>
              <w:pStyle w:val="TableContents"/>
              <w:bidi w:val="0"/>
              <w:spacing w:before="0" w:after="283"/>
              <w:jc w:val="right"/>
              <w:rPr/>
            </w:pPr>
            <w:r>
              <w:rPr/>
              <w:t>(</w:t>
            </w:r>
            <w:r>
              <w:rPr>
                <w:rStyle w:val="Emphasis"/>
              </w:rPr>
              <w:t>1</w:t>
            </w:r>
            <w:r>
              <w:rPr/>
              <w:t>)</w:t>
            </w:r>
          </w:p>
        </w:tc>
        <w:tc>
          <w:tcPr>
            <w:tcW w:w="60" w:type="dxa"/>
            <w:tcBorders/>
            <w:vAlign w:val="center"/>
          </w:tcPr>
          <w:p>
            <w:pPr>
              <w:pStyle w:val="TableContents"/>
              <w:bidi w:val="0"/>
              <w:spacing w:before="0" w:after="283"/>
              <w:jc w:val="right"/>
              <w:rPr/>
            </w:pPr>
            <w:r>
              <w:rPr/>
              <w:t> </w:t>
            </w:r>
          </w:p>
        </w:tc>
        <w:tc>
          <w:tcPr>
            <w:tcW w:w="9964" w:type="dxa"/>
            <w:tcBorders/>
            <w:vAlign w:val="center"/>
          </w:tcPr>
          <w:p>
            <w:pPr>
              <w:pStyle w:val="TableContents"/>
              <w:bidi w:val="0"/>
              <w:spacing w:before="0" w:after="283"/>
              <w:jc w:val="left"/>
              <w:rPr/>
            </w:pPr>
            <w:r>
              <w:rPr/>
              <w:t xml:space="preserve">Shu-Hua (Joshua) Yeh, our Senior Vice President and Asia General Manager, entered into a Rule </w:t>
            </w:r>
            <w:r>
              <w:rPr>
                <w:rStyle w:val="Emphasis"/>
              </w:rPr>
              <w:t>10b5</w:t>
            </w:r>
            <w:r>
              <w:rPr/>
              <w:t>-</w:t>
            </w:r>
            <w:r>
              <w:rPr>
                <w:rStyle w:val="Emphasis"/>
              </w:rPr>
              <w:t>1</w:t>
            </w:r>
            <w:r>
              <w:rPr/>
              <w:t xml:space="preserve"> Plan on </w:t>
            </w:r>
            <w:r>
              <w:rPr>
                <w:rStyle w:val="Emphasis"/>
              </w:rPr>
              <w:t xml:space="preserve">December 9, 2025. </w:t>
            </w:r>
            <w:r>
              <w:rPr/>
              <w:t xml:space="preserve">Mr. Yeh's plan provides for the potential sale of </w:t>
            </w:r>
            <w:r>
              <w:rPr>
                <w:rStyle w:val="Emphasis"/>
              </w:rPr>
              <w:t>50,000</w:t>
            </w:r>
            <w:r>
              <w:rPr/>
              <w:t xml:space="preserve"> shares of the Company's common stock. The Plan expires on </w:t>
            </w:r>
            <w:r>
              <w:rPr>
                <w:rStyle w:val="Emphasis"/>
              </w:rPr>
              <w:t xml:space="preserve">December 31, 2026, </w:t>
            </w:r>
            <w:r>
              <w:rPr/>
              <w:t>or upon the earlier of completion of all authorized transactions under the plan.</w:t>
            </w:r>
          </w:p>
        </w:tc>
      </w:tr>
      <w:tr>
        <w:trPr/>
        <w:tc>
          <w:tcPr>
            <w:tcW w:w="1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right"/>
              <w:rPr/>
            </w:pPr>
            <w:r>
              <w:rPr/>
              <w:t> </w:t>
            </w:r>
          </w:p>
        </w:tc>
        <w:tc>
          <w:tcPr>
            <w:tcW w:w="996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6490" w:type="dxa"/>
        <w:jc w:val="left"/>
        <w:tblInd w:w="0" w:type="dxa"/>
        <w:tblLayout w:type="fixed"/>
        <w:tblCellMar>
          <w:top w:w="0" w:type="dxa"/>
          <w:left w:w="0" w:type="dxa"/>
          <w:bottom w:w="0" w:type="dxa"/>
          <w:right w:w="0" w:type="dxa"/>
        </w:tblCellMar>
      </w:tblPr>
      <w:tblGrid>
        <w:gridCol w:w="785"/>
        <w:gridCol w:w="570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20" w:name="item9c"/>
            <w:bookmarkEnd w:id="20"/>
            <w:r>
              <w:rPr>
                <w:rFonts w:ascii="Times New Roman;Times;serif" w:hAnsi="Times New Roman;Times;serif"/>
                <w:b/>
                <w:sz w:val="20"/>
                <w:shd w:fill="FFFFFF" w:val="clear"/>
              </w:rPr>
              <w:t xml:space="preserve">Item 9C. </w:t>
            </w:r>
          </w:p>
        </w:tc>
        <w:tc>
          <w:tcPr>
            <w:tcW w:w="570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Disclosure Regarding Foreign Jurisdiction that Prevent Inspections</w:t>
            </w:r>
          </w:p>
        </w:tc>
      </w:tr>
    </w:tbl>
    <w:p>
      <w:pPr>
        <w:pStyle w:val="TextBody"/>
        <w:bidi w:val="0"/>
        <w:spacing w:before="0" w:after="0"/>
        <w:ind w:left="0" w:right="0" w:firstLine="720"/>
        <w:jc w:val="left"/>
        <w:rPr/>
      </w:pPr>
      <w:r>
        <w:rPr/>
        <w:t> </w:t>
      </w:r>
    </w:p>
    <w:p>
      <w:pPr>
        <w:pStyle w:val="TextBody"/>
        <w:bidi w:val="0"/>
        <w:spacing w:before="0" w:after="0"/>
        <w:ind w:left="90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bidi w:val="0"/>
        <w:spacing w:before="0" w:after="0"/>
        <w:ind w:left="900" w:right="0" w:hanging="0"/>
        <w:jc w:val="left"/>
        <w:rPr/>
      </w:pPr>
      <w:r>
        <w:rPr/>
        <w:t xml:space="preserve">   </w:t>
      </w: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21" w:name="Part_III"/>
      <w:bookmarkEnd w:id="21"/>
      <w:r>
        <w:rPr>
          <w:rFonts w:ascii="Times New Roman;Times;serif" w:hAnsi="Times New Roman;Times;serif"/>
          <w:b/>
          <w:sz w:val="20"/>
          <w:shd w:fill="FFFFFF" w:val="clear"/>
        </w:rPr>
        <w:t>PART III</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tbl>
      <w:tblPr>
        <w:tblW w:w="5590" w:type="dxa"/>
        <w:jc w:val="left"/>
        <w:tblInd w:w="0" w:type="dxa"/>
        <w:tblLayout w:type="fixed"/>
        <w:tblCellMar>
          <w:top w:w="0" w:type="dxa"/>
          <w:left w:w="0" w:type="dxa"/>
          <w:bottom w:w="0" w:type="dxa"/>
          <w:right w:w="0" w:type="dxa"/>
        </w:tblCellMar>
      </w:tblPr>
      <w:tblGrid>
        <w:gridCol w:w="755"/>
        <w:gridCol w:w="4835"/>
      </w:tblGrid>
      <w:tr>
        <w:trPr/>
        <w:tc>
          <w:tcPr>
            <w:tcW w:w="75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22" w:name="Item_10"/>
            <w:bookmarkEnd w:id="22"/>
            <w:r>
              <w:rPr>
                <w:rFonts w:ascii="Times New Roman;Times;serif" w:hAnsi="Times New Roman;Times;serif"/>
                <w:b/>
                <w:sz w:val="20"/>
                <w:shd w:fill="FFFFFF" w:val="clear"/>
              </w:rPr>
              <w:t xml:space="preserve">Item 10. </w:t>
            </w:r>
          </w:p>
        </w:tc>
        <w:tc>
          <w:tcPr>
            <w:tcW w:w="483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Directors, Executive Officers and Corporate Governance</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information required by this item (other than the information set forth in the next paragraph in this Item 10) will be included in our definitive proxy statement with respect to our 2026 Annual Meeting of Stockholders to be filed with the Securities and Exchange Commission and is incorporated herein by reference.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shd w:fill="FFFFFF" w:val="clear"/>
        </w:rPr>
        <w:t>Adoption of Code of Ethics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w:t>
      </w:r>
      <w:r>
        <w:rPr>
          <w:rFonts w:ascii="Times New Roman;Times;serif" w:hAnsi="Times New Roman;Times;serif"/>
          <w:sz w:val="20"/>
        </w:rPr>
        <w:t>2025</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Adoption of Insider Trading Policy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adopted an insider trading policy governing the purchase, sale, and other dispositions of its securities by our directors, officers and employees that we believe is reasonably designed to promote compliance with insider trading laws, rules and regulations and any applicable listing standards. A copy of our insider trading policy is filed as Exhibit 19 to this Annual Report.</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jc w:val="left"/>
        <w:rPr/>
      </w:pPr>
      <w:r>
        <w:rPr/>
        <w:t xml:space="preserve">  </w:t>
      </w:r>
    </w:p>
    <w:tbl>
      <w:tblPr>
        <w:tblW w:w="2875" w:type="dxa"/>
        <w:jc w:val="left"/>
        <w:tblInd w:w="0" w:type="dxa"/>
        <w:tblLayout w:type="fixed"/>
        <w:tblCellMar>
          <w:top w:w="0" w:type="dxa"/>
          <w:left w:w="0" w:type="dxa"/>
          <w:bottom w:w="0" w:type="dxa"/>
          <w:right w:w="0" w:type="dxa"/>
        </w:tblCellMar>
      </w:tblPr>
      <w:tblGrid>
        <w:gridCol w:w="755"/>
        <w:gridCol w:w="2120"/>
      </w:tblGrid>
      <w:tr>
        <w:trPr/>
        <w:tc>
          <w:tcPr>
            <w:tcW w:w="75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23" w:name="Item_11"/>
            <w:bookmarkEnd w:id="23"/>
            <w:r>
              <w:rPr>
                <w:rFonts w:ascii="Times New Roman;Times;serif" w:hAnsi="Times New Roman;Times;serif"/>
                <w:b/>
                <w:sz w:val="20"/>
                <w:shd w:fill="FFFFFF" w:val="clear"/>
              </w:rPr>
              <w:t xml:space="preserve">Item 11. </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Executive Compensation</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information required by this item will be included in our definitive proxy statement with respect to our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xml:space="preserve"> Annual Meeting of Stockholders to be filed with the Securities and Exchange Commission and is incorporated herein by reference. </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jc w:val="left"/>
        <w:rPr/>
      </w:pPr>
      <w:r>
        <w:rPr/>
        <w:t xml:space="preserve">  </w:t>
      </w:r>
    </w:p>
    <w:tbl>
      <w:tblPr>
        <w:tblW w:w="9265" w:type="dxa"/>
        <w:jc w:val="left"/>
        <w:tblInd w:w="0" w:type="dxa"/>
        <w:tblLayout w:type="fixed"/>
        <w:tblCellMar>
          <w:top w:w="0" w:type="dxa"/>
          <w:left w:w="0" w:type="dxa"/>
          <w:bottom w:w="0" w:type="dxa"/>
          <w:right w:w="0" w:type="dxa"/>
        </w:tblCellMar>
      </w:tblPr>
      <w:tblGrid>
        <w:gridCol w:w="755"/>
        <w:gridCol w:w="8510"/>
      </w:tblGrid>
      <w:tr>
        <w:trPr/>
        <w:tc>
          <w:tcPr>
            <w:tcW w:w="755"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bookmarkStart w:id="24" w:name="Item_12"/>
            <w:bookmarkEnd w:id="24"/>
            <w:r>
              <w:rPr>
                <w:rFonts w:ascii="Times New Roman;Times;serif" w:hAnsi="Times New Roman;Times;serif"/>
                <w:b/>
                <w:sz w:val="20"/>
                <w:shd w:fill="FFFFFF" w:val="clear"/>
              </w:rPr>
              <w:t xml:space="preserve">Item 12. </w:t>
            </w:r>
          </w:p>
        </w:tc>
        <w:tc>
          <w:tcPr>
            <w:tcW w:w="8510"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Security Ownership of Certain Beneficial Owners and Management and Related Stockholder Matters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information required by this item will be included in our definitive proxy statement with respect to our 2026 Annual Meeting of Stockholders to be filed with the Securities and Exchange Commission and is incorporated herein by reference. </w:t>
      </w:r>
    </w:p>
    <w:p>
      <w:pPr>
        <w:pStyle w:val="TextBody"/>
        <w:bidi w:val="0"/>
        <w:spacing w:before="0" w:after="0"/>
        <w:ind w:left="0" w:right="0" w:firstLine="720"/>
        <w:jc w:val="both"/>
        <w:rPr>
          <w:shd w:fill="FFFFFF" w:val="clear"/>
        </w:rPr>
      </w:pPr>
      <w:r>
        <w:rPr>
          <w:shd w:fill="FFFFFF" w:val="clear"/>
        </w:rPr>
        <w:t>  </w:t>
      </w:r>
    </w:p>
    <w:tbl>
      <w:tblPr>
        <w:tblW w:w="7180" w:type="dxa"/>
        <w:jc w:val="left"/>
        <w:tblInd w:w="0" w:type="dxa"/>
        <w:tblLayout w:type="fixed"/>
        <w:tblCellMar>
          <w:top w:w="0" w:type="dxa"/>
          <w:left w:w="0" w:type="dxa"/>
          <w:bottom w:w="0" w:type="dxa"/>
          <w:right w:w="0" w:type="dxa"/>
        </w:tblCellMar>
      </w:tblPr>
      <w:tblGrid>
        <w:gridCol w:w="755"/>
        <w:gridCol w:w="6425"/>
      </w:tblGrid>
      <w:tr>
        <w:trPr/>
        <w:tc>
          <w:tcPr>
            <w:tcW w:w="755"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bookmarkStart w:id="25" w:name="Item_13"/>
            <w:bookmarkEnd w:id="25"/>
            <w:r>
              <w:rPr>
                <w:rFonts w:ascii="Times New Roman;Times;serif" w:hAnsi="Times New Roman;Times;serif"/>
                <w:b/>
                <w:sz w:val="20"/>
                <w:shd w:fill="FFFFFF" w:val="clear"/>
              </w:rPr>
              <w:t xml:space="preserve">Item 13. </w:t>
            </w:r>
          </w:p>
        </w:tc>
        <w:tc>
          <w:tcPr>
            <w:tcW w:w="6425"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Certain Relationships and Related Transactions, and Director Independence</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information required by this item will be included in our definitive proxy statement with respect to our 2026 Annual Meeting of Stockholders to be filed with the Securities and Exchange Commission and is incorporated herein by reference. </w:t>
      </w:r>
    </w:p>
    <w:p>
      <w:pPr>
        <w:pStyle w:val="TextBody"/>
        <w:bidi w:val="0"/>
        <w:spacing w:before="0" w:after="0"/>
        <w:ind w:left="0" w:right="0" w:firstLine="720"/>
        <w:jc w:val="both"/>
        <w:rPr/>
      </w:pPr>
      <w:r>
        <w:rPr/>
        <w:t> </w:t>
      </w:r>
    </w:p>
    <w:tbl>
      <w:tblPr>
        <w:tblW w:w="4105" w:type="dxa"/>
        <w:jc w:val="left"/>
        <w:tblInd w:w="0" w:type="dxa"/>
        <w:tblLayout w:type="fixed"/>
        <w:tblCellMar>
          <w:top w:w="0" w:type="dxa"/>
          <w:left w:w="0" w:type="dxa"/>
          <w:bottom w:w="0" w:type="dxa"/>
          <w:right w:w="0" w:type="dxa"/>
        </w:tblCellMar>
      </w:tblPr>
      <w:tblGrid>
        <w:gridCol w:w="755"/>
        <w:gridCol w:w="3350"/>
      </w:tblGrid>
      <w:tr>
        <w:trPr/>
        <w:tc>
          <w:tcPr>
            <w:tcW w:w="755"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bookmarkStart w:id="26" w:name="Item_14"/>
            <w:bookmarkEnd w:id="26"/>
            <w:r>
              <w:rPr>
                <w:rFonts w:ascii="Times New Roman;Times;serif" w:hAnsi="Times New Roman;Times;serif"/>
                <w:b/>
                <w:sz w:val="20"/>
                <w:shd w:fill="FFFFFF" w:val="clear"/>
              </w:rPr>
              <w:t xml:space="preserve">Item 14. </w:t>
            </w:r>
          </w:p>
        </w:tc>
        <w:tc>
          <w:tcPr>
            <w:tcW w:w="3350"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Principal Accounting Fees and Services</w:t>
            </w:r>
          </w:p>
        </w:tc>
      </w:tr>
    </w:tbl>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information required by this item will be included in our definitive proxy statement with respect to our 2026 Annual Meeting of Stockholders to be filed with the Securities and Exchange Commission and is incorporated herein by reference.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caps/>
          <w:sz w:val="20"/>
        </w:rPr>
      </w:pPr>
      <w:bookmarkStart w:id="27" w:name="Part_IV"/>
      <w:bookmarkEnd w:id="27"/>
      <w:r>
        <w:rPr>
          <w:rFonts w:ascii="Times New Roman;Times;serif" w:hAnsi="Times New Roman;Times;serif"/>
          <w:b/>
          <w:caps/>
          <w:sz w:val="20"/>
          <w:shd w:fill="FFFFFF" w:val="clear"/>
        </w:rPr>
        <w:t>Part IV</w:t>
      </w:r>
      <w:r>
        <w:rPr>
          <w:rFonts w:ascii="Times New Roman;Times;serif" w:hAnsi="Times New Roman;Times;serif"/>
          <w:caps/>
          <w:sz w:val="20"/>
          <w:shd w:fill="FFFFFF" w:val="clear"/>
        </w:rPr>
        <w:t> </w:t>
      </w:r>
    </w:p>
    <w:p>
      <w:pPr>
        <w:pStyle w:val="TextBody"/>
        <w:bidi w:val="0"/>
        <w:spacing w:before="0" w:after="0"/>
        <w:ind w:left="0" w:right="0" w:hanging="0"/>
        <w:jc w:val="center"/>
        <w:rPr>
          <w:shd w:fill="FFFFFF" w:val="clear"/>
        </w:rPr>
      </w:pPr>
      <w:r>
        <w:rPr>
          <w:shd w:fill="FFFFFF" w:val="clear"/>
        </w:rPr>
        <w:t>  </w:t>
      </w:r>
    </w:p>
    <w:tbl>
      <w:tblPr>
        <w:tblW w:w="4210" w:type="dxa"/>
        <w:jc w:val="left"/>
        <w:tblInd w:w="0" w:type="dxa"/>
        <w:tblLayout w:type="fixed"/>
        <w:tblCellMar>
          <w:top w:w="0" w:type="dxa"/>
          <w:left w:w="0" w:type="dxa"/>
          <w:bottom w:w="0" w:type="dxa"/>
          <w:right w:w="0" w:type="dxa"/>
        </w:tblCellMar>
      </w:tblPr>
      <w:tblGrid>
        <w:gridCol w:w="755"/>
        <w:gridCol w:w="3455"/>
      </w:tblGrid>
      <w:tr>
        <w:trPr/>
        <w:tc>
          <w:tcPr>
            <w:tcW w:w="75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28" w:name="Items_15"/>
            <w:bookmarkEnd w:id="28"/>
            <w:r>
              <w:rPr>
                <w:rFonts w:ascii="Times New Roman;Times;serif" w:hAnsi="Times New Roman;Times;serif"/>
                <w:b/>
                <w:sz w:val="20"/>
                <w:shd w:fill="FFFFFF" w:val="clear"/>
              </w:rPr>
              <w:t xml:space="preserve">Item 15. </w:t>
            </w:r>
          </w:p>
        </w:tc>
        <w:tc>
          <w:tcPr>
            <w:tcW w:w="345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Exhibits, Financial Statements Schedules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(a)(1) The consolidated financial statements are listed on the Index to Consolidated Financial Statements to this Form 10-K beginning on page F-1.</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(a)(2) Financial Statement Schedules. Financial statement schedules have been omitted, as the information required to be set forth therein is included in the Consolidated Financial Statements or Notes thereto appearing in this Form 10-K.</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(a)(3)  Exhibits. See the Exhibit immediately following Item 16. Form 10-K Summary of this Form 10-K.</w:t>
      </w:r>
    </w:p>
    <w:p>
      <w:pPr>
        <w:pStyle w:val="TextBody"/>
        <w:bidi w:val="0"/>
        <w:spacing w:before="0" w:after="0"/>
        <w:ind w:left="0" w:right="0" w:firstLine="720"/>
        <w:jc w:val="left"/>
        <w:rPr>
          <w:shd w:fill="FFFFFF" w:val="clear"/>
        </w:rPr>
      </w:pPr>
      <w:r>
        <w:rPr>
          <w:shd w:fill="FFFFFF" w:val="clear"/>
        </w:rPr>
        <w:t>  </w:t>
      </w:r>
    </w:p>
    <w:tbl>
      <w:tblPr>
        <w:tblW w:w="2605" w:type="dxa"/>
        <w:jc w:val="left"/>
        <w:tblInd w:w="0" w:type="dxa"/>
        <w:tblLayout w:type="fixed"/>
        <w:tblCellMar>
          <w:top w:w="0" w:type="dxa"/>
          <w:left w:w="0" w:type="dxa"/>
          <w:bottom w:w="0" w:type="dxa"/>
          <w:right w:w="0" w:type="dxa"/>
        </w:tblCellMar>
      </w:tblPr>
      <w:tblGrid>
        <w:gridCol w:w="755"/>
        <w:gridCol w:w="1850"/>
      </w:tblGrid>
      <w:tr>
        <w:trPr/>
        <w:tc>
          <w:tcPr>
            <w:tcW w:w="755"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bookmarkStart w:id="29" w:name="Item_16"/>
            <w:bookmarkEnd w:id="29"/>
            <w:r>
              <w:rPr>
                <w:rFonts w:ascii="Times New Roman;Times;serif" w:hAnsi="Times New Roman;Times;serif"/>
                <w:b/>
                <w:sz w:val="20"/>
                <w:shd w:fill="FFFFFF" w:val="clear"/>
              </w:rPr>
              <w:t xml:space="preserve">Item 16. </w:t>
            </w:r>
          </w:p>
        </w:tc>
        <w:tc>
          <w:tcPr>
            <w:tcW w:w="1850" w:type="dxa"/>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Form 10-K Summary</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EXHIBIT INDEX</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10"/>
        <w:gridCol w:w="240"/>
        <w:gridCol w:w="5136"/>
        <w:gridCol w:w="240"/>
        <w:gridCol w:w="500"/>
        <w:gridCol w:w="240"/>
        <w:gridCol w:w="712"/>
        <w:gridCol w:w="240"/>
        <w:gridCol w:w="760"/>
        <w:gridCol w:w="240"/>
        <w:gridCol w:w="1187"/>
      </w:tblGrid>
      <w:tr>
        <w:trPr/>
        <w:tc>
          <w:tcPr>
            <w:tcW w:w="710"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5136"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3879" w:type="dxa"/>
            <w:gridSpan w:val="7"/>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Incorporated By Reference</w:t>
            </w:r>
          </w:p>
        </w:tc>
      </w:tr>
      <w:tr>
        <w:trPr/>
        <w:tc>
          <w:tcPr>
            <w:tcW w:w="710"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Number</w:t>
            </w:r>
          </w:p>
        </w:tc>
        <w:tc>
          <w:tcPr>
            <w:tcW w:w="240" w:type="dxa"/>
            <w:tcBorders/>
            <w:vAlign w:val="center"/>
          </w:tcPr>
          <w:p>
            <w:pPr>
              <w:pStyle w:val="TableContents"/>
              <w:bidi w:val="0"/>
              <w:spacing w:before="0" w:after="0"/>
              <w:ind w:left="0" w:right="0" w:hanging="0"/>
              <w:jc w:val="left"/>
              <w:rPr>
                <w:shd w:fill="FFFFFF" w:val="clear"/>
              </w:rPr>
            </w:pPr>
            <w:r>
              <w:rPr>
                <w:shd w:fill="FFFFFF" w:val="clear"/>
              </w:rPr>
              <w:t>    </w:t>
            </w:r>
          </w:p>
        </w:tc>
        <w:tc>
          <w:tcPr>
            <w:tcW w:w="5136"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Exhibit Description</w:t>
            </w:r>
          </w:p>
        </w:tc>
        <w:tc>
          <w:tcPr>
            <w:tcW w:w="240" w:type="dxa"/>
            <w:tcBorders/>
            <w:vAlign w:val="center"/>
          </w:tcPr>
          <w:p>
            <w:pPr>
              <w:pStyle w:val="TableContents"/>
              <w:bidi w:val="0"/>
              <w:spacing w:before="0" w:after="0"/>
              <w:ind w:left="0" w:right="0" w:hanging="0"/>
              <w:jc w:val="left"/>
              <w:rPr>
                <w:shd w:fill="FFFFFF" w:val="clear"/>
              </w:rPr>
            </w:pPr>
            <w:r>
              <w:rPr>
                <w:shd w:fill="FFFFFF" w:val="clea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Form</w:t>
            </w:r>
          </w:p>
        </w:tc>
        <w:tc>
          <w:tcPr>
            <w:tcW w:w="240" w:type="dxa"/>
            <w:tcBorders/>
            <w:vAlign w:val="center"/>
          </w:tcPr>
          <w:p>
            <w:pPr>
              <w:pStyle w:val="TableContents"/>
              <w:bidi w:val="0"/>
              <w:spacing w:before="0" w:after="0"/>
              <w:ind w:left="0" w:right="0" w:hanging="0"/>
              <w:jc w:val="left"/>
              <w:rPr>
                <w:shd w:fill="FFFFFF" w:val="clear"/>
              </w:rPr>
            </w:pPr>
            <w:r>
              <w:rPr>
                <w:shd w:fill="FFFFFF" w:val="clear"/>
              </w:rPr>
              <w:t>    </w:t>
            </w:r>
          </w:p>
        </w:tc>
        <w:tc>
          <w:tcPr>
            <w:tcW w:w="712"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File No.</w:t>
            </w:r>
          </w:p>
        </w:tc>
        <w:tc>
          <w:tcPr>
            <w:tcW w:w="240" w:type="dxa"/>
            <w:tcBorders/>
            <w:vAlign w:val="center"/>
          </w:tcPr>
          <w:p>
            <w:pPr>
              <w:pStyle w:val="TableContents"/>
              <w:bidi w:val="0"/>
              <w:spacing w:before="0" w:after="0"/>
              <w:ind w:left="0" w:right="0" w:hanging="0"/>
              <w:jc w:val="left"/>
              <w:rPr>
                <w:shd w:fill="FFFFFF" w:val="clear"/>
              </w:rPr>
            </w:pPr>
            <w:r>
              <w:rPr>
                <w:shd w:fill="FFFFFF" w:val="clear"/>
              </w:rPr>
              <w:t>    </w:t>
            </w:r>
          </w:p>
        </w:tc>
        <w:tc>
          <w:tcPr>
            <w:tcW w:w="760"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Exhibit</w:t>
            </w:r>
          </w:p>
        </w:tc>
        <w:tc>
          <w:tcPr>
            <w:tcW w:w="240" w:type="dxa"/>
            <w:tcBorders/>
            <w:vAlign w:val="center"/>
          </w:tcPr>
          <w:p>
            <w:pPr>
              <w:pStyle w:val="TableContents"/>
              <w:bidi w:val="0"/>
              <w:spacing w:before="0" w:after="0"/>
              <w:ind w:left="0" w:right="0" w:hanging="0"/>
              <w:jc w:val="left"/>
              <w:rPr>
                <w:shd w:fill="FFFFFF" w:val="clear"/>
              </w:rPr>
            </w:pPr>
            <w:r>
              <w:rPr>
                <w:shd w:fill="FFFFFF" w:val="clear"/>
              </w:rPr>
              <w:t>    </w:t>
            </w:r>
          </w:p>
        </w:tc>
        <w:tc>
          <w:tcPr>
            <w:tcW w:w="1187"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Filing Date</w:t>
            </w:r>
          </w:p>
        </w:tc>
      </w:tr>
      <w:tr>
        <w:trPr/>
        <w:tc>
          <w:tcPr>
            <w:tcW w:w="710" w:type="dxa"/>
            <w:tcBorders/>
            <w:vAlign w:val="center"/>
          </w:tcPr>
          <w:p>
            <w:pPr>
              <w:pStyle w:val="TableContents"/>
              <w:bidi w:val="0"/>
              <w:spacing w:before="0" w:after="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3.1</w:t>
            </w:r>
          </w:p>
        </w:tc>
        <w:tc>
          <w:tcPr>
            <w:tcW w:w="240" w:type="dxa"/>
            <w:tcBorders/>
            <w:vAlign w:val="center"/>
          </w:tcPr>
          <w:p>
            <w:pPr>
              <w:pStyle w:val="TableContents"/>
              <w:bidi w:val="0"/>
              <w:spacing w:before="0" w:after="0"/>
              <w:ind w:left="0" w:right="0" w:hanging="0"/>
              <w:jc w:val="left"/>
              <w:rPr/>
            </w:pPr>
            <w:r>
              <w:rPr/>
              <w:t> </w:t>
            </w:r>
          </w:p>
        </w:tc>
        <w:tc>
          <w:tcPr>
            <w:tcW w:w="5136"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shd w:fill="FFFFFF" w:val="clear"/>
                </w:rPr>
                <w:t>Restated Certificate of Incorporation</w:t>
              </w:r>
            </w:hyperlink>
          </w:p>
        </w:tc>
        <w:tc>
          <w:tcPr>
            <w:tcW w:w="24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r>
              <w:rPr>
                <w:rFonts w:ascii="Times New Roman;Times;serif" w:hAnsi="Times New Roman;Times;serif"/>
                <w:sz w:val="20"/>
                <w:shd w:fill="FFFFFF" w:val="clear"/>
              </w:rPr>
              <w:t>-K</w:t>
            </w:r>
          </w:p>
        </w:tc>
        <w:tc>
          <w:tcPr>
            <w:tcW w:w="240"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001-36083</w:t>
            </w:r>
          </w:p>
        </w:tc>
        <w:tc>
          <w:tcPr>
            <w:tcW w:w="240"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3.2</w:t>
            </w:r>
          </w:p>
        </w:tc>
        <w:tc>
          <w:tcPr>
            <w:tcW w:w="240" w:type="dxa"/>
            <w:tcBorders/>
            <w:vAlign w:val="center"/>
          </w:tcPr>
          <w:p>
            <w:pPr>
              <w:pStyle w:val="TableContents"/>
              <w:bidi w:val="0"/>
              <w:spacing w:before="0" w:after="0"/>
              <w:ind w:left="0" w:right="0" w:hanging="0"/>
              <w:jc w:val="left"/>
              <w:rPr/>
            </w:pPr>
            <w:r>
              <w:rPr/>
              <w:t> </w:t>
            </w:r>
          </w:p>
        </w:tc>
        <w:tc>
          <w:tcPr>
            <w:tcW w:w="118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June 12, 2025</w:t>
            </w:r>
          </w:p>
        </w:tc>
      </w:tr>
      <w:tr>
        <w:trPr/>
        <w:tc>
          <w:tcPr>
            <w:tcW w:w="7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3.2</w:t>
            </w:r>
          </w:p>
        </w:tc>
        <w:tc>
          <w:tcPr>
            <w:tcW w:w="240" w:type="dxa"/>
            <w:tcBorders/>
            <w:vAlign w:val="center"/>
          </w:tcPr>
          <w:p>
            <w:pPr>
              <w:pStyle w:val="TableContents"/>
              <w:bidi w:val="0"/>
              <w:spacing w:before="0" w:after="0"/>
              <w:ind w:left="0" w:right="0" w:hanging="0"/>
              <w:jc w:val="left"/>
              <w:rPr/>
            </w:pPr>
            <w:r>
              <w:rPr/>
              <w:t> </w:t>
            </w:r>
          </w:p>
        </w:tc>
        <w:tc>
          <w:tcPr>
            <w:tcW w:w="5136"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sz w:val="20"/>
                  <w:shd w:fill="FFFFFF" w:val="clear"/>
                </w:rPr>
                <w:t>Amended and Restated Bylaws of the registrant, as currently in effect</w:t>
              </w:r>
            </w:hyperlink>
          </w:p>
        </w:tc>
        <w:tc>
          <w:tcPr>
            <w:tcW w:w="24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10-Q</w:t>
            </w:r>
          </w:p>
        </w:tc>
        <w:tc>
          <w:tcPr>
            <w:tcW w:w="240"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001-36083</w:t>
            </w:r>
          </w:p>
        </w:tc>
        <w:tc>
          <w:tcPr>
            <w:tcW w:w="240"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3.2</w:t>
            </w:r>
          </w:p>
        </w:tc>
        <w:tc>
          <w:tcPr>
            <w:tcW w:w="240" w:type="dxa"/>
            <w:tcBorders/>
            <w:vAlign w:val="center"/>
          </w:tcPr>
          <w:p>
            <w:pPr>
              <w:pStyle w:val="TableContents"/>
              <w:bidi w:val="0"/>
              <w:spacing w:before="0" w:after="0"/>
              <w:ind w:left="0" w:right="0" w:hanging="0"/>
              <w:jc w:val="left"/>
              <w:rPr/>
            </w:pPr>
            <w:r>
              <w:rPr/>
              <w:t> </w:t>
            </w:r>
          </w:p>
        </w:tc>
        <w:tc>
          <w:tcPr>
            <w:tcW w:w="118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November 14, 2013</w:t>
            </w:r>
          </w:p>
        </w:tc>
      </w:tr>
      <w:tr>
        <w:trPr/>
        <w:tc>
          <w:tcPr>
            <w:tcW w:w="710" w:type="dxa"/>
            <w:tcBorders/>
            <w:vAlign w:val="center"/>
          </w:tcPr>
          <w:p>
            <w:pPr>
              <w:pStyle w:val="TableContents"/>
              <w:bidi w:val="0"/>
              <w:spacing w:before="0" w:after="0"/>
              <w:ind w:left="0" w:right="0" w:hanging="0"/>
              <w:jc w:val="right"/>
              <w:rPr/>
            </w:pPr>
            <w:r>
              <w:rPr/>
              <w:t> </w:t>
            </w:r>
          </w:p>
        </w:tc>
        <w:tc>
          <w:tcPr>
            <w:tcW w:w="240" w:type="dxa"/>
            <w:tcBorders/>
            <w:vAlign w:val="center"/>
          </w:tcPr>
          <w:p>
            <w:pPr>
              <w:pStyle w:val="TableContents"/>
              <w:bidi w:val="0"/>
              <w:spacing w:before="0" w:after="0"/>
              <w:ind w:left="0" w:right="0" w:hanging="0"/>
              <w:jc w:val="left"/>
              <w:rPr/>
            </w:pPr>
            <w:r>
              <w:rPr/>
              <w:t> </w:t>
            </w:r>
          </w:p>
        </w:tc>
        <w:tc>
          <w:tcPr>
            <w:tcW w:w="513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1187" w:type="dxa"/>
            <w:tcBorders/>
            <w:vAlign w:val="center"/>
          </w:tcPr>
          <w:p>
            <w:pPr>
              <w:pStyle w:val="TableContents"/>
              <w:bidi w:val="0"/>
              <w:spacing w:before="0" w:after="0"/>
              <w:ind w:left="0" w:right="0" w:hanging="0"/>
              <w:jc w:val="center"/>
              <w:rPr/>
            </w:pPr>
            <w:r>
              <w:rPr/>
              <w:t> </w:t>
            </w:r>
          </w:p>
        </w:tc>
      </w:tr>
      <w:tr>
        <w:trPr/>
        <w:tc>
          <w:tcPr>
            <w:tcW w:w="710" w:type="dxa"/>
            <w:tcBorders/>
            <w:vAlign w:val="center"/>
          </w:tcPr>
          <w:p>
            <w:pPr>
              <w:pStyle w:val="TableContents"/>
              <w:bidi w:val="0"/>
              <w:spacing w:before="0" w:after="283"/>
              <w:jc w:val="right"/>
              <w:rPr/>
            </w:pPr>
            <w:r>
              <w:rPr/>
              <w:t>3.3</w:t>
            </w:r>
          </w:p>
        </w:tc>
        <w:tc>
          <w:tcPr>
            <w:tcW w:w="24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hyperlink r:id="rId5">
              <w:r>
                <w:rPr>
                  <w:rStyle w:val="InternetLink"/>
                </w:rPr>
                <w:t>Amendment No. 1 to the Amended and Restated By-laws of Applied Optoelectronics, Inc.</w:t>
              </w:r>
            </w:hyperlink>
          </w:p>
        </w:tc>
        <w:tc>
          <w:tcPr>
            <w:tcW w:w="2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24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001-36083</w:t>
            </w:r>
          </w:p>
        </w:tc>
        <w:tc>
          <w:tcPr>
            <w:tcW w:w="24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3.1</w:t>
            </w:r>
          </w:p>
        </w:tc>
        <w:tc>
          <w:tcPr>
            <w:tcW w:w="24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center"/>
              <w:rPr/>
            </w:pPr>
            <w:r>
              <w:rPr/>
              <w:t>April 2, 2025</w:t>
            </w:r>
          </w:p>
        </w:tc>
      </w:tr>
      <w:tr>
        <w:trPr/>
        <w:tc>
          <w:tcPr>
            <w:tcW w:w="71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136"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4.1</w:t>
            </w:r>
          </w:p>
        </w:tc>
        <w:tc>
          <w:tcPr>
            <w:tcW w:w="240" w:type="dxa"/>
            <w:tcBorders/>
            <w:vAlign w:val="center"/>
          </w:tcPr>
          <w:p>
            <w:pPr>
              <w:pStyle w:val="TableContents"/>
              <w:bidi w:val="0"/>
              <w:spacing w:before="0" w:after="0"/>
              <w:ind w:left="0" w:right="0" w:hanging="0"/>
              <w:jc w:val="left"/>
              <w:rPr/>
            </w:pPr>
            <w:r>
              <w:rPr/>
              <w:t> </w:t>
            </w:r>
          </w:p>
        </w:tc>
        <w:tc>
          <w:tcPr>
            <w:tcW w:w="5136"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shd w:fill="FFFFFF" w:val="clear"/>
                </w:rPr>
                <w:t>Common Stock Specimen</w:t>
              </w:r>
            </w:hyperlink>
          </w:p>
        </w:tc>
        <w:tc>
          <w:tcPr>
            <w:tcW w:w="24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8-K</w:t>
            </w:r>
          </w:p>
        </w:tc>
        <w:tc>
          <w:tcPr>
            <w:tcW w:w="240" w:type="dxa"/>
            <w:tcBorders/>
            <w:vAlign w:val="center"/>
          </w:tcPr>
          <w:p>
            <w:pPr>
              <w:pStyle w:val="TableContents"/>
              <w:bidi w:val="0"/>
              <w:spacing w:before="0" w:after="0"/>
              <w:ind w:left="0" w:right="0" w:hanging="0"/>
              <w:jc w:val="left"/>
              <w:rPr/>
            </w:pPr>
            <w:r>
              <w:rPr/>
              <w:t> </w:t>
            </w:r>
          </w:p>
        </w:tc>
        <w:tc>
          <w:tcPr>
            <w:tcW w:w="712"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001-36083</w:t>
            </w:r>
          </w:p>
        </w:tc>
        <w:tc>
          <w:tcPr>
            <w:tcW w:w="240" w:type="dxa"/>
            <w:tcBorders/>
            <w:vAlign w:val="center"/>
          </w:tcPr>
          <w:p>
            <w:pPr>
              <w:pStyle w:val="TableContents"/>
              <w:bidi w:val="0"/>
              <w:spacing w:before="0" w:after="0"/>
              <w:ind w:left="0" w:right="0" w:hanging="0"/>
              <w:jc w:val="left"/>
              <w:rPr/>
            </w:pPr>
            <w:r>
              <w:rPr/>
              <w:t> </w:t>
            </w:r>
          </w:p>
        </w:tc>
        <w:tc>
          <w:tcPr>
            <w:tcW w:w="760"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4.1</w:t>
            </w:r>
          </w:p>
        </w:tc>
        <w:tc>
          <w:tcPr>
            <w:tcW w:w="240" w:type="dxa"/>
            <w:tcBorders/>
            <w:vAlign w:val="center"/>
          </w:tcPr>
          <w:p>
            <w:pPr>
              <w:pStyle w:val="TableContents"/>
              <w:bidi w:val="0"/>
              <w:spacing w:before="0" w:after="0"/>
              <w:ind w:left="0" w:right="0" w:hanging="0"/>
              <w:jc w:val="left"/>
              <w:rPr/>
            </w:pPr>
            <w:r>
              <w:rPr/>
              <w:t> </w:t>
            </w:r>
          </w:p>
        </w:tc>
        <w:tc>
          <w:tcPr>
            <w:tcW w:w="118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November 14, 2016</w:t>
            </w:r>
          </w:p>
        </w:tc>
      </w:tr>
      <w:tr>
        <w:trPr/>
        <w:tc>
          <w:tcPr>
            <w:tcW w:w="71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left"/>
              <w:rPr/>
            </w:pPr>
            <w:r>
              <w:rPr/>
              <w:t> </w:t>
            </w:r>
          </w:p>
        </w:tc>
      </w:tr>
      <w:tr>
        <w:trPr/>
        <w:tc>
          <w:tcPr>
            <w:tcW w:w="710" w:type="dxa"/>
            <w:tcBorders/>
          </w:tcPr>
          <w:p>
            <w:pPr>
              <w:pStyle w:val="TableContents"/>
              <w:bidi w:val="0"/>
              <w:spacing w:before="0" w:after="283"/>
              <w:jc w:val="right"/>
              <w:rPr/>
            </w:pPr>
            <w:r>
              <w:rPr/>
              <w:t>4.2</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hyperlink r:id="rId7">
              <w:r>
                <w:rPr>
                  <w:rStyle w:val="InternetLink"/>
                </w:rPr>
                <w:t>Indenture, dated as of December 23, 2024, between Applied Optoelectronics, Inc. and Computershare Trust Company, N.A., as Trustee</w:t>
              </w:r>
            </w:hyperlink>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8-K</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001-36083</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4.1</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December 23, 2024</w:t>
            </w:r>
          </w:p>
        </w:tc>
      </w:tr>
      <w:tr>
        <w:trPr/>
        <w:tc>
          <w:tcPr>
            <w:tcW w:w="710" w:type="dxa"/>
            <w:tcBorders/>
          </w:tcPr>
          <w:p>
            <w:pPr>
              <w:pStyle w:val="TableContents"/>
              <w:bidi w:val="0"/>
              <w:spacing w:before="0" w:after="283"/>
              <w:jc w:val="right"/>
              <w:rPr/>
            </w:pPr>
            <w:r>
              <w:rPr/>
              <w:t> </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 </w:t>
            </w:r>
          </w:p>
        </w:tc>
      </w:tr>
      <w:tr>
        <w:trPr/>
        <w:tc>
          <w:tcPr>
            <w:tcW w:w="710" w:type="dxa"/>
            <w:tcBorders/>
          </w:tcPr>
          <w:p>
            <w:pPr>
              <w:pStyle w:val="TableContents"/>
              <w:bidi w:val="0"/>
              <w:spacing w:before="0" w:after="283"/>
              <w:jc w:val="right"/>
              <w:rPr/>
            </w:pPr>
            <w:r>
              <w:rPr/>
              <w:t>4.3</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hyperlink r:id="rId8">
              <w:r>
                <w:rPr>
                  <w:rStyle w:val="InternetLink"/>
                </w:rPr>
                <w:t>Form of 2.750% Convertible Senior Note due 2030</w:t>
              </w:r>
            </w:hyperlink>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8-K</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001-36083</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4.1</w:t>
              <w:br/>
              <w:t>Exhibit A</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December 23, 2024</w:t>
            </w:r>
          </w:p>
        </w:tc>
      </w:tr>
      <w:tr>
        <w:trPr/>
        <w:tc>
          <w:tcPr>
            <w:tcW w:w="710" w:type="dxa"/>
            <w:tcBorders/>
          </w:tcPr>
          <w:p>
            <w:pPr>
              <w:pStyle w:val="TableContents"/>
              <w:bidi w:val="0"/>
              <w:spacing w:before="0" w:after="283"/>
              <w:jc w:val="right"/>
              <w:rPr/>
            </w:pPr>
            <w:r>
              <w:rPr/>
              <w:t> </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 </w:t>
            </w:r>
          </w:p>
        </w:tc>
      </w:tr>
      <w:tr>
        <w:trPr/>
        <w:tc>
          <w:tcPr>
            <w:tcW w:w="710" w:type="dxa"/>
            <w:tcBorders/>
          </w:tcPr>
          <w:p>
            <w:pPr>
              <w:pStyle w:val="TableContents"/>
              <w:bidi w:val="0"/>
              <w:spacing w:before="0" w:after="283"/>
              <w:jc w:val="right"/>
              <w:rPr/>
            </w:pPr>
            <w:r>
              <w:rPr/>
              <w:t>4.4</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hyperlink r:id="rId9">
              <w:r>
                <w:rPr>
                  <w:rStyle w:val="InternetLink"/>
                </w:rPr>
                <w:t>First Supplemental Indenture, dated as of December 23, 2024, between Applied Optoelectronics, Inc. and Computershare Trust Company, N.A., as Trustee</w:t>
              </w:r>
            </w:hyperlink>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8-K</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001-36083</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4.3</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December 23, 2024</w:t>
            </w:r>
          </w:p>
        </w:tc>
      </w:tr>
      <w:tr>
        <w:trPr/>
        <w:tc>
          <w:tcPr>
            <w:tcW w:w="71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left"/>
              <w:rPr/>
            </w:pPr>
            <w:r>
              <w:rPr/>
              <w:t> </w:t>
            </w:r>
          </w:p>
        </w:tc>
      </w:tr>
      <w:tr>
        <w:trPr/>
        <w:tc>
          <w:tcPr>
            <w:tcW w:w="710" w:type="dxa"/>
            <w:tcBorders/>
          </w:tcPr>
          <w:p>
            <w:pPr>
              <w:pStyle w:val="TableContents"/>
              <w:bidi w:val="0"/>
              <w:spacing w:before="0" w:after="283"/>
              <w:jc w:val="right"/>
              <w:rPr/>
            </w:pPr>
            <w:r>
              <w:rPr/>
              <w:t>4.5</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hyperlink r:id="rId10">
              <w:r>
                <w:rPr>
                  <w:rStyle w:val="InternetLink"/>
                </w:rPr>
                <w:t>Warrant to Purchase Common Stock of Applied Optoelectronics, Inc. by and between Applied Optoelectronics, Inc. and Amazon.com NV Investment Holdings LLC, dated as of March 13, 2025</w:t>
              </w:r>
            </w:hyperlink>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8-K</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001-36083</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4.1</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March 13, 2025</w:t>
            </w:r>
          </w:p>
        </w:tc>
      </w:tr>
      <w:tr>
        <w:trPr/>
        <w:tc>
          <w:tcPr>
            <w:tcW w:w="71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136"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left"/>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left"/>
              <w:rPr/>
            </w:pPr>
            <w:r>
              <w:rPr/>
              <w:t> </w:t>
            </w:r>
          </w:p>
        </w:tc>
      </w:tr>
      <w:tr>
        <w:trPr/>
        <w:tc>
          <w:tcPr>
            <w:tcW w:w="710" w:type="dxa"/>
            <w:tcBorders/>
          </w:tcPr>
          <w:p>
            <w:pPr>
              <w:pStyle w:val="TableContents"/>
              <w:bidi w:val="0"/>
              <w:spacing w:before="0" w:after="283"/>
              <w:jc w:val="right"/>
              <w:rPr/>
            </w:pPr>
            <w:r>
              <w:rPr/>
              <w:t>4.6</w:t>
            </w:r>
          </w:p>
        </w:tc>
        <w:tc>
          <w:tcPr>
            <w:tcW w:w="240" w:type="dxa"/>
            <w:tcBorders/>
          </w:tcPr>
          <w:p>
            <w:pPr>
              <w:pStyle w:val="TableContents"/>
              <w:bidi w:val="0"/>
              <w:spacing w:before="0" w:after="283"/>
              <w:jc w:val="left"/>
              <w:rPr/>
            </w:pPr>
            <w:r>
              <w:rPr/>
              <w:t>*</w:t>
            </w:r>
          </w:p>
        </w:tc>
        <w:tc>
          <w:tcPr>
            <w:tcW w:w="5136" w:type="dxa"/>
            <w:tcBorders/>
          </w:tcPr>
          <w:p>
            <w:pPr>
              <w:pStyle w:val="TableContents"/>
              <w:bidi w:val="0"/>
              <w:spacing w:before="0" w:after="283"/>
              <w:jc w:val="left"/>
              <w:rPr/>
            </w:pPr>
            <w:hyperlink w:anchor="ex_921421.htm">
              <w:r>
                <w:rPr>
                  <w:rStyle w:val="InternetLink"/>
                </w:rPr>
                <w:t>Description of the Company's Common Stock</w:t>
              </w:r>
            </w:hyperlink>
          </w:p>
        </w:tc>
        <w:tc>
          <w:tcPr>
            <w:tcW w:w="240" w:type="dxa"/>
            <w:tcBorders/>
          </w:tcPr>
          <w:p>
            <w:pPr>
              <w:pStyle w:val="TableContents"/>
              <w:bidi w:val="0"/>
              <w:spacing w:before="0" w:after="283"/>
              <w:jc w:val="left"/>
              <w:rPr/>
            </w:pPr>
            <w:r>
              <w:rPr/>
              <w:t> </w:t>
            </w:r>
          </w:p>
        </w:tc>
        <w:tc>
          <w:tcPr>
            <w:tcW w:w="50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12"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760" w:type="dxa"/>
            <w:tcBorders/>
          </w:tcPr>
          <w:p>
            <w:pPr>
              <w:pStyle w:val="TableContents"/>
              <w:bidi w:val="0"/>
              <w:spacing w:before="0" w:after="283"/>
              <w:jc w:val="center"/>
              <w:rPr/>
            </w:pPr>
            <w:r>
              <w:rPr/>
              <w:t> </w:t>
            </w:r>
          </w:p>
        </w:tc>
        <w:tc>
          <w:tcPr>
            <w:tcW w:w="240" w:type="dxa"/>
            <w:tcBorders/>
          </w:tcPr>
          <w:p>
            <w:pPr>
              <w:pStyle w:val="TableContents"/>
              <w:bidi w:val="0"/>
              <w:spacing w:before="0" w:after="283"/>
              <w:jc w:val="left"/>
              <w:rPr/>
            </w:pPr>
            <w:r>
              <w:rPr/>
              <w:t> </w:t>
            </w:r>
          </w:p>
        </w:tc>
        <w:tc>
          <w:tcPr>
            <w:tcW w:w="1187" w:type="dxa"/>
            <w:tcBorders/>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75"/>
        <w:gridCol w:w="140"/>
        <w:gridCol w:w="5169"/>
        <w:gridCol w:w="60"/>
        <w:gridCol w:w="627"/>
        <w:gridCol w:w="60"/>
        <w:gridCol w:w="839"/>
        <w:gridCol w:w="60"/>
        <w:gridCol w:w="1108"/>
        <w:gridCol w:w="60"/>
        <w:gridCol w:w="1207"/>
      </w:tblGrid>
      <w:tr>
        <w:trPr/>
        <w:tc>
          <w:tcPr>
            <w:tcW w:w="875"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61" w:type="dxa"/>
            <w:gridSpan w:val="7"/>
            <w:tcBorders/>
            <w:vAlign w:val="center"/>
          </w:tcPr>
          <w:p>
            <w:pPr>
              <w:pStyle w:val="TableContents"/>
              <w:bidi w:val="0"/>
              <w:spacing w:before="0" w:after="283"/>
              <w:jc w:val="center"/>
              <w:rPr>
                <w:b/>
                <w:shd w:fill="FFFFFF" w:val="clear"/>
              </w:rPr>
            </w:pPr>
            <w:r>
              <w:rPr>
                <w:b/>
                <w:shd w:fill="FFFFFF" w:val="clear"/>
              </w:rPr>
              <w:t>Incorporated By Reference</w:t>
            </w:r>
          </w:p>
        </w:tc>
      </w:tr>
      <w:tr>
        <w:trPr/>
        <w:tc>
          <w:tcPr>
            <w:tcW w:w="875" w:type="dxa"/>
            <w:tcBorders/>
            <w:vAlign w:val="center"/>
          </w:tcPr>
          <w:p>
            <w:pPr>
              <w:pStyle w:val="TableContents"/>
              <w:bidi w:val="0"/>
              <w:spacing w:before="0" w:after="283"/>
              <w:jc w:val="center"/>
              <w:rPr>
                <w:b/>
                <w:shd w:fill="FFFFFF" w:val="clear"/>
              </w:rPr>
            </w:pPr>
            <w:r>
              <w:rPr>
                <w:b/>
                <w:shd w:fill="FFFFFF" w:val="clear"/>
              </w:rPr>
              <w:t>Number</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center"/>
              <w:rPr>
                <w:b/>
                <w:shd w:fill="FFFFFF" w:val="clear"/>
              </w:rPr>
            </w:pPr>
            <w:r>
              <w:rPr>
                <w:b/>
                <w:shd w:fill="FFFFFF" w:val="clear"/>
              </w:rPr>
              <w:t>Exhibit Description</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b/>
                <w:shd w:fill="FFFFFF" w:val="clear"/>
              </w:rPr>
            </w:pPr>
            <w:r>
              <w:rPr>
                <w:b/>
                <w:shd w:fill="FFFFFF" w:val="clear"/>
              </w:rPr>
              <w:t>Form</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b/>
                <w:shd w:fill="FFFFFF" w:val="clear"/>
              </w:rPr>
            </w:pPr>
            <w:r>
              <w:rPr>
                <w:b/>
                <w:shd w:fill="FFFFFF" w:val="clear"/>
              </w:rPr>
              <w:t>File No.</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b/>
                <w:shd w:fill="FFFFFF" w:val="clear"/>
              </w:rPr>
            </w:pPr>
            <w:r>
              <w:rPr>
                <w:b/>
                <w:shd w:fill="FFFFFF" w:val="clear"/>
              </w:rPr>
              <w:t>Exhibit</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b/>
                <w:shd w:fill="FFFFFF" w:val="clear"/>
              </w:rPr>
            </w:pPr>
            <w:r>
              <w:rPr>
                <w:b/>
                <w:shd w:fill="FFFFFF" w:val="clear"/>
              </w:rPr>
              <w:t>Filing Date</w:t>
            </w:r>
          </w:p>
        </w:tc>
      </w:tr>
      <w:tr>
        <w:trPr/>
        <w:tc>
          <w:tcPr>
            <w:tcW w:w="875" w:type="dxa"/>
            <w:tcBorders/>
            <w:vAlign w:val="center"/>
          </w:tcPr>
          <w:p>
            <w:pPr>
              <w:pStyle w:val="TableContents"/>
              <w:bidi w:val="0"/>
              <w:spacing w:before="0" w:after="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140" w:type="dxa"/>
            <w:tcBorders/>
            <w:vAlign w:val="center"/>
          </w:tcPr>
          <w:p>
            <w:pPr>
              <w:pStyle w:val="TableContents"/>
              <w:bidi w:val="0"/>
              <w:spacing w:before="0" w:after="0"/>
              <w:ind w:left="0" w:right="0" w:hanging="0"/>
              <w:jc w:val="left"/>
              <w:rPr>
                <w:shd w:fill="FFFFFF" w:val="clear"/>
              </w:rPr>
            </w:pPr>
            <w:r>
              <w:rPr>
                <w:shd w:fill="FFFFFF" w:val="clear"/>
              </w:rPr>
              <w:t>†</w:t>
            </w:r>
          </w:p>
        </w:tc>
        <w:tc>
          <w:tcPr>
            <w:tcW w:w="5169" w:type="dxa"/>
            <w:tcBorders/>
            <w:vAlign w:val="center"/>
          </w:tcPr>
          <w:p>
            <w:pPr>
              <w:pStyle w:val="TableContents"/>
              <w:bidi w:val="0"/>
              <w:spacing w:before="0" w:after="0"/>
              <w:ind w:left="0" w:right="0" w:hanging="0"/>
              <w:jc w:val="left"/>
              <w:rPr/>
            </w:pPr>
            <w:hyperlink r:id="rId11">
              <w:r>
                <w:rPr>
                  <w:rStyle w:val="InternetLink"/>
                  <w:rFonts w:ascii="Times New Roman;Times;serif" w:hAnsi="Times New Roman;Times;serif"/>
                  <w:sz w:val="20"/>
                  <w:shd w:fill="FFFFFF" w:val="clear"/>
                </w:rPr>
                <w:t>Form of Indemnification Agreement between the registrant each of its Directors and certain of its Executive Officers</w:t>
              </w:r>
            </w:hyperlink>
          </w:p>
        </w:tc>
        <w:tc>
          <w:tcPr>
            <w:tcW w:w="60"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S-1</w:t>
            </w:r>
          </w:p>
        </w:tc>
        <w:tc>
          <w:tcPr>
            <w:tcW w:w="60"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333-190591</w:t>
            </w:r>
          </w:p>
        </w:tc>
        <w:tc>
          <w:tcPr>
            <w:tcW w:w="60"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10.1</w:t>
            </w:r>
          </w:p>
        </w:tc>
        <w:tc>
          <w:tcPr>
            <w:tcW w:w="60"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August 13, 2013</w:t>
            </w:r>
          </w:p>
        </w:tc>
      </w:tr>
      <w:tr>
        <w:trPr/>
        <w:tc>
          <w:tcPr>
            <w:tcW w:w="875" w:type="dxa"/>
            <w:tcBorders/>
            <w:vAlign w:val="center"/>
          </w:tcPr>
          <w:p>
            <w:pPr>
              <w:pStyle w:val="TableContents"/>
              <w:bidi w:val="0"/>
              <w:spacing w:before="0" w:after="0"/>
              <w:ind w:left="0" w:right="0" w:hanging="0"/>
              <w:jc w:val="right"/>
              <w:rPr/>
            </w:pPr>
            <w:r>
              <w:rPr/>
              <w:t> </w:t>
            </w:r>
          </w:p>
        </w:tc>
        <w:tc>
          <w:tcPr>
            <w:tcW w:w="140" w:type="dxa"/>
            <w:tcBorders/>
            <w:vAlign w:val="center"/>
          </w:tcPr>
          <w:p>
            <w:pPr>
              <w:pStyle w:val="TableContents"/>
              <w:bidi w:val="0"/>
              <w:spacing w:before="0" w:after="0"/>
              <w:ind w:left="0" w:right="0" w:hanging="0"/>
              <w:jc w:val="left"/>
              <w:rPr/>
            </w:pPr>
            <w:r>
              <w:rPr/>
              <w:t> </w:t>
            </w:r>
          </w:p>
        </w:tc>
        <w:tc>
          <w:tcPr>
            <w:tcW w:w="516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center"/>
              <w:rPr/>
            </w:pPr>
            <w:r>
              <w:rPr/>
              <w:t> </w:t>
            </w:r>
          </w:p>
        </w:tc>
      </w:tr>
      <w:tr>
        <w:trPr/>
        <w:tc>
          <w:tcPr>
            <w:tcW w:w="875" w:type="dxa"/>
            <w:tcBorders/>
            <w:vAlign w:val="center"/>
          </w:tcPr>
          <w:p>
            <w:pPr>
              <w:pStyle w:val="TableContents"/>
              <w:bidi w:val="0"/>
              <w:spacing w:before="0" w:after="283"/>
              <w:jc w:val="right"/>
              <w:rPr/>
            </w:pPr>
            <w:r>
              <w:rPr/>
              <w:t>10.2</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2">
              <w:r>
                <w:rPr>
                  <w:rStyle w:val="InternetLink"/>
                </w:rPr>
                <w:t>Amended and Restated 2021 Equity Incentive Plan</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S-8</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333-286464</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99.1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April 10, 2025</w:t>
            </w:r>
          </w:p>
        </w:tc>
      </w:tr>
      <w:tr>
        <w:trPr/>
        <w:tc>
          <w:tcPr>
            <w:tcW w:w="8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right"/>
              <w:rPr/>
            </w:pPr>
            <w:r>
              <w:rPr/>
              <w:t>10.2.1</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3">
              <w:r>
                <w:rPr>
                  <w:rStyle w:val="InternetLink"/>
                </w:rPr>
                <w:t>Form of Restricted Stock Unit Award Agreement under 2021 Equity Incentive Plan</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10.4.1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August 5, 2021</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10.2.2</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0"/>
              <w:ind w:left="0" w:right="0" w:hanging="0"/>
              <w:jc w:val="left"/>
              <w:rPr/>
            </w:pPr>
            <w:hyperlink r:id="rId14">
              <w:r>
                <w:rPr>
                  <w:rStyle w:val="InternetLink"/>
                  <w:rFonts w:ascii="Times New Roman;Times;serif" w:hAnsi="Times New Roman;Times;serif"/>
                  <w:sz w:val="20"/>
                </w:rPr>
                <w:t>Form of Performance Restricted Stock Unit Award Agreement under 2021 Equity Incentive Plan</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10.4.2</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August 5, 2021</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10.3</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5">
              <w:r>
                <w:rPr>
                  <w:rStyle w:val="InternetLink"/>
                </w:rPr>
                <w:t>Applied Optoelectronic, Inc. 2023 Equity Inducement Plan</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November 9, 2023</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10.4</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6">
              <w:r>
                <w:rPr>
                  <w:rStyle w:val="InternetLink"/>
                  <w:shd w:fill="FFFFFF" w:val="clear"/>
                </w:rPr>
                <w:t>Amended and Restated Employment Agreement regarding Change of Control or Separation of Service between the registrant and Chih-Hsiang (Thompson) Lin, dated April 16, 2013</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S-1</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333-190591</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10.12.1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August 13, 2013</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10.5</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7">
              <w:r>
                <w:rPr>
                  <w:rStyle w:val="InternetLink"/>
                  <w:shd w:fill="FFFFFF" w:val="clear"/>
                </w:rPr>
                <w:t>Employment Agreement, dated August 5, 2016, between Applied Optoelectronics, Inc. and Stefan J. Murry</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shd w:fill="FFFFFF" w:val="clear"/>
              </w:rPr>
            </w:pPr>
            <w:r>
              <w:rPr>
                <w:shd w:fill="FFFFFF" w:val="clear"/>
              </w:rPr>
              <w:t>10-Q/A</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shd w:fill="FFFFFF" w:val="clear"/>
              </w:rPr>
            </w:pPr>
            <w:r>
              <w:rPr>
                <w:shd w:fill="FFFFFF" w:val="clea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shd w:fill="FFFFFF" w:val="clear"/>
              </w:rPr>
            </w:pPr>
            <w:r>
              <w:rPr>
                <w:shd w:fill="FFFFFF" w:val="clear"/>
              </w:rPr>
              <w:t>10.20</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shd w:fill="FFFFFF" w:val="clear"/>
              </w:rPr>
            </w:pPr>
            <w:r>
              <w:rPr>
                <w:shd w:fill="FFFFFF" w:val="clear"/>
              </w:rPr>
              <w:t>August 9, 2016</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10.6</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8">
              <w:r>
                <w:rPr>
                  <w:rStyle w:val="InternetLink"/>
                  <w:shd w:fill="FFFFFF" w:val="clear"/>
                </w:rPr>
                <w:t>Employment Agreement, dated August 5, 2016, between Applied Optoelectronics, Inc. and Mr. Joshua Yeh</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shd w:fill="FFFFFF" w:val="clear"/>
              </w:rPr>
            </w:pPr>
            <w:r>
              <w:rPr>
                <w:shd w:fill="FFFFFF" w:val="clear"/>
              </w:rPr>
              <w:t>10-Q/A</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shd w:fill="FFFFFF" w:val="clear"/>
              </w:rPr>
            </w:pPr>
            <w:r>
              <w:rPr>
                <w:shd w:fill="FFFFFF" w:val="clea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shd w:fill="FFFFFF" w:val="clear"/>
              </w:rPr>
            </w:pPr>
            <w:r>
              <w:rPr>
                <w:shd w:fill="FFFFFF" w:val="clear"/>
              </w:rPr>
              <w:t>10.21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shd w:fill="FFFFFF" w:val="clear"/>
              </w:rPr>
            </w:pPr>
            <w:r>
              <w:rPr>
                <w:shd w:fill="FFFFFF" w:val="clear"/>
              </w:rPr>
              <w:t>August 9, 2016</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10.7</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19">
              <w:r>
                <w:rPr>
                  <w:rStyle w:val="InternetLink"/>
                  <w:shd w:fill="FFFFFF" w:val="clear"/>
                </w:rPr>
                <w:t>Employment Agreement, dated August 5, 2016, between Applied Optoelectronics, Inc. and Dr. Fred Chang</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shd w:fill="FFFFFF" w:val="clear"/>
              </w:rPr>
            </w:pPr>
            <w:r>
              <w:rPr>
                <w:shd w:fill="FFFFFF" w:val="clear"/>
              </w:rPr>
              <w:t>10-Q/A</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shd w:fill="FFFFFF" w:val="clear"/>
              </w:rPr>
            </w:pPr>
            <w:r>
              <w:rPr>
                <w:shd w:fill="FFFFFF" w:val="clea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shd w:fill="FFFFFF" w:val="clear"/>
              </w:rPr>
            </w:pPr>
            <w:r>
              <w:rPr>
                <w:shd w:fill="FFFFFF" w:val="clear"/>
              </w:rPr>
              <w:t>10.22</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shd w:fill="FFFFFF" w:val="clear"/>
              </w:rPr>
            </w:pPr>
            <w:r>
              <w:rPr>
                <w:shd w:fill="FFFFFF" w:val="clear"/>
              </w:rPr>
              <w:t>August 9, 2016</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10.8</w:t>
            </w:r>
          </w:p>
        </w:tc>
        <w:tc>
          <w:tcPr>
            <w:tcW w:w="140" w:type="dxa"/>
            <w:tcBorders/>
            <w:vAlign w:val="center"/>
          </w:tcPr>
          <w:p>
            <w:pPr>
              <w:pStyle w:val="TableContents"/>
              <w:bidi w:val="0"/>
              <w:spacing w:before="0" w:after="283"/>
              <w:jc w:val="left"/>
              <w:rPr>
                <w:shd w:fill="FFFFFF" w:val="clear"/>
              </w:rPr>
            </w:pPr>
            <w:r>
              <w:rPr>
                <w:shd w:fill="FFFFFF" w:val="clear"/>
              </w:rPr>
              <w:t>†</w:t>
            </w:r>
          </w:p>
        </w:tc>
        <w:tc>
          <w:tcPr>
            <w:tcW w:w="5169" w:type="dxa"/>
            <w:tcBorders/>
            <w:vAlign w:val="center"/>
          </w:tcPr>
          <w:p>
            <w:pPr>
              <w:pStyle w:val="TableContents"/>
              <w:bidi w:val="0"/>
              <w:spacing w:before="0" w:after="283"/>
              <w:jc w:val="left"/>
              <w:rPr/>
            </w:pPr>
            <w:hyperlink r:id="rId20">
              <w:r>
                <w:rPr>
                  <w:rStyle w:val="InternetLink"/>
                  <w:shd w:fill="FFFFFF" w:val="clear"/>
                </w:rPr>
                <w:t>Employment Agreement, dated August 5, 2016, between Applied Optoelectronics, Inc. and David C. Kuo</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shd w:fill="FFFFFF" w:val="clear"/>
              </w:rPr>
            </w:pPr>
            <w:r>
              <w:rPr>
                <w:shd w:fill="FFFFFF" w:val="clear"/>
              </w:rPr>
              <w:t>10-K</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shd w:fill="FFFFFF" w:val="clear"/>
              </w:rPr>
            </w:pPr>
            <w:r>
              <w:rPr>
                <w:shd w:fill="FFFFFF" w:val="clea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shd w:fill="FFFFFF" w:val="clear"/>
              </w:rPr>
            </w:pPr>
            <w:r>
              <w:rPr>
                <w:shd w:fill="FFFFFF" w:val="clear"/>
              </w:rPr>
              <w:t>10.9</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shd w:fill="FFFFFF" w:val="clear"/>
              </w:rPr>
            </w:pPr>
            <w:r>
              <w:rPr>
                <w:shd w:fill="FFFFFF" w:val="clear"/>
              </w:rPr>
              <w:t>February 28, 2018</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right"/>
              <w:rPr>
                <w:rFonts w:ascii="Times New Roman;Times;serif" w:hAnsi="Times New Roman;Times;serif"/>
                <w:sz w:val="20"/>
                <w:shd w:fill="FFFFFF" w:val="clear"/>
              </w:rPr>
            </w:pPr>
            <w:r>
              <w:rPr>
                <w:rFonts w:ascii="Times New Roman;Times;serif" w:hAnsi="Times New Roman;Times;serif"/>
                <w:sz w:val="20"/>
                <w:shd w:fill="FFFFFF" w:val="clear"/>
              </w:rPr>
              <w:t>10.9</w:t>
            </w:r>
          </w:p>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5169"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sz w:val="20"/>
                  <w:shd w:fill="FFFFFF" w:val="clear"/>
                </w:rPr>
                <w:t>Translation of Lease Agreement between Global Technology, Inc. and the People’s Republic of China in Zhejiang Province, Ningbo City, Land Resources Bureau</w:t>
              </w:r>
            </w:hyperlink>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2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10-K</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001-36083</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10.30</w:t>
            </w:r>
          </w:p>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207"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February 28, 2018</w:t>
            </w:r>
          </w:p>
          <w:p>
            <w:pPr>
              <w:pStyle w:val="TableContents"/>
              <w:bidi w:val="0"/>
              <w:spacing w:before="0" w:after="0"/>
              <w:ind w:left="0" w:right="0" w:hanging="0"/>
              <w:jc w:val="left"/>
              <w:rPr/>
            </w:pPr>
            <w:r>
              <w:rPr/>
              <w:t> </w:t>
            </w:r>
          </w:p>
        </w:tc>
      </w:tr>
      <w:tr>
        <w:trPr/>
        <w:tc>
          <w:tcPr>
            <w:tcW w:w="8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right"/>
              <w:rPr/>
            </w:pPr>
            <w:r>
              <w:rPr/>
              <w:t>10.10</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hyperlink r:id="rId22">
              <w:r>
                <w:rPr>
                  <w:rStyle w:val="InternetLink"/>
                </w:rPr>
                <w:t xml:space="preserve">Statement of Work No. 1 </w:t>
              </w:r>
              <w:r>
                <w:rPr>
                  <w:rStyle w:val="InternetLink"/>
                </w:rPr>
                <w:t xml:space="preserve">﻿– </w:t>
              </w:r>
              <w:r>
                <w:rPr>
                  <w:rStyle w:val="InternetLink"/>
                </w:rPr>
                <w:t>Foundry between Applied Optoelectronics, Inc. and Microsoft Corporation, effective December 16, 2022</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May 3, 2023</w:t>
            </w:r>
          </w:p>
        </w:tc>
      </w:tr>
      <w:tr>
        <w:trPr/>
        <w:tc>
          <w:tcPr>
            <w:tcW w:w="87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right"/>
              <w:rPr/>
            </w:pPr>
            <w:r>
              <w:rPr/>
              <w:t>10.10.1</w:t>
            </w:r>
          </w:p>
        </w:tc>
        <w:tc>
          <w:tcPr>
            <w:tcW w:w="140" w:type="dxa"/>
            <w:tcBorders/>
            <w:vAlign w:val="center"/>
          </w:tcPr>
          <w:p>
            <w:pPr>
              <w:pStyle w:val="TableContents"/>
              <w:bidi w:val="0"/>
              <w:spacing w:before="0" w:after="283"/>
              <w:jc w:val="left"/>
              <w:rPr/>
            </w:pPr>
            <w:r>
              <w:rPr/>
              <w:t> </w:t>
            </w:r>
          </w:p>
        </w:tc>
        <w:tc>
          <w:tcPr>
            <w:tcW w:w="5169" w:type="dxa"/>
            <w:tcBorders/>
            <w:vAlign w:val="center"/>
          </w:tcPr>
          <w:p>
            <w:pPr>
              <w:pStyle w:val="TableContents"/>
              <w:bidi w:val="0"/>
              <w:spacing w:before="0" w:after="283"/>
              <w:jc w:val="left"/>
              <w:rPr/>
            </w:pPr>
            <w:hyperlink r:id="rId23">
              <w:r>
                <w:rPr>
                  <w:rStyle w:val="InternetLink"/>
                </w:rPr>
                <w:t>Microsoft Corporation Purchase Order Terms &amp; Conditions (included as Appendix C to Exhibit 10.10)</w:t>
              </w:r>
            </w:hyperlink>
          </w:p>
        </w:tc>
        <w:tc>
          <w:tcPr>
            <w:tcW w:w="60"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center"/>
              <w:rPr/>
            </w:pPr>
            <w:r>
              <w:rPr/>
              <w:t>10.1</w:t>
              <w:br/>
              <w:t>(Appendix C)</w:t>
            </w:r>
          </w:p>
        </w:tc>
        <w:tc>
          <w:tcPr>
            <w:tcW w:w="6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center"/>
              <w:rPr/>
            </w:pPr>
            <w:r>
              <w:rPr/>
              <w:t>May 3,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6945" w:type="dxa"/>
        <w:jc w:val="left"/>
        <w:tblInd w:w="0" w:type="dxa"/>
        <w:tblLayout w:type="fixed"/>
        <w:tblCellMar>
          <w:top w:w="0" w:type="dxa"/>
          <w:left w:w="0" w:type="dxa"/>
          <w:bottom w:w="0" w:type="dxa"/>
          <w:right w:w="0" w:type="dxa"/>
        </w:tblCellMar>
      </w:tblPr>
      <w:tblGrid>
        <w:gridCol w:w="755"/>
        <w:gridCol w:w="300"/>
        <w:gridCol w:w="1715"/>
        <w:gridCol w:w="300"/>
        <w:gridCol w:w="545"/>
        <w:gridCol w:w="300"/>
        <w:gridCol w:w="725"/>
        <w:gridCol w:w="300"/>
        <w:gridCol w:w="695"/>
        <w:gridCol w:w="300"/>
        <w:gridCol w:w="1010"/>
      </w:tblGrid>
      <w:tr>
        <w:trPr/>
        <w:tc>
          <w:tcPr>
            <w:tcW w:w="755" w:type="dxa"/>
            <w:tcBorders/>
            <w:vAlign w:val="center"/>
          </w:tcPr>
          <w:p>
            <w:pPr>
              <w:pStyle w:val="TableContents"/>
              <w:bidi w:val="0"/>
              <w:spacing w:before="0" w:after="0"/>
              <w:ind w:left="0" w:right="0" w:hanging="0"/>
              <w:jc w:val="right"/>
              <w:rPr>
                <w:shd w:fill="FFFFFF" w:val="clear"/>
              </w:rPr>
            </w:pPr>
            <w:r>
              <w:rPr>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1715" w:type="dxa"/>
            <w:tcBorders/>
            <w:vAlign w:val="center"/>
          </w:tcPr>
          <w:p>
            <w:pPr>
              <w:pStyle w:val="TableContents"/>
              <w:bidi w:val="0"/>
              <w:spacing w:before="0" w:after="0"/>
              <w:ind w:left="0" w:right="0" w:hanging="0"/>
              <w:jc w:val="center"/>
              <w:rPr>
                <w:shd w:fill="FFFFFF" w:val="clear"/>
              </w:rPr>
            </w:pPr>
            <w:r>
              <w:rPr>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3875" w:type="dxa"/>
            <w:gridSpan w:val="7"/>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Incorporated By Reference</w:t>
            </w:r>
            <w:r>
              <w:rPr>
                <w:rFonts w:ascii="Times New Roman;Times;serif" w:hAnsi="Times New Roman;Times;serif"/>
                <w:sz w:val="20"/>
                <w:shd w:fill="FFFFFF" w:val="clear"/>
              </w:rPr>
              <w:t> </w:t>
            </w:r>
          </w:p>
        </w:tc>
      </w:tr>
      <w:tr>
        <w:trPr/>
        <w:tc>
          <w:tcPr>
            <w:tcW w:w="75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Number</w:t>
            </w:r>
            <w:r>
              <w:rPr>
                <w:rFonts w:ascii="Times New Roman;Times;serif" w:hAnsi="Times New Roman;Times;serif"/>
                <w:sz w:val="20"/>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17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Exhibit Description</w:t>
            </w:r>
            <w:r>
              <w:rPr>
                <w:rFonts w:ascii="Times New Roman;Times;serif" w:hAnsi="Times New Roman;Times;serif"/>
                <w:sz w:val="20"/>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5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Form</w:t>
            </w:r>
            <w:r>
              <w:rPr>
                <w:rFonts w:ascii="Times New Roman;Times;serif" w:hAnsi="Times New Roman;Times;serif"/>
                <w:sz w:val="20"/>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File No.</w:t>
            </w:r>
            <w:r>
              <w:rPr>
                <w:rFonts w:ascii="Times New Roman;Times;serif" w:hAnsi="Times New Roman;Times;serif"/>
                <w:sz w:val="20"/>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69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Exhibit</w:t>
            </w:r>
            <w:r>
              <w:rPr>
                <w:rFonts w:ascii="Times New Roman;Times;serif" w:hAnsi="Times New Roman;Times;serif"/>
                <w:sz w:val="20"/>
                <w:shd w:fill="FFFFFF" w:val="clear"/>
              </w:rPr>
              <w:t> </w:t>
            </w:r>
          </w:p>
        </w:tc>
        <w:tc>
          <w:tcPr>
            <w:tcW w:w="300" w:type="dxa"/>
            <w:tcBorders/>
            <w:vAlign w:val="center"/>
          </w:tcPr>
          <w:p>
            <w:pPr>
              <w:pStyle w:val="TableContents"/>
              <w:bidi w:val="0"/>
              <w:spacing w:before="0" w:after="0"/>
              <w:ind w:left="0" w:right="0" w:hanging="0"/>
              <w:jc w:val="left"/>
              <w:rPr>
                <w:shd w:fill="FFFFFF" w:val="clear"/>
              </w:rPr>
            </w:pPr>
            <w:r>
              <w:rPr>
                <w:shd w:fill="FFFFFF" w:val="clear"/>
              </w:rPr>
              <w:t>     </w:t>
            </w:r>
          </w:p>
        </w:tc>
        <w:tc>
          <w:tcPr>
            <w:tcW w:w="10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Filing Date</w:t>
            </w:r>
            <w:r>
              <w:rPr>
                <w:rFonts w:ascii="Times New Roman;Times;serif" w:hAnsi="Times New Roman;Times;serif"/>
                <w:sz w:val="20"/>
                <w:shd w:fill="FFFFFF" w:val="clear"/>
              </w:rPr>
              <w:t> </w:t>
            </w:r>
          </w:p>
        </w:tc>
      </w:tr>
    </w:tbl>
    <w:tbl>
      <w:tblPr>
        <w:tblW w:w="10205" w:type="dxa"/>
        <w:jc w:val="left"/>
        <w:tblInd w:w="0" w:type="dxa"/>
        <w:tblLayout w:type="fixed"/>
        <w:tblCellMar>
          <w:top w:w="0" w:type="dxa"/>
          <w:left w:w="0" w:type="dxa"/>
          <w:bottom w:w="0" w:type="dxa"/>
          <w:right w:w="0" w:type="dxa"/>
        </w:tblCellMar>
      </w:tblPr>
      <w:tblGrid>
        <w:gridCol w:w="740"/>
        <w:gridCol w:w="60"/>
        <w:gridCol w:w="5850"/>
        <w:gridCol w:w="60"/>
        <w:gridCol w:w="259"/>
        <w:gridCol w:w="60"/>
        <w:gridCol w:w="726"/>
        <w:gridCol w:w="60"/>
        <w:gridCol w:w="1113"/>
        <w:gridCol w:w="60"/>
        <w:gridCol w:w="1217"/>
      </w:tblGrid>
      <w:tr>
        <w:trPr/>
        <w:tc>
          <w:tcPr>
            <w:tcW w:w="740" w:type="dxa"/>
            <w:tcBorders/>
            <w:vAlign w:val="center"/>
          </w:tcPr>
          <w:p>
            <w:pPr>
              <w:pStyle w:val="TableContents"/>
              <w:bidi w:val="0"/>
              <w:spacing w:before="0" w:after="283"/>
              <w:jc w:val="right"/>
              <w:rPr/>
            </w:pPr>
            <w:r>
              <w:rPr/>
              <w:t>10.11</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4">
              <w:r>
                <w:rPr>
                  <w:rStyle w:val="InternetLink"/>
                </w:rPr>
                <w:t xml:space="preserve">Statement of Work </w:t>
              </w:r>
              <w:r>
                <w:rPr>
                  <w:rStyle w:val="InternetLink"/>
                </w:rPr>
                <w:t>﻿</w:t>
              </w:r>
              <w:r>
                <w:rPr>
                  <w:rStyle w:val="InternetLink"/>
                </w:rPr>
                <w:t>No. 2 – Design and Assembly, between Applied Optoelectronics, Inc. and Microsoft Corporation, effective June 21, 2023</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June 21, 2023</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10.11.1</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5">
              <w:r>
                <w:rPr>
                  <w:rStyle w:val="InternetLink"/>
                </w:rPr>
                <w:t>Microsoft Corporation Purchase Order Terms &amp; Conditions (included as Appendix J to Exhibit 10.11)</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br/>
              <w:t>(Appendix C)</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June 21, 2023</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10.12</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6">
              <w:r>
                <w:rPr>
                  <w:rStyle w:val="InternetLink"/>
                </w:rPr>
                <w:t>Translation of the Land and Building Lease Agreement, dated October 7, 2024, between Prime World International Holdings Ltd., Taiwan Branch and San Ho Enterprise Co., Ltd.</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October 10, 2024</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10.13</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7">
              <w:r>
                <w:rPr>
                  <w:rStyle w:val="InternetLink"/>
                </w:rPr>
                <w:t>Form of Exchange Agreement, dated December 18, 2024, between Applied Optoelectronics, Inc. and the applicable Noteholders</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December 20, 2024</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10.14</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8">
              <w:r>
                <w:rPr>
                  <w:rStyle w:val="InternetLink"/>
                </w:rPr>
                <w:t>Transaction Agreement, by and between Applied Optoelectronics, Inc. and Amazon.com, Inc., dated as of March 13, 2025</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March 13, 2025</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10.15</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29">
              <w:r>
                <w:rPr>
                  <w:rStyle w:val="InternetLink"/>
                </w:rPr>
                <w:t>Lease, dated April 3, 2025, between Applied Optoelectronics, Inc. and Albany Road-Breck Exchange, LLC</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April 9, 2025</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10.16</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30">
              <w:r>
                <w:rPr>
                  <w:rStyle w:val="InternetLink"/>
                </w:rPr>
                <w:t>Translation of the Land and Building Lease Agreement, dated June 7, 2025, between Prime World International Holdings Ltd., Taiwan Branch and San Ho Electric Machinery Industry Co., Ltd.</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June 11, 2025</w:t>
            </w:r>
          </w:p>
        </w:tc>
      </w:tr>
      <w:tr>
        <w:trPr/>
        <w:tc>
          <w:tcPr>
            <w:tcW w:w="740" w:type="dxa"/>
            <w:tcBorders/>
            <w:vAlign w:val="center"/>
          </w:tcPr>
          <w:p>
            <w:pPr>
              <w:pStyle w:val="TableContents"/>
              <w:bidi w:val="0"/>
              <w:spacing w:before="0" w:after="0"/>
              <w:ind w:left="0" w:right="0" w:hanging="0"/>
              <w:jc w:val="right"/>
              <w:rPr/>
            </w:pPr>
            <w:r>
              <w:rPr/>
              <w:t> </w:t>
            </w:r>
          </w:p>
        </w:tc>
        <w:tc>
          <w:tcPr>
            <w:tcW w:w="60" w:type="dxa"/>
            <w:tcBorders/>
            <w:vAlign w:val="center"/>
          </w:tcPr>
          <w:p>
            <w:pPr>
              <w:pStyle w:val="TableContents"/>
              <w:bidi w:val="0"/>
              <w:spacing w:before="0" w:after="0"/>
              <w:ind w:left="0" w:right="0" w:hanging="0"/>
              <w:jc w:val="left"/>
              <w:rPr/>
            </w:pPr>
            <w:r>
              <w:rPr/>
              <w:t> </w:t>
            </w:r>
          </w:p>
        </w:tc>
        <w:tc>
          <w:tcPr>
            <w:tcW w:w="58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9"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1113"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left"/>
              <w:rPr/>
            </w:pPr>
            <w:r>
              <w:rPr/>
              <w:t> </w:t>
            </w:r>
          </w:p>
        </w:tc>
        <w:tc>
          <w:tcPr>
            <w:tcW w:w="1217" w:type="dxa"/>
            <w:tcBorders/>
            <w:vAlign w:val="center"/>
          </w:tcPr>
          <w:p>
            <w:pPr>
              <w:pStyle w:val="TableContents"/>
              <w:bidi w:val="0"/>
              <w:spacing w:before="0" w:after="0"/>
              <w:ind w:left="0" w:right="0" w:hanging="0"/>
              <w:jc w:val="center"/>
              <w:rPr/>
            </w:pPr>
            <w:r>
              <w:rPr/>
              <w:t> </w:t>
            </w:r>
          </w:p>
        </w:tc>
      </w:tr>
      <w:tr>
        <w:trPr/>
        <w:tc>
          <w:tcPr>
            <w:tcW w:w="740" w:type="dxa"/>
            <w:tcBorders/>
            <w:vAlign w:val="center"/>
          </w:tcPr>
          <w:p>
            <w:pPr>
              <w:pStyle w:val="TableContents"/>
              <w:bidi w:val="0"/>
              <w:spacing w:before="0" w:after="283"/>
              <w:jc w:val="right"/>
              <w:rPr/>
            </w:pPr>
            <w:r>
              <w:rPr/>
              <w:t>10.17</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31">
              <w:r>
                <w:rPr>
                  <w:rStyle w:val="InternetLink"/>
                </w:rPr>
                <w:t>Translation of the RMB Working Capital Loan Contract (RMB 96,800,000), between Global Technology, Inc. and China Construction Bank Co., Ltd., dated June 12, 2025</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June 18, 2025</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10.18</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32">
              <w:r>
                <w:rPr>
                  <w:rStyle w:val="InternetLink"/>
                </w:rPr>
                <w:t>Translation of the Maximum Loan (Credit) Contract (Credit Line Agreement), dated June 26, 2025, between Global Technology, Inc. and China Construction Bank Co., Ltd.</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July 1, 2025</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right"/>
              <w:rPr/>
            </w:pPr>
            <w:r>
              <w:rPr/>
              <w:t>10.18.1</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33">
              <w:r>
                <w:rPr>
                  <w:rStyle w:val="InternetLink"/>
                </w:rPr>
                <w:t>Translation of the Maximum Mortgage Contract (Security Agreement), dated June 26, 2025, between Global Technology, Inc. and China Construction Bank Co., Ltd.</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July 1,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10.19</w:t>
            </w:r>
          </w:p>
        </w:tc>
        <w:tc>
          <w:tcPr>
            <w:tcW w:w="60" w:type="dxa"/>
            <w:tcBorders/>
            <w:vAlign w:val="center"/>
          </w:tcPr>
          <w:p>
            <w:pPr>
              <w:pStyle w:val="TableContents"/>
              <w:bidi w:val="0"/>
              <w:spacing w:before="0" w:after="283"/>
              <w:jc w:val="left"/>
              <w:rPr/>
            </w:pPr>
            <w:r>
              <w:rPr/>
              <w:t> </w:t>
            </w:r>
          </w:p>
        </w:tc>
        <w:tc>
          <w:tcPr>
            <w:tcW w:w="5850" w:type="dxa"/>
            <w:tcBorders/>
            <w:vAlign w:val="center"/>
          </w:tcPr>
          <w:p>
            <w:pPr>
              <w:pStyle w:val="TableContents"/>
              <w:bidi w:val="0"/>
              <w:spacing w:before="0" w:after="283"/>
              <w:jc w:val="left"/>
              <w:rPr/>
            </w:pPr>
            <w:hyperlink r:id="rId34">
              <w:r>
                <w:rPr>
                  <w:rStyle w:val="InternetLink"/>
                </w:rPr>
                <w:t>Translation of the Working Capital Loan Contract (RMB82,000,000), between Global Technology, Inc. and Shanghai Pudong Development Bank Co., Ltd., dated July 18, 2025</w:t>
              </w:r>
            </w:hyperlink>
          </w:p>
        </w:tc>
        <w:tc>
          <w:tcPr>
            <w:tcW w:w="6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1113"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center"/>
              <w:rPr/>
            </w:pPr>
            <w:r>
              <w:rPr/>
              <w:t>July 23,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35"/>
        <w:gridCol w:w="60"/>
        <w:gridCol w:w="5557"/>
        <w:gridCol w:w="60"/>
        <w:gridCol w:w="650"/>
        <w:gridCol w:w="60"/>
        <w:gridCol w:w="723"/>
        <w:gridCol w:w="60"/>
        <w:gridCol w:w="830"/>
        <w:gridCol w:w="60"/>
        <w:gridCol w:w="1210"/>
      </w:tblGrid>
      <w:tr>
        <w:trPr/>
        <w:tc>
          <w:tcPr>
            <w:tcW w:w="9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3" w:type="dxa"/>
            <w:gridSpan w:val="7"/>
            <w:tcBorders/>
            <w:vAlign w:val="center"/>
          </w:tcPr>
          <w:p>
            <w:pPr>
              <w:pStyle w:val="TableContents"/>
              <w:bidi w:val="0"/>
              <w:spacing w:before="0" w:after="283"/>
              <w:jc w:val="center"/>
              <w:rPr/>
            </w:pPr>
            <w:r>
              <w:rPr>
                <w:b/>
                <w:shd w:fill="FFFFFF" w:val="clear"/>
              </w:rPr>
              <w:t>Incorporated By Reference</w:t>
            </w:r>
            <w:r>
              <w:rPr>
                <w:shd w:fill="FFFFFF" w:val="clear"/>
              </w:rPr>
              <w:t> </w:t>
            </w:r>
          </w:p>
        </w:tc>
      </w:tr>
      <w:tr>
        <w:trPr/>
        <w:tc>
          <w:tcPr>
            <w:tcW w:w="935" w:type="dxa"/>
            <w:tcBorders/>
            <w:vAlign w:val="center"/>
          </w:tcPr>
          <w:p>
            <w:pPr>
              <w:pStyle w:val="TableContents"/>
              <w:bidi w:val="0"/>
              <w:spacing w:before="0" w:after="283"/>
              <w:jc w:val="center"/>
              <w:rPr/>
            </w:pPr>
            <w:r>
              <w:rPr>
                <w:b/>
                <w:shd w:fill="FFFFFF" w:val="clear"/>
              </w:rPr>
              <w:t>Number</w:t>
            </w:r>
            <w:r>
              <w:rPr>
                <w:shd w:fill="FFFFFF" w:val="clea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center"/>
              <w:rPr/>
            </w:pPr>
            <w:r>
              <w:rPr>
                <w:b/>
                <w:shd w:fill="FFFFFF" w:val="clear"/>
              </w:rPr>
              <w:t>Exhibit Description</w:t>
            </w:r>
            <w:r>
              <w:rPr>
                <w:shd w:fill="FFFFFF" w:val="clea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b/>
                <w:shd w:fill="FFFFFF" w:val="clear"/>
              </w:rPr>
              <w:t>Form</w:t>
            </w:r>
            <w:r>
              <w:rPr>
                <w:shd w:fill="FFFFFF" w:val="clea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b/>
                <w:shd w:fill="FFFFFF" w:val="clear"/>
              </w:rPr>
              <w:t>File No.</w:t>
            </w:r>
            <w:r>
              <w:rPr>
                <w:shd w:fill="FFFFFF" w:val="clea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b/>
                <w:shd w:fill="FFFFFF" w:val="clear"/>
              </w:rPr>
              <w:t>Exhibit</w:t>
            </w:r>
            <w:r>
              <w:rPr>
                <w:shd w:fill="FFFFFF" w:val="clea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b/>
                <w:shd w:fill="FFFFFF" w:val="clear"/>
              </w:rPr>
              <w:t>Filing Date</w:t>
            </w:r>
            <w:r>
              <w:rPr>
                <w:shd w:fill="FFFFFF" w:val="clear"/>
              </w:rPr>
              <w:t> </w:t>
            </w:r>
          </w:p>
        </w:tc>
      </w:tr>
      <w:tr>
        <w:trPr/>
        <w:tc>
          <w:tcPr>
            <w:tcW w:w="935" w:type="dxa"/>
            <w:tcBorders/>
            <w:vAlign w:val="center"/>
          </w:tcPr>
          <w:p>
            <w:pPr>
              <w:pStyle w:val="TableContents"/>
              <w:bidi w:val="0"/>
              <w:spacing w:before="0" w:after="283"/>
              <w:jc w:val="right"/>
              <w:rPr/>
            </w:pPr>
            <w:r>
              <w:rPr/>
              <w:t>10.20</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35">
              <w:r>
                <w:rPr>
                  <w:rStyle w:val="InternetLink"/>
                </w:rPr>
                <w:t>Translation of the Financing Credit Line Agreement, dated July 29, 2025, between Global Technology, Inc. and Shanghai Pudong Development Bank Co., Ltd.</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August 4, 2025</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right"/>
              <w:rPr/>
            </w:pPr>
            <w:r>
              <w:rPr/>
              <w:t>10.20.1</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36">
              <w:r>
                <w:rPr>
                  <w:rStyle w:val="InternetLink"/>
                </w:rPr>
                <w:t>Translation of the Maximum Mortgage Contract (Security Agreement), dated July 29, 2025, between Global Technology, Inc. and Shanghai Pudong Development Bank Co., Ltd.</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August 4, 2025</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right"/>
              <w:rPr/>
            </w:pPr>
            <w:r>
              <w:rPr/>
              <w:t>10.21</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37">
              <w:r>
                <w:rPr>
                  <w:rStyle w:val="InternetLink"/>
                </w:rPr>
                <w:t xml:space="preserve">Loan and Security Agreement, dated July 31, 2025, between Applied Optoelectronics, Inc. and BOKF, NA dba BOK Financial </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August 6, 2025</w:t>
            </w:r>
          </w:p>
        </w:tc>
      </w:tr>
      <w:tr>
        <w:trPr/>
        <w:tc>
          <w:tcPr>
            <w:tcW w:w="9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10.21.1</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38">
              <w:r>
                <w:rPr>
                  <w:rStyle w:val="InternetLink"/>
                </w:rPr>
                <w:t xml:space="preserve">Revolving Note, dated July 31, 2025, between Applied Optoelectronics, Inc. and BOKF, NA dba BOK Financial </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August 6, 2025</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right"/>
              <w:rPr/>
            </w:pPr>
            <w:r>
              <w:rPr/>
              <w:t>10.22</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39">
              <w:r>
                <w:rPr>
                  <w:rStyle w:val="InternetLink"/>
                </w:rPr>
                <w:t>Translation of the Agreement to Terminate Land and Building Lease dated August 20, 2025, between Prime World International Holdings Ltd., and San Ho Electric Machinery Industry Co., Ltd.</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August 26, 2025</w:t>
            </w:r>
          </w:p>
        </w:tc>
      </w:tr>
      <w:tr>
        <w:trPr/>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right"/>
              <w:rPr/>
            </w:pPr>
            <w:r>
              <w:rPr/>
              <w:t>10.23</w:t>
            </w:r>
          </w:p>
        </w:tc>
        <w:tc>
          <w:tcPr>
            <w:tcW w:w="60" w:type="dxa"/>
            <w:tcBorders/>
            <w:vAlign w:val="center"/>
          </w:tcPr>
          <w:p>
            <w:pPr>
              <w:pStyle w:val="TableContents"/>
              <w:bidi w:val="0"/>
              <w:spacing w:before="0" w:after="283"/>
              <w:jc w:val="left"/>
              <w:rPr/>
            </w:pPr>
            <w:r>
              <w:rPr/>
              <w:t> </w:t>
            </w:r>
          </w:p>
        </w:tc>
        <w:tc>
          <w:tcPr>
            <w:tcW w:w="5557" w:type="dxa"/>
            <w:tcBorders/>
            <w:vAlign w:val="center"/>
          </w:tcPr>
          <w:p>
            <w:pPr>
              <w:pStyle w:val="TableContents"/>
              <w:bidi w:val="0"/>
              <w:spacing w:before="0" w:after="283"/>
              <w:jc w:val="left"/>
              <w:rPr/>
            </w:pPr>
            <w:hyperlink r:id="rId40">
              <w:r>
                <w:rPr>
                  <w:rStyle w:val="InternetLink"/>
                </w:rPr>
                <w:t>Translation of the Premises Lease Agreement, dated September 1, 2025, between Prime World International Holdings Ltd., Taiwan Branch and International Games System Co., Ltd.</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center"/>
              <w:rPr/>
            </w:pPr>
            <w:r>
              <w:rPr/>
              <w:t>September 4,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0"/>
        <w:gridCol w:w="60"/>
        <w:gridCol w:w="6391"/>
        <w:gridCol w:w="60"/>
        <w:gridCol w:w="271"/>
        <w:gridCol w:w="60"/>
        <w:gridCol w:w="755"/>
        <w:gridCol w:w="60"/>
        <w:gridCol w:w="440"/>
        <w:gridCol w:w="60"/>
        <w:gridCol w:w="1308"/>
      </w:tblGrid>
      <w:tr>
        <w:trPr/>
        <w:tc>
          <w:tcPr>
            <w:tcW w:w="740" w:type="dxa"/>
            <w:tcBorders/>
            <w:vAlign w:val="center"/>
          </w:tcPr>
          <w:p>
            <w:pPr>
              <w:pStyle w:val="TableContents"/>
              <w:bidi w:val="0"/>
              <w:spacing w:before="0" w:after="283"/>
              <w:jc w:val="right"/>
              <w:rPr/>
            </w:pPr>
            <w:r>
              <w:rPr/>
              <w:t>10.24</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1">
              <w:r>
                <w:rPr>
                  <w:rStyle w:val="InternetLink"/>
                </w:rPr>
                <w:t>Lease Agreement, dated September 19, 2025, by and between Applied Optoelectronics, Inc., and Coleman Logistics Assets, LLC</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September 24,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10.25</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2">
              <w:r>
                <w:rPr>
                  <w:rStyle w:val="InternetLink"/>
                </w:rPr>
                <w:t>Translation of the Premise Lease Agreement, dated October 28, 2025, between Prime World International Holdings Ltd., Taiwan Branch and International Games System Co., Ltd.</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November 3,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10.26</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3">
              <w:r>
                <w:rPr>
                  <w:rStyle w:val="InternetLink"/>
                </w:rPr>
                <w:t>Translation of the Approval Notice of Credit Line, dated October 20, 2025</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December 3,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10.26.1</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4">
              <w:r>
                <w:rPr>
                  <w:rStyle w:val="InternetLink"/>
                </w:rPr>
                <w:t>Translation of the General Agreement for Financial Transaction, dated November 27, 2025, between Prime World International Holdings Ltd. and Taishin International Bank</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December 3,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10.26.2</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5">
              <w:r>
                <w:rPr>
                  <w:rStyle w:val="InternetLink"/>
                </w:rPr>
                <w:t>Translation of the Loan Agreement, dated November 27, 2025, between Prime World International Holdings Ltd. and Taishin International Bank</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December 3, 2025</w:t>
            </w:r>
          </w:p>
        </w:tc>
      </w:tr>
      <w:tr>
        <w:trPr/>
        <w:tc>
          <w:tcPr>
            <w:tcW w:w="7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right"/>
              <w:rPr/>
            </w:pPr>
            <w:r>
              <w:rPr/>
              <w:t>10.26.3</w:t>
            </w:r>
          </w:p>
        </w:tc>
        <w:tc>
          <w:tcPr>
            <w:tcW w:w="60" w:type="dxa"/>
            <w:tcBorders/>
            <w:vAlign w:val="center"/>
          </w:tcPr>
          <w:p>
            <w:pPr>
              <w:pStyle w:val="TableContents"/>
              <w:bidi w:val="0"/>
              <w:spacing w:before="0" w:after="283"/>
              <w:jc w:val="left"/>
              <w:rPr/>
            </w:pPr>
            <w:r>
              <w:rPr/>
              <w:t> </w:t>
            </w:r>
          </w:p>
        </w:tc>
        <w:tc>
          <w:tcPr>
            <w:tcW w:w="6391" w:type="dxa"/>
            <w:tcBorders/>
            <w:vAlign w:val="center"/>
          </w:tcPr>
          <w:p>
            <w:pPr>
              <w:pStyle w:val="TableContents"/>
              <w:bidi w:val="0"/>
              <w:spacing w:before="0" w:after="283"/>
              <w:jc w:val="left"/>
              <w:rPr/>
            </w:pPr>
            <w:hyperlink r:id="rId46">
              <w:r>
                <w:rPr>
                  <w:rStyle w:val="InternetLink"/>
                </w:rPr>
                <w:t>Translation of the Promissory Note, dated November 27, 2025, between Prime World International Holdings Ltd. and Taishin International Bank</w:t>
              </w:r>
            </w:hyperlink>
          </w:p>
        </w:tc>
        <w:tc>
          <w:tcPr>
            <w:tcW w:w="6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1308" w:type="dxa"/>
            <w:tcBorders/>
            <w:vAlign w:val="center"/>
          </w:tcPr>
          <w:p>
            <w:pPr>
              <w:pStyle w:val="TableContents"/>
              <w:bidi w:val="0"/>
              <w:spacing w:before="0" w:after="283"/>
              <w:jc w:val="center"/>
              <w:rPr/>
            </w:pPr>
            <w:r>
              <w:rPr/>
              <w:t>December 3,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35"/>
        <w:gridCol w:w="140"/>
        <w:gridCol w:w="5572"/>
        <w:gridCol w:w="60"/>
        <w:gridCol w:w="650"/>
        <w:gridCol w:w="60"/>
        <w:gridCol w:w="812"/>
        <w:gridCol w:w="60"/>
        <w:gridCol w:w="830"/>
        <w:gridCol w:w="60"/>
        <w:gridCol w:w="1026"/>
      </w:tblGrid>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8" w:type="dxa"/>
            <w:gridSpan w:val="7"/>
            <w:tcBorders/>
            <w:vAlign w:val="center"/>
          </w:tcPr>
          <w:p>
            <w:pPr>
              <w:pStyle w:val="TableContents"/>
              <w:bidi w:val="0"/>
              <w:spacing w:before="0" w:after="283"/>
              <w:jc w:val="center"/>
              <w:rPr/>
            </w:pPr>
            <w:r>
              <w:rPr>
                <w:b/>
                <w:shd w:fill="FFFFFF" w:val="clear"/>
              </w:rPr>
              <w:t>Incorporated By Reference</w:t>
            </w:r>
            <w:r>
              <w:rPr>
                <w:shd w:fill="FFFFFF" w:val="clear"/>
              </w:rPr>
              <w:t> </w:t>
            </w:r>
          </w:p>
        </w:tc>
      </w:tr>
      <w:tr>
        <w:trPr/>
        <w:tc>
          <w:tcPr>
            <w:tcW w:w="935" w:type="dxa"/>
            <w:tcBorders/>
            <w:vAlign w:val="center"/>
          </w:tcPr>
          <w:p>
            <w:pPr>
              <w:pStyle w:val="TableContents"/>
              <w:bidi w:val="0"/>
              <w:spacing w:before="0" w:after="283"/>
              <w:jc w:val="center"/>
              <w:rPr/>
            </w:pPr>
            <w:r>
              <w:rPr>
                <w:b/>
                <w:shd w:fill="FFFFFF" w:val="clear"/>
              </w:rPr>
              <w:t>Number</w:t>
            </w:r>
            <w:r>
              <w:rPr>
                <w:shd w:fill="FFFFFF" w:val="clea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center"/>
              <w:rPr/>
            </w:pPr>
            <w:r>
              <w:rPr>
                <w:b/>
                <w:shd w:fill="FFFFFF" w:val="clear"/>
              </w:rPr>
              <w:t>Exhibit Description</w:t>
            </w:r>
            <w:r>
              <w:rPr>
                <w:shd w:fill="FFFFFF" w:val="clea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b/>
                <w:shd w:fill="FFFFFF" w:val="clear"/>
              </w:rPr>
              <w:t>Form</w:t>
            </w:r>
            <w:r>
              <w:rPr>
                <w:shd w:fill="FFFFFF" w:val="clea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b/>
                <w:shd w:fill="FFFFFF" w:val="clear"/>
              </w:rPr>
              <w:t>File No.</w:t>
            </w:r>
            <w:r>
              <w:rPr>
                <w:shd w:fill="FFFFFF" w:val="clea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b/>
                <w:shd w:fill="FFFFFF" w:val="clear"/>
              </w:rPr>
              <w:t>Exhibit</w:t>
            </w:r>
            <w:r>
              <w:rPr>
                <w:shd w:fill="FFFFFF" w:val="clea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b/>
                <w:shd w:fill="FFFFFF" w:val="clear"/>
              </w:rPr>
              <w:t>Filing Date</w:t>
            </w:r>
            <w:r>
              <w:rPr>
                <w:shd w:fill="FFFFFF" w:val="clear"/>
              </w:rPr>
              <w:t> </w:t>
            </w:r>
          </w:p>
        </w:tc>
      </w:tr>
      <w:tr>
        <w:trPr/>
        <w:tc>
          <w:tcPr>
            <w:tcW w:w="935" w:type="dxa"/>
            <w:tcBorders/>
            <w:vAlign w:val="center"/>
          </w:tcPr>
          <w:p>
            <w:pPr>
              <w:pStyle w:val="TableContents"/>
              <w:bidi w:val="0"/>
              <w:spacing w:before="0" w:after="283"/>
              <w:jc w:val="right"/>
              <w:rPr/>
            </w:pPr>
            <w:r>
              <w:rPr/>
              <w:t>19</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hyperlink r:id="rId47">
              <w:r>
                <w:rPr>
                  <w:rStyle w:val="InternetLink"/>
                </w:rPr>
                <w:t>Applied Optoelectronics, Inc. Insider Trading Policy and Guidelines</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10-K</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February 28, 2025</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21</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hyperlink r:id="rId48">
              <w:r>
                <w:rPr>
                  <w:rStyle w:val="InternetLink"/>
                  <w:shd w:fill="FFFFFF" w:val="clear"/>
                </w:rPr>
                <w:t>Subsidiaries of the registrant</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shd w:fill="FFFFFF" w:val="clear"/>
              </w:rPr>
            </w:pPr>
            <w:r>
              <w:rPr>
                <w:shd w:fill="FFFFFF" w:val="clear"/>
              </w:rPr>
              <w:t>S-1</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333-190591</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21.1</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August 13, 2013</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23.1</w:t>
            </w:r>
          </w:p>
        </w:tc>
        <w:tc>
          <w:tcPr>
            <w:tcW w:w="140" w:type="dxa"/>
            <w:tcBorders/>
            <w:vAlign w:val="center"/>
          </w:tcPr>
          <w:p>
            <w:pPr>
              <w:pStyle w:val="TableContents"/>
              <w:bidi w:val="0"/>
              <w:spacing w:before="0" w:after="283"/>
              <w:jc w:val="left"/>
              <w:rPr/>
            </w:pPr>
            <w:r>
              <w:rPr/>
              <w:t>*</w:t>
            </w:r>
          </w:p>
        </w:tc>
        <w:tc>
          <w:tcPr>
            <w:tcW w:w="5572" w:type="dxa"/>
            <w:tcBorders/>
            <w:vAlign w:val="center"/>
          </w:tcPr>
          <w:p>
            <w:pPr>
              <w:pStyle w:val="TableContents"/>
              <w:bidi w:val="0"/>
              <w:spacing w:before="0" w:after="283"/>
              <w:jc w:val="left"/>
              <w:rPr/>
            </w:pPr>
            <w:hyperlink w:anchor="ex_865092.htm">
              <w:r>
                <w:rPr>
                  <w:rStyle w:val="InternetLink"/>
                  <w:shd w:fill="FFFFFF" w:val="clear"/>
                </w:rPr>
                <w:t>Consent of Grant Thornton LLP</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shd w:fill="FFFFFF" w:val="clear"/>
              </w:rPr>
            </w:pPr>
            <w:r>
              <w:rPr>
                <w:shd w:fill="FFFFFF" w:val="clear"/>
              </w:rPr>
              <w:t>24.1</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hyperlink w:anchor="Signatures">
              <w:r>
                <w:rPr>
                  <w:rStyle w:val="InternetLink"/>
                  <w:shd w:fill="FFFFFF" w:val="clear"/>
                </w:rPr>
                <w:t>Power of Attorney (see the signature page in this Annual Report on Form 10-K).</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31.1</w:t>
            </w:r>
          </w:p>
        </w:tc>
        <w:tc>
          <w:tcPr>
            <w:tcW w:w="140" w:type="dxa"/>
            <w:tcBorders/>
            <w:vAlign w:val="center"/>
          </w:tcPr>
          <w:p>
            <w:pPr>
              <w:pStyle w:val="TableContents"/>
              <w:bidi w:val="0"/>
              <w:spacing w:before="0" w:after="283"/>
              <w:jc w:val="left"/>
              <w:rPr/>
            </w:pPr>
            <w:r>
              <w:rPr/>
              <w:t>*</w:t>
            </w:r>
          </w:p>
        </w:tc>
        <w:tc>
          <w:tcPr>
            <w:tcW w:w="5572" w:type="dxa"/>
            <w:tcBorders/>
            <w:vAlign w:val="center"/>
          </w:tcPr>
          <w:p>
            <w:pPr>
              <w:pStyle w:val="TableContents"/>
              <w:bidi w:val="0"/>
              <w:spacing w:before="0" w:after="283"/>
              <w:jc w:val="left"/>
              <w:rPr/>
            </w:pPr>
            <w:hyperlink w:anchor="ex_865093.htm">
              <w:r>
                <w:rPr>
                  <w:rStyle w:val="InternetLink"/>
                  <w:shd w:fill="FFFFFF" w:val="clear"/>
                </w:rPr>
                <w:t>Certification of Principal Executive Officer Required Under Rule 13a-14(a) and 15d-14(a) of the Securities Exchange Act of 1934, as amended,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31.2</w:t>
            </w:r>
          </w:p>
        </w:tc>
        <w:tc>
          <w:tcPr>
            <w:tcW w:w="140" w:type="dxa"/>
            <w:tcBorders/>
            <w:vAlign w:val="center"/>
          </w:tcPr>
          <w:p>
            <w:pPr>
              <w:pStyle w:val="TableContents"/>
              <w:bidi w:val="0"/>
              <w:spacing w:before="0" w:after="283"/>
              <w:jc w:val="left"/>
              <w:rPr/>
            </w:pPr>
            <w:r>
              <w:rPr/>
              <w:t>*</w:t>
            </w:r>
          </w:p>
        </w:tc>
        <w:tc>
          <w:tcPr>
            <w:tcW w:w="5572" w:type="dxa"/>
            <w:tcBorders/>
            <w:vAlign w:val="center"/>
          </w:tcPr>
          <w:p>
            <w:pPr>
              <w:pStyle w:val="TableContents"/>
              <w:bidi w:val="0"/>
              <w:spacing w:before="0" w:after="283"/>
              <w:jc w:val="left"/>
              <w:rPr/>
            </w:pPr>
            <w:hyperlink w:anchor="ex_865094.htm">
              <w:r>
                <w:rPr>
                  <w:rStyle w:val="InternetLink"/>
                  <w:shd w:fill="FFFFFF" w:val="clear"/>
                </w:rPr>
                <w:t>Certification of Principal Financial Officer Required Under Rule 13a-14(a) and 15d-14(a) of the Securities Exchange Act of 1934, as amended,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32.1</w:t>
            </w:r>
          </w:p>
        </w:tc>
        <w:tc>
          <w:tcPr>
            <w:tcW w:w="140" w:type="dxa"/>
            <w:tcBorders/>
            <w:vAlign w:val="center"/>
          </w:tcPr>
          <w:p>
            <w:pPr>
              <w:pStyle w:val="TableContents"/>
              <w:bidi w:val="0"/>
              <w:spacing w:before="0" w:after="283"/>
              <w:jc w:val="left"/>
              <w:rPr/>
            </w:pPr>
            <w:r>
              <w:rPr/>
              <w:t>*</w:t>
            </w:r>
          </w:p>
        </w:tc>
        <w:tc>
          <w:tcPr>
            <w:tcW w:w="5572" w:type="dxa"/>
            <w:tcBorders/>
            <w:vAlign w:val="center"/>
          </w:tcPr>
          <w:p>
            <w:pPr>
              <w:pStyle w:val="TableContents"/>
              <w:bidi w:val="0"/>
              <w:spacing w:before="0" w:after="283"/>
              <w:jc w:val="left"/>
              <w:rPr/>
            </w:pPr>
            <w:hyperlink w:anchor="ex_865095.htm">
              <w:r>
                <w:rPr>
                  <w:rStyle w:val="InternetLink"/>
                  <w:shd w:fill="FFFFFF" w:val="clear"/>
                </w:rPr>
                <w:t>Certification of Principal Executive Officer and Principal Financial Officer Required Under Rule 13a-14(a) and 15d-14(a) of the Securities Exchange Act of 1934, as amended, and 18 U.S.C.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97</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hyperlink r:id="rId49">
              <w:r>
                <w:rPr>
                  <w:rStyle w:val="InternetLink"/>
                </w:rPr>
                <w:t>Compensation Recovery Policy</w:t>
              </w:r>
            </w:hyperlink>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10-K</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001-36083</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97</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February 23, 2024</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101.INS</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shd w:fill="FFFFFF" w:val="clear"/>
              </w:rPr>
            </w:pPr>
            <w:r>
              <w:rPr>
                <w:shd w:fill="FFFFFF" w:val="clear"/>
              </w:rPr>
              <w:t>Inline XBRL Instance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101.SCH</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shd w:fill="FFFFFF" w:val="clear"/>
              </w:rPr>
            </w:pPr>
            <w:r>
              <w:rPr>
                <w:shd w:fill="FFFFFF" w:val="clear"/>
              </w:rPr>
              <w:t>Inline XBRL Taxonomy Extension Schema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101.CAL</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shd w:fill="FFFFFF" w:val="clear"/>
              </w:rPr>
            </w:pPr>
            <w:r>
              <w:rPr>
                <w:shd w:fill="FFFFFF" w:val="clear"/>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101.DEF</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101.LAB</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Inline XBRL Taxonomy Extension Label Linkbase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shd w:fill="FFFFFF" w:val="clear"/>
              </w:rPr>
            </w:pPr>
            <w:r>
              <w:rPr>
                <w:shd w:fill="FFFFFF" w:val="clear"/>
              </w:rPr>
              <w:t>101.PRE</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r>
        <w:trPr/>
        <w:tc>
          <w:tcPr>
            <w:tcW w:w="935" w:type="dxa"/>
            <w:tcBorders/>
            <w:vAlign w:val="center"/>
          </w:tcPr>
          <w:p>
            <w:pPr>
              <w:pStyle w:val="TableContents"/>
              <w:bidi w:val="0"/>
              <w:spacing w:before="0" w:after="283"/>
              <w:jc w:val="right"/>
              <w:rPr/>
            </w:pPr>
            <w:r>
              <w:rPr/>
              <w:t>104</w:t>
            </w:r>
          </w:p>
        </w:tc>
        <w:tc>
          <w:tcPr>
            <w:tcW w:w="140" w:type="dxa"/>
            <w:tcBorders/>
            <w:vAlign w:val="center"/>
          </w:tcPr>
          <w:p>
            <w:pPr>
              <w:pStyle w:val="TableContents"/>
              <w:bidi w:val="0"/>
              <w:spacing w:before="0" w:after="283"/>
              <w:jc w:val="left"/>
              <w:rPr/>
            </w:pPr>
            <w:r>
              <w:rPr/>
              <w:t> </w:t>
            </w:r>
          </w:p>
        </w:tc>
        <w:tc>
          <w:tcPr>
            <w:tcW w:w="5572"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Filed herewith.</w:t>
      </w:r>
    </w:p>
    <w:p>
      <w:pPr>
        <w:pStyle w:val="TextBody"/>
        <w:bidi w:val="0"/>
        <w:spacing w:before="0" w:after="0"/>
        <w:ind w:left="0" w:right="0" w:hanging="0"/>
        <w:jc w:val="left"/>
        <w:rPr>
          <w:shd w:fill="FFFFFF" w:val="clear"/>
        </w:rPr>
      </w:pPr>
      <w:r>
        <w:rPr>
          <w:shd w:fill="FFFFFF" w:val="clear"/>
        </w:rPr>
        <w:t>†     </w:t>
      </w:r>
      <w:r>
        <w:rPr>
          <w:rFonts w:ascii="Times New Roman;Times;serif" w:hAnsi="Times New Roman;Times;serif"/>
          <w:sz w:val="20"/>
          <w:shd w:fill="FFFFFF" w:val="clear"/>
        </w:rPr>
        <w:t>Management contract, compensatory plan or arrangement.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Confidential Treatment has been granted for portions of this document.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30" w:name="Signatures"/>
      <w:bookmarkEnd w:id="30"/>
      <w:r>
        <w:rPr>
          <w:rFonts w:ascii="Times New Roman;Times;serif" w:hAnsi="Times New Roman;Times;serif"/>
          <w:b/>
          <w:sz w:val="20"/>
          <w:shd w:fill="FFFFFF" w:val="clear"/>
        </w:rPr>
        <w:t>SIGNATURES</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requirements of Section 13 or 15(d) the Securities and Exchange Act of 1934, the registrant has duly caused this Form 10-K to be signed on its behalf by the undersigned, thereunto duly authorized. </w:t>
      </w:r>
    </w:p>
    <w:p>
      <w:pPr>
        <w:pStyle w:val="TextBody"/>
        <w:bidi w:val="0"/>
        <w:spacing w:before="0" w:after="0"/>
        <w:ind w:left="0" w:right="0" w:hanging="0"/>
        <w:jc w:val="center"/>
        <w:rPr>
          <w:shd w:fill="FFFFFF" w:val="clear"/>
        </w:rPr>
      </w:pPr>
      <w:r>
        <w:rPr>
          <w:shd w:fill="FFFFFF" w:val="clear"/>
        </w:rPr>
        <w:t>  </w:t>
      </w:r>
    </w:p>
    <w:tbl>
      <w:tblPr>
        <w:tblW w:w="5565" w:type="dxa"/>
        <w:jc w:val="left"/>
        <w:tblInd w:w="0" w:type="dxa"/>
        <w:tblLayout w:type="fixed"/>
        <w:tblCellMar>
          <w:top w:w="0" w:type="dxa"/>
          <w:left w:w="0" w:type="dxa"/>
          <w:bottom w:w="0" w:type="dxa"/>
          <w:right w:w="0" w:type="dxa"/>
        </w:tblCellMar>
      </w:tblPr>
      <w:tblGrid>
        <w:gridCol w:w="1775"/>
        <w:gridCol w:w="320"/>
        <w:gridCol w:w="3470"/>
      </w:tblGrid>
      <w:tr>
        <w:trPr/>
        <w:tc>
          <w:tcPr>
            <w:tcW w:w="1775" w:type="dxa"/>
            <w:tcBorders/>
            <w:vAlign w:val="center"/>
          </w:tcPr>
          <w:p>
            <w:pPr>
              <w:pStyle w:val="TableContents"/>
              <w:bidi w:val="0"/>
              <w:spacing w:before="0" w:after="0"/>
              <w:ind w:left="0" w:right="0" w:hanging="0"/>
              <w:jc w:val="left"/>
              <w:rPr/>
            </w:pPr>
            <w:r>
              <w:rPr/>
              <w:t> </w:t>
            </w:r>
          </w:p>
        </w:tc>
        <w:tc>
          <w:tcPr>
            <w:tcW w:w="3790" w:type="dxa"/>
            <w:gridSpan w:val="2"/>
            <w:tcBorders/>
            <w:vAlign w:val="center"/>
          </w:tcPr>
          <w:p>
            <w:pPr>
              <w:pStyle w:val="TableContents"/>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APPLIED OPTOELECTRONICS, INC.</w:t>
            </w:r>
          </w:p>
        </w:tc>
      </w:tr>
      <w:tr>
        <w:trPr/>
        <w:tc>
          <w:tcPr>
            <w:tcW w:w="1775" w:type="dxa"/>
            <w:tcBorders/>
            <w:vAlign w:val="center"/>
          </w:tcPr>
          <w:p>
            <w:pPr>
              <w:pStyle w:val="TableContents"/>
              <w:bidi w:val="0"/>
              <w:spacing w:before="0" w:after="0"/>
              <w:ind w:left="0" w:right="0" w:hanging="0"/>
              <w:jc w:val="left"/>
              <w:rPr/>
            </w:pPr>
            <w:r>
              <w:rPr/>
              <w:t> </w:t>
            </w:r>
          </w:p>
        </w:tc>
        <w:tc>
          <w:tcPr>
            <w:tcW w:w="3790" w:type="dxa"/>
            <w:gridSpan w:val="2"/>
            <w:tcBorders/>
            <w:vAlign w:val="center"/>
          </w:tcPr>
          <w:p>
            <w:pPr>
              <w:pStyle w:val="TableContents"/>
              <w:bidi w:val="0"/>
              <w:spacing w:before="0" w:after="0"/>
              <w:ind w:left="0" w:right="0" w:hanging="0"/>
              <w:jc w:val="left"/>
              <w:rPr/>
            </w:pPr>
            <w:r>
              <w:rPr/>
              <w:t> </w:t>
            </w:r>
          </w:p>
        </w:tc>
      </w:tr>
      <w:tr>
        <w:trPr/>
        <w:tc>
          <w:tcPr>
            <w:tcW w:w="17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By:</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shd w:fill="FFFFFF" w:val="clear"/>
              </w:rPr>
              <w:t xml:space="preserve">/s/ </w:t>
            </w:r>
            <w:r>
              <w:rPr>
                <w:rFonts w:ascii="Times New Roman;Times;serif" w:hAnsi="Times New Roman;Times;serif"/>
                <w:caps/>
                <w:sz w:val="20"/>
                <w:shd w:fill="FFFFFF" w:val="clear"/>
              </w:rPr>
              <w:t>Chih-Hsiang (Thompson) Lin</w:t>
            </w:r>
          </w:p>
        </w:tc>
      </w:tr>
      <w:tr>
        <w:trPr/>
        <w:tc>
          <w:tcPr>
            <w:tcW w:w="17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caps/>
                <w:sz w:val="20"/>
                <w:shd w:fill="FFFFFF" w:val="clear"/>
              </w:rPr>
              <w:t>Chih-Hsiang (Thompson) Lin</w:t>
            </w:r>
            <w:r>
              <w:rPr>
                <w:rFonts w:ascii="Times New Roman;Times;serif" w:hAnsi="Times New Roman;Times;serif"/>
                <w:sz w:val="20"/>
                <w:shd w:fill="FFFFFF" w:val="clear"/>
              </w:rPr>
              <w:t>,</w:t>
            </w:r>
          </w:p>
        </w:tc>
      </w:tr>
      <w:tr>
        <w:trPr/>
        <w:tc>
          <w:tcPr>
            <w:tcW w:w="17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President and Chief Executive Officer and</w:t>
            </w:r>
          </w:p>
        </w:tc>
      </w:tr>
      <w:tr>
        <w:trPr/>
        <w:tc>
          <w:tcPr>
            <w:tcW w:w="177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Chairman of the Board of Directors</w:t>
            </w:r>
          </w:p>
        </w:tc>
      </w:tr>
      <w:tr>
        <w:trPr/>
        <w:tc>
          <w:tcPr>
            <w:tcW w:w="1775" w:type="dxa"/>
            <w:tcBorders/>
            <w:vAlign w:val="center"/>
          </w:tcPr>
          <w:p>
            <w:pPr>
              <w:pStyle w:val="TableContents"/>
              <w:bidi w:val="0"/>
              <w:spacing w:before="0" w:after="283"/>
              <w:jc w:val="left"/>
              <w:rPr/>
            </w:pPr>
            <w:r>
              <w:rPr>
                <w:shd w:fill="FFFFFF" w:val="clear"/>
              </w:rPr>
              <w:t xml:space="preserve">February 26, </w:t>
            </w:r>
            <w:r>
              <w:rPr/>
              <w:t>2026</w:t>
            </w:r>
          </w:p>
        </w:tc>
        <w:tc>
          <w:tcPr>
            <w:tcW w:w="320" w:type="dxa"/>
            <w:tcBorders/>
            <w:vAlign w:val="center"/>
          </w:tcPr>
          <w:p>
            <w:pPr>
              <w:pStyle w:val="TableContents"/>
              <w:bidi w:val="0"/>
              <w:spacing w:before="0" w:after="0"/>
              <w:ind w:left="0" w:right="0" w:hanging="0"/>
              <w:jc w:val="left"/>
              <w:rPr/>
            </w:pPr>
            <w:r>
              <w:rPr/>
              <w:t> </w:t>
            </w:r>
          </w:p>
        </w:tc>
        <w:tc>
          <w:tcPr>
            <w:tcW w:w="3470"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center"/>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POWER OF ATTORNEY</w:t>
      </w:r>
    </w:p>
    <w:p>
      <w:pPr>
        <w:pStyle w:val="TextBody"/>
        <w:bidi w:val="0"/>
        <w:spacing w:before="0" w:after="0"/>
        <w:ind w:left="0" w:right="0" w:hanging="0"/>
        <w:jc w:val="center"/>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Pursuant to the requirements of the Securities and Exchange Act of 1934, this Form 10-K has been signed by the following persons on behalf of the registrant and in the capacities and on the dates indicated.</w:t>
      </w:r>
    </w:p>
    <w:p>
      <w:pPr>
        <w:pStyle w:val="TextBody"/>
        <w:bidi w:val="0"/>
        <w:spacing w:before="0" w:after="0"/>
        <w:ind w:left="0" w:right="0" w:hanging="0"/>
        <w:jc w:val="center"/>
        <w:rPr>
          <w:shd w:fill="FFFFFF" w:val="clear"/>
        </w:rPr>
      </w:pPr>
      <w:r>
        <w:rPr>
          <w:shd w:fill="FFFFFF" w:val="clear"/>
        </w:rPr>
        <w:t>  </w:t>
      </w:r>
    </w:p>
    <w:tbl>
      <w:tblPr>
        <w:tblW w:w="4930" w:type="dxa"/>
        <w:jc w:val="left"/>
        <w:tblInd w:w="0" w:type="dxa"/>
        <w:tblLayout w:type="fixed"/>
        <w:tblCellMar>
          <w:top w:w="0" w:type="dxa"/>
          <w:left w:w="0" w:type="dxa"/>
          <w:bottom w:w="0" w:type="dxa"/>
          <w:right w:w="0" w:type="dxa"/>
        </w:tblCellMar>
      </w:tblPr>
      <w:tblGrid>
        <w:gridCol w:w="3155"/>
        <w:gridCol w:w="1775"/>
      </w:tblGrid>
      <w:tr>
        <w:trPr/>
        <w:tc>
          <w:tcPr>
            <w:tcW w:w="3155"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Signature</w:t>
            </w:r>
          </w:p>
        </w:tc>
        <w:tc>
          <w:tcPr>
            <w:tcW w:w="1775"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Date</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shd w:fill="FFFFFF" w:val="clear"/>
              </w:rPr>
              <w:t xml:space="preserve">/s/ </w:t>
            </w:r>
            <w:r>
              <w:rPr>
                <w:rFonts w:ascii="Times New Roman;Times;serif" w:hAnsi="Times New Roman;Times;serif"/>
                <w:caps/>
                <w:sz w:val="20"/>
                <w:shd w:fill="FFFFFF" w:val="clear"/>
              </w:rPr>
              <w:t>Chih-Hsiang (Thompson) Lin</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CHIH-HSIANG (THOMPSON) LIN,</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President, Chief Executive Officer and</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Chairman of the Board of Directors</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(principal executive officer)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STEFAN J. MURRY</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STEFAN J. MURRY,</w:t>
            </w:r>
          </w:p>
        </w:tc>
        <w:tc>
          <w:tcPr>
            <w:tcW w:w="1775" w:type="dxa"/>
            <w:tcBorders/>
            <w:vAlign w:val="center"/>
          </w:tcPr>
          <w:p>
            <w:pPr>
              <w:pStyle w:val="TableContents"/>
              <w:bidi w:val="0"/>
              <w:spacing w:before="0" w:after="0"/>
              <w:ind w:left="0" w:right="0" w:hanging="0"/>
              <w:jc w:val="left"/>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Chief Financial Officer</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(principal financial officer and</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principal accounting officer)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Signature</w:t>
            </w:r>
          </w:p>
        </w:tc>
        <w:tc>
          <w:tcPr>
            <w:tcW w:w="1775" w:type="dxa"/>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Date</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WILLIAM H. YEH</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WILLIAM H. YEH,</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RICHARD B. BLACK</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RICHARD B. BLACK,</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CHE-WEI LIN</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CHE-WEI LIN,</w:t>
            </w:r>
          </w:p>
        </w:tc>
        <w:tc>
          <w:tcPr>
            <w:tcW w:w="1775" w:type="dxa"/>
            <w:tcBorders/>
            <w:vAlign w:val="center"/>
          </w:tcPr>
          <w:p>
            <w:pPr>
              <w:pStyle w:val="TableContents"/>
              <w:bidi w:val="0"/>
              <w:spacing w:before="0" w:after="283"/>
              <w:jc w:val="center"/>
              <w:rPr/>
            </w:pPr>
            <w:r>
              <w:rPr>
                <w:shd w:fill="FFFFFF" w:val="clear"/>
              </w:rPr>
              <w:t>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CYNTHIA (CINDY) DELANEY</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CYNTHIA (CINDY) DELANEY,</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ELIZABETH LOBOA</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ELIZABETH LOBOA,</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 MIN-CHU (MIKE) CHEN</w:t>
            </w:r>
          </w:p>
        </w:tc>
        <w:tc>
          <w:tcPr>
            <w:tcW w:w="1775" w:type="dxa"/>
            <w:tcBorders/>
            <w:vAlign w:val="center"/>
          </w:tcPr>
          <w:p>
            <w:pPr>
              <w:pStyle w:val="TableContents"/>
              <w:bidi w:val="0"/>
              <w:spacing w:before="0" w:after="0"/>
              <w:ind w:left="0" w:right="0" w:hanging="0"/>
              <w:jc w:val="center"/>
              <w:rPr/>
            </w:pPr>
            <w:r>
              <w:rPr/>
              <w:t> </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MIN-CHU (MIKE) CHEN,</w:t>
            </w:r>
          </w:p>
        </w:tc>
        <w:tc>
          <w:tcPr>
            <w:tcW w:w="1775" w:type="dxa"/>
            <w:tcBorders/>
            <w:vAlign w:val="center"/>
          </w:tcPr>
          <w:p>
            <w:pPr>
              <w:pStyle w:val="TableContents"/>
              <w:bidi w:val="0"/>
              <w:spacing w:before="0" w:after="283"/>
              <w:jc w:val="center"/>
              <w:rPr/>
            </w:pPr>
            <w:r>
              <w:rPr>
                <w:shd w:fill="FFFFFF" w:val="clear"/>
              </w:rPr>
              <w:t xml:space="preserve">February 26, </w:t>
            </w:r>
            <w:r>
              <w:rPr/>
              <w:t>2026</w:t>
            </w:r>
          </w:p>
        </w:tc>
      </w:tr>
      <w:tr>
        <w:trPr/>
        <w:tc>
          <w:tcPr>
            <w:tcW w:w="3155" w:type="dxa"/>
            <w:tcBorders/>
            <w:vAlign w:val="center"/>
          </w:tcPr>
          <w:p>
            <w:pPr>
              <w:pStyle w:val="TableContents"/>
              <w:bidi w:val="0"/>
              <w:spacing w:before="0" w:after="0"/>
              <w:ind w:left="0" w:right="0" w:hanging="0"/>
              <w:jc w:val="center"/>
              <w:rPr>
                <w:rFonts w:ascii="Times New Roman;Times;serif" w:hAnsi="Times New Roman;Times;serif"/>
                <w:i/>
                <w:sz w:val="20"/>
                <w:shd w:fill="FFFFFF" w:val="clear"/>
              </w:rPr>
            </w:pPr>
            <w:r>
              <w:rPr>
                <w:rFonts w:ascii="Times New Roman;Times;serif" w:hAnsi="Times New Roman;Times;serif"/>
                <w:i/>
                <w:sz w:val="20"/>
                <w:shd w:fill="FFFFFF" w:val="clear"/>
              </w:rPr>
              <w:t>Director</w:t>
            </w:r>
          </w:p>
        </w:tc>
        <w:tc>
          <w:tcPr>
            <w:tcW w:w="1775" w:type="dxa"/>
            <w:tcBorders/>
            <w:vAlign w:val="center"/>
          </w:tcPr>
          <w:p>
            <w:pPr>
              <w:pStyle w:val="TableContents"/>
              <w:bidi w:val="0"/>
              <w:spacing w:before="0" w:after="0"/>
              <w:ind w:left="0" w:right="0" w:hanging="0"/>
              <w:jc w:val="center"/>
              <w:rPr/>
            </w:pPr>
            <w:r>
              <w:rPr/>
              <w:t> </w:t>
            </w:r>
          </w:p>
        </w:tc>
      </w:tr>
    </w:tbl>
    <w:p>
      <w:pPr>
        <w:pStyle w:val="TextBody"/>
        <w:bidi w:val="0"/>
        <w:jc w:val="left"/>
        <w:rPr>
          <w:shd w:fill="FFFFFF" w:val="clear"/>
        </w:rPr>
      </w:pPr>
      <w:r>
        <w:rPr>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INDEX TO CONSOLIDATED FINANCIAL STATEMENTS </w:t>
      </w:r>
    </w:p>
    <w:p>
      <w:pPr>
        <w:pStyle w:val="TextBody"/>
        <w:bidi w:val="0"/>
        <w:spacing w:before="0" w:after="0"/>
        <w:ind w:left="0" w:right="0" w:hanging="0"/>
        <w:jc w:val="left"/>
        <w:rPr>
          <w:shd w:fill="FFFFFF" w:val="clear"/>
        </w:rPr>
      </w:pPr>
      <w:r>
        <w:rPr>
          <w:shd w:fill="FFFFFF" w:val="clear"/>
        </w:rPr>
        <w:t>  </w:t>
      </w:r>
    </w:p>
    <w:tbl>
      <w:tblPr>
        <w:tblW w:w="7375" w:type="dxa"/>
        <w:jc w:val="left"/>
        <w:tblInd w:w="0" w:type="dxa"/>
        <w:tblLayout w:type="fixed"/>
        <w:tblCellMar>
          <w:top w:w="0" w:type="dxa"/>
          <w:left w:w="0" w:type="dxa"/>
          <w:bottom w:w="0" w:type="dxa"/>
          <w:right w:w="0" w:type="dxa"/>
        </w:tblCellMar>
      </w:tblPr>
      <w:tblGrid>
        <w:gridCol w:w="6860"/>
        <w:gridCol w:w="515"/>
      </w:tblGrid>
      <w:tr>
        <w:trPr/>
        <w:tc>
          <w:tcPr>
            <w:tcW w:w="6860" w:type="dxa"/>
            <w:tcBorders/>
            <w:vAlign w:val="center"/>
          </w:tcPr>
          <w:p>
            <w:pPr>
              <w:pStyle w:val="TableContents"/>
              <w:bidi w:val="0"/>
              <w:spacing w:before="0" w:after="0"/>
              <w:ind w:left="144" w:right="0" w:hanging="144"/>
              <w:jc w:val="left"/>
              <w:rPr>
                <w:shd w:fill="FFFFFF" w:val="clear"/>
              </w:rPr>
            </w:pPr>
            <w:r>
              <w:rPr>
                <w:shd w:fill="FFFFFF" w:val="clea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Pages</w:t>
            </w:r>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144" w:right="0" w:hanging="144"/>
              <w:jc w:val="left"/>
              <w:rPr/>
            </w:pPr>
            <w:hyperlink w:anchor="Report">
              <w:r>
                <w:rPr>
                  <w:rStyle w:val="InternetLink"/>
                  <w:rFonts w:ascii="Times New Roman;Times;serif" w:hAnsi="Times New Roman;Times;serif"/>
                  <w:sz w:val="20"/>
                  <w:shd w:fill="FFFFFF" w:val="clear"/>
                </w:rPr>
                <w:t>Report of Independent Registered Public Accounting Firm</w:t>
              </w:r>
            </w:hyperlink>
            <w:r>
              <w:rPr>
                <w:rFonts w:ascii="Times New Roman;Times;serif" w:hAnsi="Times New Roman;Times;serif"/>
                <w:sz w:val="20"/>
                <w:shd w:fill="FFFFFF" w:val="clear"/>
              </w:rPr>
              <w:t> (PCAOB ID Number 248)</w:t>
            </w:r>
          </w:p>
        </w:tc>
        <w:tc>
          <w:tcPr>
            <w:tcW w:w="515" w:type="dxa"/>
            <w:tcBorders/>
            <w:vAlign w:val="center"/>
          </w:tcPr>
          <w:p>
            <w:pPr>
              <w:pStyle w:val="TableContents"/>
              <w:bidi w:val="0"/>
              <w:spacing w:before="0" w:after="0"/>
              <w:ind w:left="0" w:right="0" w:hanging="0"/>
              <w:jc w:val="center"/>
              <w:rPr/>
            </w:pPr>
            <w:hyperlink w:anchor="Report">
              <w:r>
                <w:rPr>
                  <w:rStyle w:val="InternetLink"/>
                  <w:rFonts w:ascii="Times New Roman;Times;serif" w:hAnsi="Times New Roman;Times;serif"/>
                  <w:sz w:val="20"/>
                </w:rPr>
                <w:t>F-2</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left"/>
              <w:rPr/>
            </w:pPr>
            <w:r>
              <w:rPr/>
              <w:t> </w:t>
            </w:r>
          </w:p>
        </w:tc>
      </w:tr>
      <w:tr>
        <w:trPr/>
        <w:tc>
          <w:tcPr>
            <w:tcW w:w="6860" w:type="dxa"/>
            <w:tcBorders/>
            <w:vAlign w:val="center"/>
          </w:tcPr>
          <w:p>
            <w:pPr>
              <w:pStyle w:val="TableContents"/>
              <w:bidi w:val="0"/>
              <w:spacing w:before="0" w:after="0"/>
              <w:ind w:left="144" w:right="0" w:hanging="144"/>
              <w:jc w:val="left"/>
              <w:rPr/>
            </w:pPr>
            <w:hyperlink w:anchor="Balance_Sheet">
              <w:r>
                <w:rPr>
                  <w:rStyle w:val="InternetLink"/>
                  <w:rFonts w:ascii="Times New Roman;Times;serif" w:hAnsi="Times New Roman;Times;serif"/>
                  <w:sz w:val="20"/>
                  <w:shd w:fill="FFFFFF" w:val="clear"/>
                </w:rPr>
                <w:t>Consolidated Balance Sheets</w:t>
              </w:r>
            </w:hyperlink>
          </w:p>
        </w:tc>
        <w:tc>
          <w:tcPr>
            <w:tcW w:w="515" w:type="dxa"/>
            <w:tcBorders/>
            <w:vAlign w:val="center"/>
          </w:tcPr>
          <w:p>
            <w:pPr>
              <w:pStyle w:val="TableContents"/>
              <w:bidi w:val="0"/>
              <w:spacing w:before="0" w:after="0"/>
              <w:ind w:left="0" w:right="0" w:hanging="0"/>
              <w:jc w:val="center"/>
              <w:rPr/>
            </w:pPr>
            <w:hyperlink w:anchor="Balance_Sheet">
              <w:r>
                <w:rPr>
                  <w:rStyle w:val="InternetLink"/>
                  <w:rFonts w:ascii="Times New Roman;Times;serif" w:hAnsi="Times New Roman;Times;serif"/>
                  <w:sz w:val="20"/>
                </w:rPr>
                <w:t>F-3</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144" w:right="0" w:hanging="144"/>
              <w:jc w:val="left"/>
              <w:rPr/>
            </w:pPr>
            <w:hyperlink w:anchor="Ops">
              <w:r>
                <w:rPr>
                  <w:rStyle w:val="InternetLink"/>
                  <w:rFonts w:ascii="Times New Roman;Times;serif" w:hAnsi="Times New Roman;Times;serif"/>
                  <w:sz w:val="20"/>
                  <w:shd w:fill="FFFFFF" w:val="clear"/>
                </w:rPr>
                <w:t>Consolidated Statements of Operations</w:t>
              </w:r>
            </w:hyperlink>
          </w:p>
        </w:tc>
        <w:tc>
          <w:tcPr>
            <w:tcW w:w="515" w:type="dxa"/>
            <w:tcBorders/>
            <w:vAlign w:val="center"/>
          </w:tcPr>
          <w:p>
            <w:pPr>
              <w:pStyle w:val="TableContents"/>
              <w:bidi w:val="0"/>
              <w:spacing w:before="0" w:after="0"/>
              <w:ind w:left="0" w:right="0" w:hanging="0"/>
              <w:jc w:val="center"/>
              <w:rPr/>
            </w:pPr>
            <w:hyperlink w:anchor="Ops">
              <w:r>
                <w:rPr>
                  <w:rStyle w:val="InternetLink"/>
                  <w:rFonts w:ascii="Times New Roman;Times;serif" w:hAnsi="Times New Roman;Times;serif"/>
                  <w:sz w:val="20"/>
                </w:rPr>
                <w:t>F-4</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sz w:val="20"/>
                  <w:shd w:fill="FFFFFF" w:val="clear"/>
                </w:rPr>
                <w:t>Consolidated Statements of Comprehensive Loss</w:t>
              </w:r>
            </w:hyperlink>
          </w:p>
        </w:tc>
        <w:tc>
          <w:tcPr>
            <w:tcW w:w="515"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F-5</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144" w:right="0" w:hanging="144"/>
              <w:jc w:val="left"/>
              <w:rPr/>
            </w:pPr>
            <w:hyperlink w:anchor="Equity">
              <w:r>
                <w:rPr>
                  <w:rStyle w:val="InternetLink"/>
                  <w:rFonts w:ascii="Times New Roman;Times;serif" w:hAnsi="Times New Roman;Times;serif"/>
                  <w:sz w:val="20"/>
                  <w:shd w:fill="FFFFFF" w:val="clear"/>
                </w:rPr>
                <w:t>Consolidated Statements of Stockholders’ Equity</w:t>
              </w:r>
            </w:hyperlink>
          </w:p>
        </w:tc>
        <w:tc>
          <w:tcPr>
            <w:tcW w:w="515"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F-6</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144" w:right="0" w:hanging="144"/>
              <w:jc w:val="left"/>
              <w:rPr/>
            </w:pPr>
            <w:hyperlink w:anchor="Cash_Flows">
              <w:r>
                <w:rPr>
                  <w:rStyle w:val="InternetLink"/>
                  <w:rFonts w:ascii="Times New Roman;Times;serif" w:hAnsi="Times New Roman;Times;serif"/>
                  <w:sz w:val="20"/>
                  <w:shd w:fill="FFFFFF" w:val="clear"/>
                </w:rPr>
                <w:t>Consolidated Statements of Cash Flows</w:t>
              </w:r>
            </w:hyperlink>
          </w:p>
        </w:tc>
        <w:tc>
          <w:tcPr>
            <w:tcW w:w="515" w:type="dxa"/>
            <w:tcBorders/>
            <w:vAlign w:val="center"/>
          </w:tcPr>
          <w:p>
            <w:pPr>
              <w:pStyle w:val="TableContents"/>
              <w:bidi w:val="0"/>
              <w:spacing w:before="0" w:after="0"/>
              <w:ind w:left="0" w:right="0" w:hanging="0"/>
              <w:jc w:val="center"/>
              <w:rPr/>
            </w:pPr>
            <w:hyperlink w:anchor="Cash_Flows">
              <w:r>
                <w:rPr>
                  <w:rStyle w:val="InternetLink"/>
                  <w:rFonts w:ascii="Times New Roman;Times;serif" w:hAnsi="Times New Roman;Times;serif"/>
                  <w:sz w:val="20"/>
                </w:rPr>
                <w:t>F-7</w:t>
              </w:r>
            </w:hyperlink>
          </w:p>
        </w:tc>
      </w:tr>
      <w:tr>
        <w:trPr/>
        <w:tc>
          <w:tcPr>
            <w:tcW w:w="6860" w:type="dxa"/>
            <w:tcBorders/>
            <w:vAlign w:val="center"/>
          </w:tcPr>
          <w:p>
            <w:pPr>
              <w:pStyle w:val="TableContents"/>
              <w:bidi w:val="0"/>
              <w:spacing w:before="0" w:after="0"/>
              <w:ind w:left="144" w:right="0" w:hanging="144"/>
              <w:jc w:val="left"/>
              <w:rPr/>
            </w:pPr>
            <w:r>
              <w:rPr/>
              <w:t> </w:t>
            </w:r>
          </w:p>
        </w:tc>
        <w:tc>
          <w:tcPr>
            <w:tcW w:w="515" w:type="dxa"/>
            <w:tcBorders/>
            <w:vAlign w:val="center"/>
          </w:tcPr>
          <w:p>
            <w:pPr>
              <w:pStyle w:val="TableContents"/>
              <w:bidi w:val="0"/>
              <w:spacing w:before="0" w:after="0"/>
              <w:ind w:left="0" w:right="0" w:hanging="0"/>
              <w:jc w:val="center"/>
              <w:rPr/>
            </w:pPr>
            <w:r>
              <w:rPr/>
              <w:t> </w:t>
            </w:r>
          </w:p>
        </w:tc>
      </w:tr>
      <w:tr>
        <w:trPr/>
        <w:tc>
          <w:tcPr>
            <w:tcW w:w="6860" w:type="dxa"/>
            <w:tcBorders/>
            <w:vAlign w:val="center"/>
          </w:tcPr>
          <w:p>
            <w:pPr>
              <w:pStyle w:val="TableContents"/>
              <w:bidi w:val="0"/>
              <w:spacing w:before="0" w:after="0"/>
              <w:ind w:left="144" w:right="0" w:hanging="144"/>
              <w:jc w:val="left"/>
              <w:rPr/>
            </w:pPr>
            <w:hyperlink w:anchor="Notes">
              <w:r>
                <w:rPr>
                  <w:rStyle w:val="InternetLink"/>
                  <w:rFonts w:ascii="Times New Roman;Times;serif" w:hAnsi="Times New Roman;Times;serif"/>
                  <w:sz w:val="20"/>
                  <w:shd w:fill="FFFFFF" w:val="clear"/>
                </w:rPr>
                <w:t>Notes to Consolidated Financial Statements</w:t>
              </w:r>
            </w:hyperlink>
          </w:p>
        </w:tc>
        <w:tc>
          <w:tcPr>
            <w:tcW w:w="515"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F-8</w:t>
              </w:r>
            </w:hyperlink>
          </w:p>
        </w:tc>
      </w:tr>
    </w:tbl>
    <w:p>
      <w:pPr>
        <w:pStyle w:val="TextBody"/>
        <w:bidi w:val="0"/>
        <w:jc w:val="left"/>
        <w:rPr>
          <w:shd w:fill="FFFFFF" w:val="clear"/>
        </w:rPr>
      </w:pPr>
      <w:r>
        <w:rPr>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31" w:name="Report"/>
      <w:bookmarkEnd w:id="31"/>
      <w:r>
        <w:rPr>
          <w:rFonts w:ascii="Times New Roman;Times;serif" w:hAnsi="Times New Roman;Times;serif"/>
          <w:b/>
          <w:sz w:val="20"/>
          <w:shd w:fill="FFFFFF" w:val="clear"/>
        </w:rPr>
        <w:t>REPORT OF INDEPENDENT REGISTERED PUBLIC ACCOUNTING FIRM</w:t>
      </w:r>
      <w:r>
        <w:rPr>
          <w:rFonts w:ascii="Times New Roman;Times;serif" w:hAnsi="Times New Roman;Times;serif"/>
          <w:sz w:val="20"/>
          <w:shd w:fill="FFFFFF" w:val="clear"/>
        </w:rPr>
        <w:t> </w:t>
      </w:r>
    </w:p>
    <w:p>
      <w:pPr>
        <w:pStyle w:val="TextBody"/>
        <w:bidi w:val="0"/>
        <w:spacing w:before="0" w:after="0"/>
        <w:ind w:left="0" w:right="0" w:hanging="0"/>
        <w:jc w:val="center"/>
        <w:rPr/>
      </w:pPr>
      <w:r>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and Stockholders</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Applied Optoelectronics, Inc.</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340" w:right="0" w:hanging="180"/>
        <w:jc w:val="left"/>
        <w:rPr>
          <w:caps w:val="false"/>
          <w:smallCaps w:val="false"/>
        </w:rPr>
      </w:pPr>
      <w:r>
        <w:rPr>
          <w:caps w:val="false"/>
          <w:smallCaps w:val="false"/>
        </w:rPr>
        <w:t> </w:t>
      </w:r>
    </w:p>
    <w:p>
      <w:pPr>
        <w:pStyle w:val="TextBody"/>
        <w:bidi w:val="0"/>
        <w:spacing w:before="0" w:after="0"/>
        <w:ind w:left="340" w:right="0" w:hanging="18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Applied Optoelectronics, Inc. (a Delaware corporation)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26, 2026, expressed an unqualified opinion.</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340" w:right="0" w:hanging="18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 </w:t>
      </w:r>
    </w:p>
    <w:p>
      <w:pPr>
        <w:pStyle w:val="TextBody"/>
        <w:bidi w:val="0"/>
        <w:spacing w:before="0" w:after="0"/>
        <w:ind w:left="340" w:right="0" w:hanging="180"/>
        <w:jc w:val="left"/>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2008.</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Houston, Texas</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February 26, 2026</w:t>
      </w:r>
    </w:p>
    <w:p>
      <w:pPr>
        <w:pStyle w:val="TextBody"/>
        <w:bidi w:val="0"/>
        <w:spacing w:before="0" w:after="0"/>
        <w:ind w:left="18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32" w:name="Balance_Sheet"/>
      <w:bookmarkEnd w:id="32"/>
      <w:r>
        <w:rPr>
          <w:rFonts w:ascii="Times New Roman;Times;serif" w:hAnsi="Times New Roman;Times;serif"/>
          <w:b/>
          <w:sz w:val="20"/>
          <w:shd w:fill="FFFFFF" w:val="clear"/>
        </w:rPr>
        <w:t>Applied Optoelectronics, Inc. and Subsidiaries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CONSOLIDATED BALANCE SHEETS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(in thousands except the par value)</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915"/>
        <w:gridCol w:w="60"/>
        <w:gridCol w:w="125"/>
        <w:gridCol w:w="845"/>
        <w:gridCol w:w="80"/>
        <w:gridCol w:w="60"/>
        <w:gridCol w:w="125"/>
        <w:gridCol w:w="755"/>
        <w:gridCol w:w="240"/>
      </w:tblGrid>
      <w:tr>
        <w:trPr/>
        <w:tc>
          <w:tcPr>
            <w:tcW w:w="7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116,801</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88,135</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17,199</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301,268</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219,235</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791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9,646</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547,032</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104,969</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19,259</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22,091</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791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Current lease liability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Current portion of notes payable and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22,370</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170,069</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791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134,497</w:t>
            </w:r>
          </w:p>
        </w:tc>
        <w:tc>
          <w:tcPr>
            <w:tcW w:w="240" w:type="dxa"/>
            <w:tcBorders/>
            <w:shd w:fill="CCEEFF" w:val="clear"/>
            <w:vAlign w:val="center"/>
          </w:tcPr>
          <w:p>
            <w:pPr>
              <w:pStyle w:val="TableContents"/>
              <w:bidi w:val="0"/>
              <w:spacing w:before="0" w:after="283"/>
              <w:ind w:left="0" w:right="0" w:firstLine="180"/>
              <w:jc w:val="left"/>
              <w:rPr/>
            </w:pPr>
            <w:r>
              <w:rPr/>
              <w:t> </w:t>
            </w:r>
          </w:p>
        </w:tc>
      </w:tr>
      <w:tr>
        <w:trPr/>
        <w:tc>
          <w:tcPr>
            <w:tcW w:w="791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Non-current lease liability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9,041</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791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4,313</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317,920</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 Note 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Preferred Stock: 5,000 shares authorized at $0.001 par value; no shares issued and outstanding at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Common Stock; 120,000 shares authorized at $0.001 par value, 74,998 shares issued and outstanding at December 31, 2025; 80,000 shares authorized at $0.001 par value and, 49,393 shares issued at December 31,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240" w:type="dxa"/>
            <w:tcBorders/>
            <w:shd w:fill="FFFFFF" w:val="clear"/>
            <w:vAlign w:val="center"/>
          </w:tcPr>
          <w:p>
            <w:pPr>
              <w:pStyle w:val="TableContents"/>
              <w:bidi w:val="0"/>
              <w:spacing w:before="0" w:after="283"/>
              <w:jc w:val="left"/>
              <w:rPr/>
            </w:pPr>
            <w:r>
              <w:rPr/>
              <w:t> </w:t>
            </w:r>
          </w:p>
        </w:tc>
      </w:tr>
      <w:tr>
        <w:trPr/>
        <w:tc>
          <w:tcPr>
            <w:tcW w:w="791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1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(490,078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240" w:type="dxa"/>
            <w:tcBorders/>
            <w:shd w:fill="CCEEFF" w:val="clear"/>
            <w:vAlign w:val="center"/>
          </w:tcPr>
          <w:p>
            <w:pPr>
              <w:pStyle w:val="TableContents"/>
              <w:bidi w:val="0"/>
              <w:spacing w:before="0" w:after="283"/>
              <w:jc w:val="left"/>
              <w:rPr/>
            </w:pPr>
            <w:r>
              <w:rPr/>
              <w:t> </w:t>
            </w:r>
          </w:p>
        </w:tc>
      </w:tr>
      <w:tr>
        <w:trPr/>
        <w:tc>
          <w:tcPr>
            <w:tcW w:w="7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1,168,423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547,032</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33" w:name="Ops"/>
      <w:bookmarkEnd w:id="33"/>
      <w:r>
        <w:rPr>
          <w:rFonts w:ascii="Times New Roman;Times;serif" w:hAnsi="Times New Roman;Times;serif"/>
          <w:b/>
          <w:sz w:val="20"/>
          <w:shd w:fill="FFFFFF" w:val="clear"/>
        </w:rPr>
        <w:t>Applied Optoelectronics, Inc. and Subsidiaries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CONSOLIDATED STATEMENTS OF OPERATIONS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(in thousands, except share and per share data)</w:t>
      </w:r>
    </w:p>
    <w:p>
      <w:pPr>
        <w:pStyle w:val="TextBody"/>
        <w:bidi w:val="0"/>
        <w:spacing w:before="0" w:after="0"/>
        <w:ind w:left="0" w:right="0" w:hanging="0"/>
        <w:jc w:val="center"/>
        <w:rPr/>
      </w:pPr>
      <w:r>
        <w:rPr/>
        <w:t> </w:t>
      </w:r>
    </w:p>
    <w:tbl>
      <w:tblPr>
        <w:tblW w:w="8540" w:type="dxa"/>
        <w:jc w:val="left"/>
        <w:tblInd w:w="0" w:type="dxa"/>
        <w:tblLayout w:type="fixed"/>
        <w:tblCellMar>
          <w:top w:w="0" w:type="dxa"/>
          <w:left w:w="0" w:type="dxa"/>
          <w:bottom w:w="0" w:type="dxa"/>
          <w:right w:w="0" w:type="dxa"/>
        </w:tblCellMar>
      </w:tblPr>
      <w:tblGrid>
        <w:gridCol w:w="4895"/>
        <w:gridCol w:w="60"/>
        <w:gridCol w:w="125"/>
        <w:gridCol w:w="950"/>
        <w:gridCol w:w="80"/>
        <w:gridCol w:w="60"/>
        <w:gridCol w:w="125"/>
        <w:gridCol w:w="950"/>
        <w:gridCol w:w="80"/>
        <w:gridCol w:w="60"/>
        <w:gridCol w:w="125"/>
        <w:gridCol w:w="95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217,646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158,725</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58,921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35,975</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11,069</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53,226</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100,270</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60,183,987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41,538,551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31,944,259</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60,183,987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41,538,551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31,944,259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34" w:name="Income"/>
      <w:bookmarkEnd w:id="34"/>
      <w:r>
        <w:rPr>
          <w:rFonts w:ascii="Times New Roman;Times;serif" w:hAnsi="Times New Roman;Times;serif"/>
          <w:b/>
          <w:sz w:val="20"/>
          <w:shd w:fill="FFFFFF" w:val="clear"/>
        </w:rPr>
        <w:t>Applied Optoelectronics, Inc. and Subsidiaries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CONSOLIDATED STATEMENTS OF COMPREHENSIVE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(in thousands)</w:t>
      </w:r>
      <w:r>
        <w:rPr>
          <w:rFonts w:ascii="Times New Roman;Times;serif" w:hAnsi="Times New Roman;Times;serif"/>
          <w:sz w:val="20"/>
          <w:shd w:fill="FFFFFF" w:val="clear"/>
        </w:rPr>
        <w:t> </w:t>
      </w:r>
    </w:p>
    <w:p>
      <w:pPr>
        <w:pStyle w:val="TextBody"/>
        <w:bidi w:val="0"/>
        <w:spacing w:before="0" w:after="0"/>
        <w:ind w:left="0" w:right="0" w:hanging="0"/>
        <w:jc w:val="center"/>
        <w:rPr/>
      </w:pPr>
      <w:r>
        <w:rPr/>
        <w:t> </w:t>
      </w:r>
    </w:p>
    <w:tbl>
      <w:tblPr>
        <w:tblW w:w="7235" w:type="dxa"/>
        <w:jc w:val="left"/>
        <w:tblInd w:w="0" w:type="dxa"/>
        <w:tblLayout w:type="fixed"/>
        <w:tblCellMar>
          <w:top w:w="0" w:type="dxa"/>
          <w:left w:w="0" w:type="dxa"/>
          <w:bottom w:w="0" w:type="dxa"/>
          <w:right w:w="0" w:type="dxa"/>
        </w:tblCellMar>
      </w:tblPr>
      <w:tblGrid>
        <w:gridCol w:w="4385"/>
        <w:gridCol w:w="60"/>
        <w:gridCol w:w="125"/>
        <w:gridCol w:w="650"/>
        <w:gridCol w:w="80"/>
        <w:gridCol w:w="60"/>
        <w:gridCol w:w="125"/>
        <w:gridCol w:w="755"/>
        <w:gridCol w:w="80"/>
        <w:gridCol w:w="60"/>
        <w:gridCol w:w="125"/>
        <w:gridCol w:w="650"/>
        <w:gridCol w:w="80"/>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consolidated financial statements.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35" w:name="Equity"/>
      <w:bookmarkEnd w:id="35"/>
      <w:r>
        <w:rPr>
          <w:rFonts w:ascii="Times New Roman;Times;serif" w:hAnsi="Times New Roman;Times;serif"/>
          <w:b/>
          <w:sz w:val="20"/>
          <w:shd w:fill="FFFFFF" w:val="clear"/>
        </w:rPr>
        <w:t>Applied Optoelectronics, Inc. and Subsidiaries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CONSOLIDATED STATEMENTS OF STOCKHOLDERS’ EQUITY</w:t>
      </w:r>
    </w:p>
    <w:p>
      <w:pPr>
        <w:pStyle w:val="TextBody"/>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Years ended December 2023, 2024 and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(in thousands)</w:t>
      </w:r>
      <w:r>
        <w:rPr>
          <w:rFonts w:ascii="Times New Roman;Times;serif" w:hAnsi="Times New Roman;Times;serif"/>
          <w:sz w:val="20"/>
          <w:shd w:fill="FFFFFF" w:val="clear"/>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2552"/>
        <w:gridCol w:w="60"/>
        <w:gridCol w:w="124"/>
        <w:gridCol w:w="540"/>
        <w:gridCol w:w="70"/>
        <w:gridCol w:w="70"/>
        <w:gridCol w:w="184"/>
        <w:gridCol w:w="436"/>
        <w:gridCol w:w="60"/>
        <w:gridCol w:w="60"/>
        <w:gridCol w:w="68"/>
        <w:gridCol w:w="596"/>
        <w:gridCol w:w="61"/>
        <w:gridCol w:w="61"/>
        <w:gridCol w:w="184"/>
        <w:gridCol w:w="436"/>
        <w:gridCol w:w="60"/>
        <w:gridCol w:w="60"/>
        <w:gridCol w:w="110"/>
        <w:gridCol w:w="740"/>
        <w:gridCol w:w="80"/>
        <w:gridCol w:w="60"/>
        <w:gridCol w:w="205"/>
        <w:gridCol w:w="910"/>
        <w:gridCol w:w="80"/>
        <w:gridCol w:w="60"/>
        <w:gridCol w:w="147"/>
        <w:gridCol w:w="893"/>
        <w:gridCol w:w="80"/>
        <w:gridCol w:w="60"/>
        <w:gridCol w:w="141"/>
        <w:gridCol w:w="856"/>
        <w:gridCol w:w="101"/>
      </w:tblGrid>
      <w:tr>
        <w:trPr/>
        <w:tc>
          <w:tcPr>
            <w:tcW w:w="2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center"/>
              <w:rPr/>
            </w:pPr>
            <w:r>
              <w:rPr>
                <w:rStyle w:val="Emphasis"/>
              </w:rPr>
              <w:t> </w:t>
            </w:r>
          </w:p>
        </w:tc>
        <w:tc>
          <w:tcPr>
            <w:tcW w:w="70" w:type="dxa"/>
            <w:tcBorders/>
            <w:shd w:fill="FFFFFF" w:val="clear"/>
            <w:vAlign w:val="center"/>
          </w:tcPr>
          <w:p>
            <w:pPr>
              <w:pStyle w:val="TableContents"/>
              <w:bidi w:val="0"/>
              <w:spacing w:before="0" w:after="283"/>
              <w:jc w:val="left"/>
              <w:rPr>
                <w:shd w:fill="FFFFFF" w:val="clear"/>
              </w:rPr>
            </w:pPr>
            <w:r>
              <w:rPr>
                <w:shd w:fill="FFFFFF" w:val="clea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rStyle w:val="Emphasis"/>
              </w:rPr>
              <w:t> </w:t>
            </w:r>
          </w:p>
        </w:tc>
        <w:tc>
          <w:tcPr>
            <w:tcW w:w="61" w:type="dxa"/>
            <w:tcBorders/>
            <w:shd w:fill="FFFFFF" w:val="clear"/>
            <w:vAlign w:val="center"/>
          </w:tcPr>
          <w:p>
            <w:pPr>
              <w:pStyle w:val="TableContents"/>
              <w:bidi w:val="0"/>
              <w:spacing w:before="0" w:after="283"/>
              <w:jc w:val="left"/>
              <w:rPr>
                <w:shd w:fill="FFFFFF" w:val="clear"/>
              </w:rPr>
            </w:pPr>
            <w:r>
              <w:rPr>
                <w:shd w:fill="FFFFFF" w:val="clea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rStyle w:val="Emphasis"/>
              </w:rPr>
              <w:t> </w:t>
            </w:r>
          </w:p>
        </w:tc>
        <w:tc>
          <w:tcPr>
            <w:tcW w:w="101"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pPr>
            <w:r>
              <w:rPr>
                <w:rStyle w:val="Emphasis"/>
              </w:rPr>
              <w:t> </w:t>
            </w:r>
          </w:p>
        </w:tc>
        <w:tc>
          <w:tcPr>
            <w:tcW w:w="101"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Number</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18"/>
              </w:rPr>
              <w:t>Stockholders'</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of shares</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gain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equity</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2022</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28,622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391,526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(209,068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184,670</w:t>
            </w:r>
          </w:p>
        </w:tc>
        <w:tc>
          <w:tcPr>
            <w:tcW w:w="101" w:type="dxa"/>
            <w:tcBorders/>
            <w:shd w:fill="CCEEFF" w:val="clear"/>
            <w:vAlign w:val="center"/>
          </w:tcPr>
          <w:p>
            <w:pPr>
              <w:pStyle w:val="TableContents"/>
              <w:bidi w:val="0"/>
              <w:spacing w:before="0" w:after="283"/>
              <w:ind w:left="0" w:right="0" w:hanging="0"/>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offering of common stock, net</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40" w:type="dxa"/>
            <w:tcBorders/>
            <w:shd w:fill="FFFFFF" w:val="clear"/>
            <w:vAlign w:val="center"/>
          </w:tcPr>
          <w:p>
            <w:pPr>
              <w:pStyle w:val="TableContents"/>
              <w:bidi w:val="0"/>
              <w:spacing w:before="0" w:after="0"/>
              <w:ind w:left="0" w:right="0" w:hanging="0"/>
              <w:jc w:val="righ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9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8,275</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76,498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89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85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76,506</w:t>
            </w:r>
          </w:p>
        </w:tc>
        <w:tc>
          <w:tcPr>
            <w:tcW w:w="101" w:type="dxa"/>
            <w:tcBorders/>
            <w:shd w:fill="FFFFFF" w:val="clear"/>
            <w:vAlign w:val="center"/>
          </w:tcPr>
          <w:p>
            <w:pPr>
              <w:pStyle w:val="TableContents"/>
              <w:bidi w:val="0"/>
              <w:spacing w:before="0" w:after="0"/>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options exercised,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w:t>
            </w:r>
          </w:p>
        </w:tc>
        <w:tc>
          <w:tcPr>
            <w:tcW w:w="101" w:type="dxa"/>
            <w:tcBorders/>
            <w:shd w:fill="CCEEFF" w:val="clear"/>
            <w:vAlign w:val="center"/>
          </w:tcPr>
          <w:p>
            <w:pPr>
              <w:pStyle w:val="TableContents"/>
              <w:bidi w:val="0"/>
              <w:spacing w:before="0" w:after="283"/>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(956</w:t>
            </w:r>
          </w:p>
        </w:tc>
        <w:tc>
          <w:tcPr>
            <w:tcW w:w="10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11,884</w:t>
            </w:r>
          </w:p>
        </w:tc>
        <w:tc>
          <w:tcPr>
            <w:tcW w:w="101" w:type="dxa"/>
            <w:tcBorders/>
            <w:shd w:fill="CCEEFF" w:val="clear"/>
            <w:vAlign w:val="center"/>
          </w:tcPr>
          <w:p>
            <w:pPr>
              <w:pStyle w:val="TableContents"/>
              <w:bidi w:val="0"/>
              <w:spacing w:before="0" w:after="283"/>
              <w:ind w:left="0" w:right="0" w:hanging="0"/>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40" w:type="dxa"/>
            <w:tcBorders/>
            <w:shd w:fill="FFFFFF" w:val="cle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96" w:type="dxa"/>
            <w:tcBorders/>
            <w:shd w:fill="FFFFFF" w:val="clear"/>
            <w:vAlign w:val="center"/>
          </w:tcPr>
          <w:p>
            <w:pPr>
              <w:pStyle w:val="TableContents"/>
              <w:bidi w:val="0"/>
              <w:spacing w:before="0" w:after="0"/>
              <w:ind w:left="0" w:right="0" w:hanging="0"/>
              <w:jc w:val="right"/>
              <w:rPr/>
            </w:pPr>
            <w:r>
              <w:rPr>
                <w:rStyle w:val="Emphasis"/>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89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85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(1,208</w:t>
            </w:r>
          </w:p>
        </w:tc>
        <w:tc>
          <w:tcPr>
            <w:tcW w:w="101"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(56,048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(56,048</w:t>
            </w:r>
          </w:p>
        </w:tc>
        <w:tc>
          <w:tcPr>
            <w:tcW w:w="101"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2023</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38,148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214,869</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offering of common stock, net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9,968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196,836</w:t>
            </w:r>
          </w:p>
        </w:tc>
        <w:tc>
          <w:tcPr>
            <w:tcW w:w="101" w:type="dxa"/>
            <w:tcBorders/>
            <w:shd w:fill="CCEEFF" w:val="clear"/>
            <w:vAlign w:val="center"/>
          </w:tcPr>
          <w:p>
            <w:pPr>
              <w:pStyle w:val="TableContents"/>
              <w:bidi w:val="0"/>
              <w:spacing w:before="0" w:after="283"/>
              <w:ind w:left="0" w:right="0" w:hanging="0"/>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options exercised, net of shares withheld for employee tax</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40" w:type="dxa"/>
            <w:tcBorders/>
            <w:shd w:fill="FFFFFF" w:val="clear"/>
            <w:vAlign w:val="center"/>
          </w:tcPr>
          <w:p>
            <w:pPr>
              <w:pStyle w:val="TableContents"/>
              <w:bidi w:val="0"/>
              <w:spacing w:before="0" w:after="0"/>
              <w:ind w:left="0" w:right="0" w:hanging="0"/>
              <w:jc w:val="righ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96" w:type="dxa"/>
            <w:tcBorders/>
            <w:shd w:fill="FFFFFF" w:val="clear"/>
            <w:vAlign w:val="center"/>
          </w:tcPr>
          <w:p>
            <w:pPr>
              <w:pStyle w:val="TableContents"/>
              <w:bidi w:val="0"/>
              <w:spacing w:before="0" w:after="0"/>
              <w:ind w:left="0" w:right="0" w:hanging="0"/>
              <w:jc w:val="right"/>
              <w:rPr/>
            </w:pPr>
            <w:r>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89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85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1"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(4,333</w:t>
            </w:r>
          </w:p>
        </w:tc>
        <w:tc>
          <w:tcPr>
            <w:tcW w:w="10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12,000</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(3,525</w:t>
            </w:r>
          </w:p>
        </w:tc>
        <w:tc>
          <w:tcPr>
            <w:tcW w:w="10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(186,733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(186,733</w:t>
            </w:r>
          </w:p>
        </w:tc>
        <w:tc>
          <w:tcPr>
            <w:tcW w:w="101" w:type="dxa"/>
            <w:tcBorders/>
            <w:shd w:fill="FFFF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2024</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49,393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229,112</w:t>
            </w:r>
          </w:p>
        </w:tc>
        <w:tc>
          <w:tcPr>
            <w:tcW w:w="101" w:type="dxa"/>
            <w:tcBorders/>
            <w:shd w:fill="CCEEFF" w:val="clear"/>
            <w:vAlign w:val="center"/>
          </w:tcPr>
          <w:p>
            <w:pPr>
              <w:pStyle w:val="TableContents"/>
              <w:bidi w:val="0"/>
              <w:spacing w:before="0" w:after="283"/>
              <w:ind w:left="0" w:right="0" w:hanging="0"/>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offering of common stock, net</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40" w:type="dxa"/>
            <w:tcBorders/>
            <w:shd w:fill="FFFFFF" w:val="clear"/>
            <w:vAlign w:val="center"/>
          </w:tcPr>
          <w:p>
            <w:pPr>
              <w:pStyle w:val="TableContents"/>
              <w:bidi w:val="0"/>
              <w:spacing w:before="0" w:after="0"/>
              <w:ind w:left="0" w:right="0" w:hanging="0"/>
              <w:jc w:val="right"/>
              <w:rPr/>
            </w:pPr>
            <w:r>
              <w:rPr/>
              <w:t>—</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9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23,750</w:t>
            </w:r>
          </w:p>
        </w:tc>
        <w:tc>
          <w:tcPr>
            <w:tcW w:w="61" w:type="dxa"/>
            <w:tcBorders/>
            <w:shd w:fill="FFFFFF" w:val="clear"/>
            <w:vAlign w:val="center"/>
          </w:tcPr>
          <w:p>
            <w:pPr>
              <w:pStyle w:val="TableContents"/>
              <w:bidi w:val="0"/>
              <w:spacing w:before="0" w:after="0"/>
              <w:ind w:left="0" w:right="0" w:hanging="0"/>
              <w:jc w:val="left"/>
              <w:rPr/>
            </w:pPr>
            <w:r>
              <w:rPr/>
              <w:t> </w:t>
            </w:r>
          </w:p>
        </w:tc>
        <w:tc>
          <w:tcPr>
            <w:tcW w:w="61"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43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518,891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89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856" w:type="dxa"/>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518,915</w:t>
            </w:r>
          </w:p>
        </w:tc>
        <w:tc>
          <w:tcPr>
            <w:tcW w:w="101" w:type="dxa"/>
            <w:tcBorders/>
            <w:shd w:fill="FFFFFF" w:val="clear"/>
            <w:vAlign w:val="center"/>
          </w:tcPr>
          <w:p>
            <w:pPr>
              <w:pStyle w:val="TableContents"/>
              <w:bidi w:val="0"/>
              <w:spacing w:before="0" w:after="0"/>
              <w:ind w:left="0" w:right="0" w:hanging="0"/>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restricted stock, net of shares withheld for employee tax</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shd w:fill="CCEEFF" w:val="clear"/>
            <w:vAlign w:val="center"/>
          </w:tcPr>
          <w:p>
            <w:pPr>
              <w:pStyle w:val="TableContents"/>
              <w:bidi w:val="0"/>
              <w:spacing w:before="0" w:after="0"/>
              <w:ind w:left="0" w:right="0" w:hanging="0"/>
              <w:jc w:val="left"/>
              <w:rPr/>
            </w:pPr>
            <w:r>
              <w:rPr/>
              <w:t> </w:t>
            </w:r>
          </w:p>
        </w:tc>
        <w:tc>
          <w:tcPr>
            <w:tcW w:w="540" w:type="dxa"/>
            <w:tcBorders/>
            <w:shd w:fill="CCEEFF" w:val="clear"/>
            <w:vAlign w:val="center"/>
          </w:tcPr>
          <w:p>
            <w:pPr>
              <w:pStyle w:val="TableContents"/>
              <w:bidi w:val="0"/>
              <w:spacing w:before="0" w:after="0"/>
              <w:ind w:left="0" w:right="0" w:hanging="0"/>
              <w:jc w:val="right"/>
              <w:rPr/>
            </w:pPr>
            <w:r>
              <w:rPr/>
              <w:t>—</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1,616</w:t>
            </w:r>
          </w:p>
        </w:tc>
        <w:tc>
          <w:tcPr>
            <w:tcW w:w="61" w:type="dxa"/>
            <w:tcBorders/>
            <w:shd w:fill="CCEEFF" w:val="clear"/>
            <w:vAlign w:val="center"/>
          </w:tcPr>
          <w:p>
            <w:pPr>
              <w:pStyle w:val="TableContents"/>
              <w:bidi w:val="0"/>
              <w:spacing w:before="0" w:after="0"/>
              <w:ind w:left="0" w:right="0" w:hanging="0"/>
              <w:jc w:val="left"/>
              <w:rPr/>
            </w:pPr>
            <w:r>
              <w:rPr/>
              <w:t> </w:t>
            </w:r>
          </w:p>
        </w:tc>
        <w:tc>
          <w:tcPr>
            <w:tcW w:w="61"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(10,453</w:t>
            </w:r>
          </w:p>
        </w:tc>
        <w:tc>
          <w:tcPr>
            <w:tcW w:w="101" w:type="dxa"/>
            <w:tcBorders/>
            <w:shd w:fill="CCEEFF" w:val="clear"/>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11,710</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1,932</w:t>
            </w:r>
          </w:p>
        </w:tc>
        <w:tc>
          <w:tcPr>
            <w:tcW w:w="101" w:type="dxa"/>
            <w:tcBorders/>
            <w:shd w:fill="CCEEFF" w:val="clear"/>
            <w:vAlign w:val="center"/>
          </w:tcPr>
          <w:p>
            <w:pPr>
              <w:pStyle w:val="TableContents"/>
              <w:bidi w:val="0"/>
              <w:spacing w:before="0" w:after="283"/>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exchanged to shares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0" w:type="dxa"/>
            <w:tcBorders/>
            <w:shd w:fill="FFFFFF" w:val="clear"/>
            <w:vAlign w:val="center"/>
          </w:tcPr>
          <w:p>
            <w:pPr>
              <w:pStyle w:val="TableContents"/>
              <w:bidi w:val="0"/>
              <w:spacing w:before="0" w:after="283"/>
              <w:ind w:left="0" w:right="0" w:hanging="0"/>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9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9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3,500</w:t>
            </w:r>
          </w:p>
        </w:tc>
        <w:tc>
          <w:tcPr>
            <w:tcW w:w="101" w:type="dxa"/>
            <w:tcBorders/>
            <w:shd w:fill="FFFFFF" w:val="clear"/>
            <w:vAlign w:val="center"/>
          </w:tcPr>
          <w:p>
            <w:pPr>
              <w:pStyle w:val="TableContents"/>
              <w:bidi w:val="0"/>
              <w:spacing w:before="0" w:after="283"/>
              <w:jc w:val="left"/>
              <w:rPr/>
            </w:pPr>
            <w:r>
              <w:rPr/>
              <w:t> </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Warrants contra revenue</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0" w:type="dxa"/>
            <w:tcBorders/>
            <w:shd w:fill="CCEEFF" w:val="clear"/>
            <w:vAlign w:val="center"/>
          </w:tcPr>
          <w:p>
            <w:pPr>
              <w:pStyle w:val="TableContents"/>
              <w:bidi w:val="0"/>
              <w:spacing w:before="0" w:after="283"/>
              <w:ind w:left="0" w:right="0" w:hanging="0"/>
              <w:jc w:val="right"/>
              <w:rPr/>
            </w:pPr>
            <w:r>
              <w:rPr>
                <w:rStyle w:val="Emphasis"/>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96"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9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17,430</w:t>
            </w:r>
          </w:p>
        </w:tc>
        <w:tc>
          <w:tcPr>
            <w:tcW w:w="101" w:type="dxa"/>
            <w:tcBorders/>
            <w:shd w:fill="CCEEFF" w:val="clear"/>
            <w:vAlign w:val="center"/>
          </w:tcPr>
          <w:p>
            <w:pPr>
              <w:pStyle w:val="TableContents"/>
              <w:bidi w:val="0"/>
              <w:spacing w:before="0" w:after="283"/>
              <w:jc w:val="left"/>
              <w:rPr/>
            </w:pPr>
            <w:r>
              <w:rPr/>
              <w:t> </w:t>
            </w:r>
          </w:p>
        </w:tc>
      </w:tr>
      <w:tr>
        <w:trPr/>
        <w:tc>
          <w:tcPr>
            <w:tcW w:w="2552"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(38,228</w:t>
            </w:r>
          </w:p>
        </w:tc>
        <w:tc>
          <w:tcPr>
            <w:tcW w:w="10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December 31, 2025</w:t>
            </w:r>
          </w:p>
        </w:tc>
        <w:tc>
          <w:tcPr>
            <w:tcW w:w="60" w:type="dxa"/>
            <w:tcBorders/>
            <w:shd w:fill="CCEEFF" w:val="clear"/>
            <w:vAlign w:val="center"/>
          </w:tcPr>
          <w:p>
            <w:pPr>
              <w:pStyle w:val="TableContents"/>
              <w:bidi w:val="0"/>
              <w:spacing w:before="0" w:after="283"/>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74,998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1,224,538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(490,078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733,918</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consolidated financial statements.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shd w:fill="FFFFFF" w:val="clear"/>
        </w:rPr>
      </w:pPr>
      <w:bookmarkStart w:id="36" w:name="Cash_Flows"/>
      <w:bookmarkEnd w:id="36"/>
      <w:r>
        <w:rPr>
          <w:rFonts w:ascii="Times New Roman;Times;serif" w:hAnsi="Times New Roman;Times;serif"/>
          <w:b/>
          <w:sz w:val="20"/>
          <w:shd w:fill="FFFFFF" w:val="clear"/>
        </w:rPr>
        <w:t>Applied Optoelectronics,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CONSOLIDATED STATEMENTS OF CASH FLOWS</w:t>
      </w:r>
      <w:r>
        <w:rPr>
          <w:rFonts w:ascii="Times New Roman;Times;serif" w:hAnsi="Times New Roman;Times;serif"/>
          <w:sz w:val="20"/>
          <w:shd w:fill="FFFFFF" w:val="clea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(in thousands)</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tbl>
      <w:tblPr>
        <w:tblW w:w="9710" w:type="dxa"/>
        <w:jc w:val="left"/>
        <w:tblInd w:w="0" w:type="dxa"/>
        <w:tblLayout w:type="fixed"/>
        <w:tblCellMar>
          <w:top w:w="0" w:type="dxa"/>
          <w:left w:w="0" w:type="dxa"/>
          <w:bottom w:w="0" w:type="dxa"/>
          <w:right w:w="0" w:type="dxa"/>
        </w:tblCellMar>
      </w:tblPr>
      <w:tblGrid>
        <w:gridCol w:w="6590"/>
        <w:gridCol w:w="60"/>
        <w:gridCol w:w="110"/>
        <w:gridCol w:w="665"/>
        <w:gridCol w:w="80"/>
        <w:gridCol w:w="60"/>
        <w:gridCol w:w="110"/>
        <w:gridCol w:w="665"/>
        <w:gridCol w:w="80"/>
        <w:gridCol w:w="60"/>
        <w:gridCol w:w="110"/>
        <w:gridCol w:w="665"/>
        <w:gridCol w:w="455"/>
      </w:tblGrid>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6"/>
              </w:rPr>
              <w:t>Year ended December 31,</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6"/>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6"/>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6"/>
              </w:rPr>
              <w:t>2023</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(186,733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(56,048</w:t>
            </w:r>
          </w:p>
        </w:tc>
        <w:tc>
          <w:tcPr>
            <w:tcW w:w="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firstLine="360"/>
              <w:jc w:val="left"/>
              <w:rPr/>
            </w:pPr>
            <w:r>
              <w:rPr/>
              <w:t> </w:t>
            </w:r>
          </w:p>
        </w:tc>
      </w:tr>
      <w:tr>
        <w:trPr/>
        <w:tc>
          <w:tcPr>
            <w:tcW w:w="6590" w:type="dxa"/>
            <w:tcBorders/>
            <w:shd w:fill="FFFFFF" w:val="clear"/>
            <w:vAlign w:val="center"/>
          </w:tcPr>
          <w:p>
            <w:pPr>
              <w:pStyle w:val="TableContents"/>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Allowance for credit losses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w:t>
            </w:r>
          </w:p>
        </w:tc>
        <w:tc>
          <w:tcPr>
            <w:tcW w:w="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8,728</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20,427</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Amortization of debt issuance cost and premium</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2,308</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Gain on disposal of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11,884</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Deferred income tax</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455" w:type="dxa"/>
            <w:tcBorders/>
            <w:shd w:fill="FFFFFF" w:val="clear"/>
            <w:vAlign w:val="center"/>
          </w:tcPr>
          <w:p>
            <w:pPr>
              <w:pStyle w:val="TableContents"/>
              <w:bidi w:val="0"/>
              <w:spacing w:before="0" w:after="283"/>
              <w:ind w:left="0" w:right="0" w:hanging="0"/>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debt extinguishment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111,962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firstLine="360"/>
              <w:jc w:val="left"/>
              <w:rPr/>
            </w:pPr>
            <w:r>
              <w:rPr/>
              <w:t> </w:t>
            </w:r>
          </w:p>
        </w:tc>
      </w:tr>
      <w:tr>
        <w:trPr/>
        <w:tc>
          <w:tcPr>
            <w:tcW w:w="6590" w:type="dxa"/>
            <w:tcBorders/>
            <w:shd w:fill="FFFFFF" w:val="clear"/>
            <w:vAlign w:val="center"/>
          </w:tcPr>
          <w:p>
            <w:pPr>
              <w:pStyle w:val="TableContents"/>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Warrants contra revenue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Unrealized foreign exchange loss (gain)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(1,313</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Accounts receivable, trade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(127,597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13,208</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Inventories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(100,722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6,790</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Other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1,008</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Operating right of use asset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530</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Accounts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(14,953</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Accrued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26,511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1,332</w:t>
            </w:r>
          </w:p>
        </w:tc>
        <w:tc>
          <w:tcPr>
            <w:tcW w:w="455" w:type="dxa"/>
            <w:tcBorders/>
            <w:shd w:fill="FFFFFF" w:val="clear"/>
            <w:vAlign w:val="center"/>
          </w:tcPr>
          <w:p>
            <w:pPr>
              <w:pStyle w:val="TableContents"/>
              <w:bidi w:val="0"/>
              <w:spacing w:before="0" w:after="283"/>
              <w:ind w:left="0" w:right="0" w:firstLine="360"/>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Unearned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w:t>
            </w:r>
          </w:p>
        </w:tc>
        <w:tc>
          <w:tcPr>
            <w:tcW w:w="455" w:type="dxa"/>
            <w:tcBorders/>
            <w:shd w:fill="CCEEFF" w:val="clear"/>
            <w:vAlign w:val="center"/>
          </w:tcPr>
          <w:p>
            <w:pPr>
              <w:pStyle w:val="TableContents"/>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Lease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(660</w:t>
            </w:r>
          </w:p>
        </w:tc>
        <w:tc>
          <w:tcPr>
            <w:tcW w:w="455"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(174,428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(69,526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(7,929</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Investing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(179,148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(9,079</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Proceeds from disposal of equipment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Deposits and prepayment for equipment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(5,229</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w:t>
            </w:r>
          </w:p>
        </w:tc>
        <w:tc>
          <w:tcPr>
            <w:tcW w:w="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(50,697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(14,761</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Proceeds from line of credit borrowings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57,626</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Repayments of line of credit borrowings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(45,029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(172,005</w:t>
            </w:r>
          </w:p>
        </w:tc>
        <w:tc>
          <w:tcPr>
            <w:tcW w:w="4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Proceeds from bank acceptance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57,057</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Repayments of bank acceptance payable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(53,748</w:t>
            </w:r>
          </w:p>
        </w:tc>
        <w:tc>
          <w:tcPr>
            <w:tcW w:w="455"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on issuance convertible Notes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Process from issuance of convertible senior notes, net of debt issuance cost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83,661</w:t>
            </w:r>
          </w:p>
        </w:tc>
        <w:tc>
          <w:tcPr>
            <w:tcW w:w="455" w:type="dxa"/>
            <w:tcBorders/>
            <w:shd w:fill="FFFFFF" w:val="clear"/>
            <w:vAlign w:val="center"/>
          </w:tcPr>
          <w:p>
            <w:pPr>
              <w:pStyle w:val="TableContents"/>
              <w:bidi w:val="0"/>
              <w:spacing w:before="0" w:after="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Principal payments of financing lease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4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Payments of tax withholding on behalf of employees related to share-based compensation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(956</w:t>
            </w:r>
          </w:p>
        </w:tc>
        <w:tc>
          <w:tcPr>
            <w:tcW w:w="455" w:type="dxa"/>
            <w:tcBorders/>
            <w:shd w:fill="CCEEFF" w:val="clear"/>
            <w:vAlign w:val="center"/>
          </w:tcPr>
          <w:p>
            <w:pPr>
              <w:pStyle w:val="TableContents"/>
              <w:bidi w:val="0"/>
              <w:spacing w:before="0" w:after="283"/>
              <w:ind w:left="0" w:right="0" w:firstLine="180"/>
              <w:jc w:val="left"/>
              <w:rPr>
                <w:rFonts w:ascii="Times New Roman;Times;serif" w:hAnsi="Times New Roman;Times;serif"/>
                <w:sz w:val="16"/>
              </w:rPr>
            </w:pPr>
            <w:r>
              <w:rPr>
                <w:rFonts w:ascii="Times New Roman;Times;serif" w:hAnsi="Times New Roman;Times;serif"/>
                <w:sz w:val="16"/>
              </w:rPr>
              <w:t>)</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common stock offering, net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518,914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146,293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68,984</w:t>
            </w:r>
          </w:p>
        </w:tc>
        <w:tc>
          <w:tcPr>
            <w:tcW w:w="455"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settlement of share-based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527,941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40,578</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1,622</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19,510</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35,587</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216,035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55,097</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Times;serif" w:hAnsi="Times New Roman;Times;serif"/>
                <w:sz w:val="16"/>
              </w:rPr>
            </w:pPr>
            <w:r>
              <w:rPr>
                <w:rFonts w:ascii="Times New Roman;Times;serif" w:hAnsi="Times New Roman;Times;serif"/>
                <w:sz w:val="16"/>
              </w:rPr>
              <w:t>Cash paid for: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8,098</w:t>
            </w:r>
          </w:p>
        </w:tc>
        <w:tc>
          <w:tcPr>
            <w:tcW w:w="455" w:type="dxa"/>
            <w:tcBorders/>
            <w:shd w:fill="CCEEFF" w:val="clear"/>
            <w:vAlign w:val="center"/>
          </w:tcPr>
          <w:p>
            <w:pPr>
              <w:pStyle w:val="TableContents"/>
              <w:bidi w:val="0"/>
              <w:spacing w:before="0" w:after="283"/>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paid, net of refunds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455"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U.S. Federal</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455" w:type="dxa"/>
            <w:tcBorders/>
            <w:shd w:fill="CCEEFF" w:val="clear"/>
            <w:vAlign w:val="center"/>
          </w:tcPr>
          <w:p>
            <w:pPr>
              <w:pStyle w:val="TableContents"/>
              <w:bidi w:val="0"/>
              <w:spacing w:before="0" w:after="0"/>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U.S. State and Local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455" w:type="dxa"/>
            <w:tcBorders/>
            <w:shd w:fill="FFFFFF" w:val="clear"/>
            <w:vAlign w:val="center"/>
          </w:tcPr>
          <w:p>
            <w:pPr>
              <w:pStyle w:val="TableContents"/>
              <w:bidi w:val="0"/>
              <w:spacing w:before="0" w:after="283"/>
              <w:ind w:left="0" w:right="0" w:hanging="0"/>
              <w:jc w:val="left"/>
              <w:rPr/>
            </w:pPr>
            <w:r>
              <w:rPr/>
              <w:t> </w:t>
            </w:r>
          </w:p>
        </w:tc>
      </w:tr>
      <w:tr>
        <w:trPr/>
        <w:tc>
          <w:tcPr>
            <w:tcW w:w="659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455"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investing and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65" w:type="dxa"/>
            <w:tcBorders/>
            <w:shd w:fill="FFFFFF" w:val="clear"/>
            <w:vAlign w:val="center"/>
          </w:tcPr>
          <w:p>
            <w:pPr>
              <w:pStyle w:val="TableContents"/>
              <w:bidi w:val="0"/>
              <w:spacing w:before="0" w:after="0"/>
              <w:ind w:left="0" w:right="0" w:hanging="0"/>
              <w:jc w:val="left"/>
              <w:rPr/>
            </w:pPr>
            <w:r>
              <w:rPr/>
              <w:t> </w:t>
            </w:r>
          </w:p>
        </w:tc>
        <w:tc>
          <w:tcPr>
            <w:tcW w:w="455" w:type="dxa"/>
            <w:tcBorders/>
            <w:shd w:fill="FFFFFF" w:val="clear"/>
            <w:vAlign w:val="center"/>
          </w:tcPr>
          <w:p>
            <w:pPr>
              <w:pStyle w:val="TableContents"/>
              <w:bidi w:val="0"/>
              <w:spacing w:before="0" w:after="0"/>
              <w:jc w:val="left"/>
              <w:rPr/>
            </w:pPr>
            <w:r>
              <w:rPr/>
              <w:t> </w:t>
            </w:r>
          </w:p>
        </w:tc>
      </w:tr>
      <w:tr>
        <w:trPr/>
        <w:tc>
          <w:tcPr>
            <w:tcW w:w="6590" w:type="dxa"/>
            <w:tcBorders/>
            <w:shd w:fill="CCEEFF" w:val="clear"/>
            <w:vAlign w:val="center"/>
          </w:tcPr>
          <w:p>
            <w:pPr>
              <w:pStyle w:val="TableContents"/>
              <w:bidi w:val="0"/>
              <w:spacing w:before="0" w:after="0"/>
              <w:ind w:left="360" w:right="0" w:hanging="0"/>
              <w:jc w:val="left"/>
              <w:rPr>
                <w:rFonts w:ascii="Times New Roman;Times;serif" w:hAnsi="Times New Roman;Times;serif"/>
                <w:sz w:val="16"/>
              </w:rPr>
            </w:pPr>
            <w:r>
              <w:rPr>
                <w:rFonts w:ascii="Times New Roman;Times;serif" w:hAnsi="Times New Roman;Times;serif"/>
                <w:sz w:val="16"/>
              </w:rPr>
              <w:t>Net change in accounts payable related to property and equipment additions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1,053</w:t>
            </w:r>
          </w:p>
        </w:tc>
        <w:tc>
          <w:tcPr>
            <w:tcW w:w="455" w:type="dxa"/>
            <w:tcBorders/>
            <w:shd w:fill="CCEEFF" w:val="clear"/>
            <w:vAlign w:val="center"/>
          </w:tcPr>
          <w:p>
            <w:pPr>
              <w:pStyle w:val="TableContents"/>
              <w:bidi w:val="0"/>
              <w:spacing w:before="0" w:after="283"/>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change in deposits and prepaid for equipment related to property and equipment additions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(15,687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(1,297</w:t>
            </w:r>
          </w:p>
        </w:tc>
        <w:tc>
          <w:tcPr>
            <w:tcW w:w="455" w:type="dxa"/>
            <w:tcBorders/>
            <w:shd w:fill="FFFF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shd w:fill="FFFFFF" w:val="clear"/>
        </w:rPr>
      </w:pPr>
      <w:bookmarkStart w:id="37" w:name="Notes"/>
      <w:bookmarkEnd w:id="37"/>
      <w:r>
        <w:rPr>
          <w:rFonts w:ascii="Times New Roman;Times;serif" w:hAnsi="Times New Roman;Times;serif"/>
          <w:b/>
          <w:sz w:val="20"/>
          <w:shd w:fill="FFFFFF" w:val="clear"/>
        </w:rPr>
        <w:t>Applied Optoelectronics,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shd w:fill="FFFFFF" w:val="clear"/>
        </w:rPr>
        <w:t>NOTES TO CONSOLIDATED FINANCIAL STATEMENTS</w:t>
      </w:r>
      <w:r>
        <w:rPr>
          <w:rFonts w:ascii="Times New Roman;Times;serif" w:hAnsi="Times New Roman;Times;serif"/>
          <w:sz w:val="20"/>
          <w:shd w:fill="FFFFFF" w:val="clear"/>
        </w:rPr>
        <w:t> </w:t>
      </w:r>
    </w:p>
    <w:p>
      <w:pPr>
        <w:pStyle w:val="TextBody"/>
        <w:bidi w:val="0"/>
        <w:spacing w:before="0" w:after="0"/>
        <w:ind w:left="0" w:right="0" w:hanging="0"/>
        <w:jc w:val="center"/>
        <w:rPr>
          <w:shd w:fill="FFFFFF" w:val="clear"/>
        </w:rPr>
      </w:pPr>
      <w:r>
        <w:rPr>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A—ORGANIZATION AND OPERATIONS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Applied Optoelectronics, Inc. ("AOI" or the "Company") was incorporated in the State of Texas on </w:t>
      </w:r>
      <w:r>
        <w:rPr>
          <w:rStyle w:val="Emphasis"/>
          <w:rFonts w:ascii="Times New Roman;Times;serif" w:hAnsi="Times New Roman;Times;serif"/>
          <w:sz w:val="20"/>
          <w:shd w:fill="FFFFFF" w:val="clear"/>
        </w:rPr>
        <w:t>February 28,</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1997.</w:t>
      </w:r>
      <w:r>
        <w:rPr>
          <w:rFonts w:ascii="Times New Roman;Times;serif" w:hAnsi="Times New Roman;Times;serif"/>
          <w:sz w:val="20"/>
          <w:shd w:fill="FFFFFF" w:val="clear"/>
        </w:rPr>
        <w:t xml:space="preserve"> In </w:t>
      </w:r>
      <w:r>
        <w:rPr>
          <w:rStyle w:val="Emphasis"/>
          <w:rFonts w:ascii="Times New Roman;Times;serif" w:hAnsi="Times New Roman;Times;serif"/>
          <w:sz w:val="20"/>
          <w:shd w:fill="FFFFFF" w:val="clear"/>
        </w:rPr>
        <w:t xml:space="preserve">March 2013, </w:t>
      </w:r>
      <w:r>
        <w:rPr>
          <w:rFonts w:ascii="Times New Roman;Times;serif" w:hAnsi="Times New Roman;Times;serif"/>
          <w:sz w:val="20"/>
          <w:shd w:fill="FFFFFF" w:val="clear"/>
        </w:rPr>
        <w:t xml:space="preserve">the Company converted into a Delaware corporation. The Company is a leading, vertically integrated provider of fiber-optic networking products, primarily for </w:t>
      </w:r>
      <w:r>
        <w:rPr>
          <w:rStyle w:val="Emphasis"/>
          <w:rFonts w:ascii="Times New Roman;Times;serif" w:hAnsi="Times New Roman;Times;serif"/>
          <w:sz w:val="20"/>
          <w:shd w:fill="FFFFFF" w:val="clear"/>
        </w:rPr>
        <w:t>four</w:t>
      </w:r>
      <w:r>
        <w:rPr>
          <w:rFonts w:ascii="Times New Roman;Times;serif" w:hAnsi="Times New Roman;Times;serif"/>
          <w:sz w:val="20"/>
          <w:shd w:fill="FFFFFF" w:val="clear"/>
        </w:rPr>
        <w:t xml:space="preserve"> networking end-markets: internet data center, CATV, telecom and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B—SUMMARY OF SIGNIFICANT ACCOUNTING POLICIES</w:t>
      </w:r>
    </w:p>
    <w:p>
      <w:pPr>
        <w:pStyle w:val="TextBody"/>
        <w:bidi w:val="0"/>
        <w:spacing w:before="0" w:after="0"/>
        <w:ind w:left="0" w:right="0" w:hanging="0"/>
        <w:jc w:val="left"/>
        <w:rPr>
          <w:shd w:fill="FFFFFF" w:val="clear"/>
        </w:rPr>
      </w:pPr>
      <w:r>
        <w:rPr>
          <w:shd w:fill="FFFFFF" w:val="clear"/>
        </w:rPr>
        <w:t>  </w:t>
      </w:r>
    </w:p>
    <w:tbl>
      <w:tblPr>
        <w:tblW w:w="1930" w:type="dxa"/>
        <w:jc w:val="left"/>
        <w:tblInd w:w="0" w:type="dxa"/>
        <w:tblLayout w:type="fixed"/>
        <w:tblCellMar>
          <w:top w:w="0" w:type="dxa"/>
          <w:left w:w="0" w:type="dxa"/>
          <w:bottom w:w="0" w:type="dxa"/>
          <w:right w:w="0" w:type="dxa"/>
        </w:tblCellMar>
      </w:tblPr>
      <w:tblGrid>
        <w:gridCol w:w="170"/>
        <w:gridCol w:w="17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1.</w:t>
            </w:r>
          </w:p>
        </w:tc>
        <w:tc>
          <w:tcPr>
            <w:tcW w:w="1760"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Basis of Presentation</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pStyle w:val="TextBody"/>
        <w:bidi w:val="0"/>
        <w:spacing w:before="0" w:after="0"/>
        <w:ind w:left="0" w:right="0" w:hanging="0"/>
        <w:jc w:val="both"/>
        <w:rPr>
          <w:shd w:fill="FFFFFF" w:val="clear"/>
        </w:rPr>
      </w:pPr>
      <w:r>
        <w:rPr>
          <w:shd w:fill="FFFFFF" w:val="clear"/>
        </w:rPr>
        <w:t>  </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2.</w:t>
            </w:r>
          </w:p>
        </w:tc>
        <w:tc>
          <w:tcPr>
            <w:tcW w:w="135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Use of Estimates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pStyle w:val="TextBody"/>
        <w:bidi w:val="0"/>
        <w:spacing w:before="0" w:after="0"/>
        <w:ind w:left="0" w:right="0" w:hanging="0"/>
        <w:jc w:val="both"/>
        <w:rPr>
          <w:shd w:fill="FFFFFF" w:val="clear"/>
        </w:rPr>
      </w:pPr>
      <w:r>
        <w:rPr>
          <w:shd w:fill="FFFFFF" w:val="clear"/>
        </w:rPr>
        <w:t>  </w:t>
      </w:r>
    </w:p>
    <w:tbl>
      <w:tblPr>
        <w:tblW w:w="2665" w:type="dxa"/>
        <w:jc w:val="left"/>
        <w:tblInd w:w="0" w:type="dxa"/>
        <w:tblLayout w:type="fixed"/>
        <w:tblCellMar>
          <w:top w:w="0" w:type="dxa"/>
          <w:left w:w="0" w:type="dxa"/>
          <w:bottom w:w="0" w:type="dxa"/>
          <w:right w:w="0" w:type="dxa"/>
        </w:tblCellMar>
      </w:tblPr>
      <w:tblGrid>
        <w:gridCol w:w="170"/>
        <w:gridCol w:w="249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3.</w:t>
            </w:r>
          </w:p>
        </w:tc>
        <w:tc>
          <w:tcPr>
            <w:tcW w:w="249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Foreign Currency Translation</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 w:hAnsi="Times New Roman"/>
          <w:caps w:val="false"/>
          <w:smallCaps w:val="false"/>
          <w:sz w:val="20"/>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w:t>
      </w:r>
      <w:r>
        <w:rPr>
          <w:rFonts w:cs="Times New Roman"/>
          <w:caps w:val="false"/>
          <w:smallCaps w:val="false"/>
          <w:szCs w:val="20"/>
        </w:rPr>
        <w:t>﻿﻿</w:t>
      </w:r>
      <w:r>
        <w:rPr>
          <w:rFonts w:ascii="Times New Roman" w:hAnsi="Times New Roman"/>
          <w:caps w:val="false"/>
          <w:smallCaps w:val="false"/>
          <w:sz w:val="20"/>
        </w:rPr>
        <w:t xml:space="preserve">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75" w:type="dxa"/>
        <w:jc w:val="left"/>
        <w:tblInd w:w="0" w:type="dxa"/>
        <w:tblLayout w:type="fixed"/>
        <w:tblCellMar>
          <w:top w:w="0" w:type="dxa"/>
          <w:left w:w="0" w:type="dxa"/>
          <w:bottom w:w="0" w:type="dxa"/>
          <w:right w:w="0" w:type="dxa"/>
        </w:tblCellMar>
      </w:tblPr>
      <w:tblGrid>
        <w:gridCol w:w="170"/>
        <w:gridCol w:w="90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4.</w:t>
            </w:r>
          </w:p>
        </w:tc>
        <w:tc>
          <w:tcPr>
            <w:tcW w:w="90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Fair Value</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carrying value of cash, cash equivalents and short-term investments, accounts receivable, accounts payable, and note receivable approximate their historical fair values due to their short-term maturities. The carrying value of the debt and bank acceptance notes approximates its fair value due to the short-term nature of the debt since it renews frequently at current interest rates. Management believes that the interest rates in effect at each year end represent the current market rates for similar borrowings.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levels of the fair value hierarchy are as follows: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720" w:right="0" w:firstLine="720"/>
        <w:jc w:val="left"/>
        <w:rPr/>
      </w:pPr>
      <w:r>
        <w:rPr>
          <w:rFonts w:ascii="Times New Roman;Times;serif" w:hAnsi="Times New Roman;Times;serif"/>
          <w:sz w:val="20"/>
          <w:shd w:fill="FFFFFF" w:val="clear"/>
        </w:rPr>
        <w:t>Level </w:t>
      </w:r>
      <w:r>
        <w:rPr>
          <w:rStyle w:val="Emphasis"/>
          <w:rFonts w:ascii="Times New Roman;Times;serif" w:hAnsi="Times New Roman;Times;serif"/>
          <w:sz w:val="20"/>
          <w:shd w:fill="FFFFFF" w:val="clear"/>
        </w:rPr>
        <w:t>1—Inputs</w:t>
      </w:r>
      <w:r>
        <w:rPr>
          <w:rFonts w:ascii="Times New Roman;Times;serif" w:hAnsi="Times New Roman;Times;serif"/>
          <w:sz w:val="20"/>
          <w:shd w:fill="FFFFFF" w:val="clear"/>
        </w:rPr>
        <w:t xml:space="preserve"> represent quoted prices in active markets for identical assets or liabilities.</w:t>
      </w:r>
    </w:p>
    <w:p>
      <w:pPr>
        <w:pStyle w:val="TextBody"/>
        <w:bidi w:val="0"/>
        <w:spacing w:before="0" w:after="0"/>
        <w:ind w:left="720" w:right="0" w:firstLine="720"/>
        <w:jc w:val="both"/>
        <w:rPr>
          <w:shd w:fill="FFFFFF" w:val="clear"/>
        </w:rPr>
      </w:pPr>
      <w:r>
        <w:rPr>
          <w:shd w:fill="FFFFFF" w:val="clear"/>
        </w:rPr>
        <w:t>  </w:t>
      </w:r>
    </w:p>
    <w:p>
      <w:pPr>
        <w:pStyle w:val="TextBody"/>
        <w:bidi w:val="0"/>
        <w:spacing w:before="0" w:after="0"/>
        <w:ind w:left="720" w:right="0" w:firstLine="720"/>
        <w:jc w:val="left"/>
        <w:rPr/>
      </w:pPr>
      <w:r>
        <w:rPr>
          <w:rFonts w:ascii="Times New Roman;Times;serif" w:hAnsi="Times New Roman;Times;serif"/>
          <w:sz w:val="20"/>
          <w:shd w:fill="FFFFFF" w:val="clear"/>
        </w:rPr>
        <w:t>Level </w:t>
      </w:r>
      <w:r>
        <w:rPr>
          <w:rStyle w:val="Emphasis"/>
          <w:rFonts w:ascii="Times New Roman;Times;serif" w:hAnsi="Times New Roman;Times;serif"/>
          <w:sz w:val="20"/>
          <w:shd w:fill="FFFFFF" w:val="clear"/>
        </w:rPr>
        <w:t>2—Inputs</w:t>
      </w:r>
      <w:r>
        <w:rPr>
          <w:rFonts w:ascii="Times New Roman;Times;serif" w:hAnsi="Times New Roman;Times;serif"/>
          <w:sz w:val="20"/>
          <w:shd w:fill="FFFFFF" w:val="clear"/>
        </w:rPr>
        <w:t xml:space="preserve"> other than quoted prices included within Level </w:t>
      </w:r>
      <w:r>
        <w:rPr>
          <w:rStyle w:val="Emphasis"/>
          <w:rFonts w:ascii="Times New Roman;Times;serif" w:hAnsi="Times New Roman;Times;serif"/>
          <w:sz w:val="20"/>
          <w:shd w:fill="FFFFFF" w:val="clear"/>
        </w:rPr>
        <w:t>1</w:t>
      </w:r>
      <w:r>
        <w:rPr>
          <w:rFonts w:ascii="Times New Roman;Times;serif" w:hAnsi="Times New Roman;Times;serif"/>
          <w:sz w:val="20"/>
          <w:shd w:fill="FFFFFF" w:val="clear"/>
        </w:rPr>
        <w:t xml:space="preserve"> that are observable for the asset or liability, either directly or indirectly. These include quoted prices for similar assets or liabilities in active markets and quoted prices for identical or similar assets or liabilities in markets that are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active.</w:t>
      </w:r>
    </w:p>
    <w:p>
      <w:pPr>
        <w:pStyle w:val="TextBody"/>
        <w:bidi w:val="0"/>
        <w:spacing w:before="0" w:after="0"/>
        <w:ind w:left="720" w:right="0" w:firstLine="720"/>
        <w:jc w:val="both"/>
        <w:rPr>
          <w:shd w:fill="FFFFFF" w:val="clear"/>
        </w:rPr>
      </w:pPr>
      <w:r>
        <w:rPr>
          <w:shd w:fill="FFFFFF" w:val="clear"/>
        </w:rPr>
        <w:t>  </w:t>
      </w:r>
    </w:p>
    <w:p>
      <w:pPr>
        <w:pStyle w:val="TextBody"/>
        <w:bidi w:val="0"/>
        <w:spacing w:before="0" w:after="0"/>
        <w:ind w:left="720" w:right="0" w:firstLine="720"/>
        <w:jc w:val="left"/>
        <w:rPr/>
      </w:pPr>
      <w:r>
        <w:rPr>
          <w:rFonts w:ascii="Times New Roman;Times;serif" w:hAnsi="Times New Roman;Times;serif"/>
          <w:sz w:val="20"/>
          <w:shd w:fill="FFFFFF" w:val="clear"/>
        </w:rPr>
        <w:t>Level </w:t>
      </w:r>
      <w:r>
        <w:rPr>
          <w:rStyle w:val="Emphasis"/>
          <w:rFonts w:ascii="Times New Roman;Times;serif" w:hAnsi="Times New Roman;Times;serif"/>
          <w:sz w:val="20"/>
          <w:shd w:fill="FFFFFF" w:val="clear"/>
        </w:rPr>
        <w:t>3—Inputs</w:t>
      </w:r>
      <w:r>
        <w:rPr>
          <w:rFonts w:ascii="Times New Roman;Times;serif" w:hAnsi="Times New Roman;Times;serif"/>
          <w:sz w:val="20"/>
          <w:shd w:fill="FFFFFF" w:val="clear"/>
        </w:rPr>
        <w:t xml:space="preserve"> that are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observable from objective sources, such as management’s internally developed assumptions used in pricing an asset or liability.</w:t>
      </w:r>
    </w:p>
    <w:p>
      <w:pPr>
        <w:pStyle w:val="TextBody"/>
        <w:bidi w:val="0"/>
        <w:spacing w:before="0" w:after="0"/>
        <w:ind w:left="72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Assets and liabilities that are required to be fair valued on a recurring basis include money market funds, marketable securities, equity instruments and contingent consideration.</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Money market funds are valued with Level </w:t>
      </w:r>
      <w:r>
        <w:rPr>
          <w:rStyle w:val="Emphasis"/>
          <w:rFonts w:ascii="Times New Roman;Times;serif" w:hAnsi="Times New Roman;Times;serif"/>
          <w:sz w:val="20"/>
          <w:shd w:fill="FFFFFF" w:val="clear"/>
        </w:rPr>
        <w:t>1</w:t>
      </w:r>
      <w:r>
        <w:rPr>
          <w:rFonts w:ascii="Times New Roman;Times;serif" w:hAnsi="Times New Roman;Times;serif"/>
          <w:sz w:val="20"/>
          <w:shd w:fill="FFFFFF" w:val="clear"/>
        </w:rPr>
        <w:t xml:space="preserve"> inputs, using quoted market prices, and are included in cash and cash equivalents on the Company’s consolidated balance sheets.</w:t>
      </w:r>
    </w:p>
    <w:p>
      <w:pPr>
        <w:pStyle w:val="TextBody"/>
        <w:bidi w:val="0"/>
        <w:spacing w:before="0" w:after="0"/>
        <w:ind w:left="0" w:right="0" w:hanging="0"/>
        <w:jc w:val="both"/>
        <w:rPr>
          <w:shd w:fill="FFFFFF" w:val="clear"/>
        </w:rPr>
      </w:pPr>
      <w:r>
        <w:rPr>
          <w:shd w:fill="FFFFFF" w:val="clea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5.</w:t>
            </w:r>
          </w:p>
        </w:tc>
        <w:tc>
          <w:tcPr>
            <w:tcW w:w="228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Cash and Cash Equivalents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considers all highly liquid securities with an original maturity of </w:t>
      </w:r>
      <w:r>
        <w:rPr>
          <w:rStyle w:val="Emphasis"/>
          <w:rFonts w:ascii="Times New Roman;Times;serif" w:hAnsi="Times New Roman;Times;serif"/>
          <w:sz w:val="20"/>
          <w:shd w:fill="FFFFFF" w:val="clear"/>
        </w:rPr>
        <w:t>ninety</w:t>
      </w:r>
      <w:r>
        <w:rPr>
          <w:rFonts w:ascii="Times New Roman;Times;serif" w:hAnsi="Times New Roman;Times;serif"/>
          <w:sz w:val="20"/>
          <w:shd w:fill="FFFFFF" w:val="clear"/>
        </w:rPr>
        <w:t xml:space="preserve"> days or less from the date of purchase to be cash equivalents. Cash in foreign accounts was approximately $24.5 million and $28.5 million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respectively.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maintains cash and cash equivalents at U.S. financial institutions for which the combined account balances in individual institutions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exceed Federal Deposit Insurance Corporation ("FDIC") insurance coverage and, as a result, there is a concentration of credit risk related to amounts on deposit in excess of FDIC insurance coverage. As of </w:t>
      </w:r>
      <w:r>
        <w:rPr>
          <w:rStyle w:val="Emphasis"/>
          <w:rFonts w:ascii="Times New Roman;Times;serif" w:hAnsi="Times New Roman;Times;serif"/>
          <w:sz w:val="20"/>
        </w:rPr>
        <w:t>December 31, 2025</w:t>
      </w:r>
      <w:r>
        <w:rPr>
          <w:rFonts w:ascii="Times New Roman;Times;serif" w:hAnsi="Times New Roman;Times;serif"/>
          <w:sz w:val="20"/>
          <w:shd w:fill="FFFFFF" w:val="clear"/>
        </w:rPr>
        <w:t xml:space="preserve">, approximately $190.5 million of U.S. deposits were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covered by FDIC insurance. The Company has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experienced any losses and believes it is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exposed to any significant risk with such accounts.</w:t>
      </w:r>
    </w:p>
    <w:p>
      <w:pPr>
        <w:pStyle w:val="TextBody"/>
        <w:bidi w:val="0"/>
        <w:spacing w:before="0" w:after="0"/>
        <w:ind w:left="0" w:right="0" w:hanging="0"/>
        <w:jc w:val="both"/>
        <w:rPr>
          <w:shd w:fill="FFFFFF" w:val="clear"/>
        </w:rPr>
      </w:pPr>
      <w:r>
        <w:rPr>
          <w:shd w:fill="FFFFFF" w:val="clear"/>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6.</w:t>
            </w:r>
          </w:p>
        </w:tc>
        <w:tc>
          <w:tcPr>
            <w:tcW w:w="131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Restricted Cash</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Restricted cash includes guarantee deposits for customs duties and deposits as collateral in order to secure bank acceptance notes issued to vendors.</w:t>
      </w:r>
    </w:p>
    <w:p>
      <w:pPr>
        <w:pStyle w:val="TextBody"/>
        <w:bidi w:val="0"/>
        <w:spacing w:before="0" w:after="0"/>
        <w:ind w:left="0" w:right="0" w:hanging="0"/>
        <w:jc w:val="both"/>
        <w:rPr>
          <w:shd w:fill="FFFFFF" w:val="clear"/>
        </w:rPr>
      </w:pPr>
      <w:r>
        <w:rPr>
          <w:shd w:fill="FFFFFF" w:val="clear"/>
        </w:rPr>
        <w:t>  </w:t>
      </w:r>
    </w:p>
    <w:tbl>
      <w:tblPr>
        <w:tblW w:w="4675" w:type="dxa"/>
        <w:jc w:val="left"/>
        <w:tblInd w:w="0" w:type="dxa"/>
        <w:tblLayout w:type="fixed"/>
        <w:tblCellMar>
          <w:top w:w="0" w:type="dxa"/>
          <w:left w:w="0" w:type="dxa"/>
          <w:bottom w:w="0" w:type="dxa"/>
          <w:right w:w="0" w:type="dxa"/>
        </w:tblCellMar>
      </w:tblPr>
      <w:tblGrid>
        <w:gridCol w:w="170"/>
        <w:gridCol w:w="450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7.</w:t>
            </w:r>
          </w:p>
        </w:tc>
        <w:tc>
          <w:tcPr>
            <w:tcW w:w="450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Accounts Receivable/Allowance for Doubtful Accounts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carries its accounts receivable at the net amount that it estimates to be collectible. We have established an allowance for credit losses to estimate the risk of loss associated with our accounts receivable balances. The Company estimates its allowance for the credit losses based on historical collection, the age of outstanding receivables of the customer, existing economic conditions and reasonable forecasts. Different assumptions or changes in economic circumstances could result in changes to the allowance.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4780" w:type="dxa"/>
        <w:jc w:val="left"/>
        <w:tblInd w:w="0" w:type="dxa"/>
        <w:tblLayout w:type="fixed"/>
        <w:tblCellMar>
          <w:top w:w="0" w:type="dxa"/>
          <w:left w:w="0" w:type="dxa"/>
          <w:bottom w:w="0" w:type="dxa"/>
          <w:right w:w="0" w:type="dxa"/>
        </w:tblCellMar>
      </w:tblPr>
      <w:tblGrid>
        <w:gridCol w:w="170"/>
        <w:gridCol w:w="461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8.</w:t>
            </w:r>
          </w:p>
        </w:tc>
        <w:tc>
          <w:tcPr>
            <w:tcW w:w="461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Concentration of Credit Risk and Significant Customers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Financial instruments which potentially subject the Company to concentrations of credit risk include cash, cash equivalents and accounts receivable. The Company places all cash and cash equivalents with high-credit quality financial institutions.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performs ongoing credit valuations of its customers’ financial condition whenever deemed necessary and generally does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require deposits or collateral to support customer receivables. The historical amount of losses on uncollectible accounts has been within the Company’s estimates. The Company generates much of its revenue from a limited number of customers.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xml:space="preserve">, its top five customers represented 95.2%, 92.9% and 85.6% of its revenue, respectively. In </w:t>
      </w:r>
      <w:r>
        <w:rPr>
          <w:rStyle w:val="Emphasis"/>
          <w:rFonts w:ascii="Times New Roman;Times;serif" w:hAnsi="Times New Roman;Times;serif"/>
          <w:sz w:val="20"/>
        </w:rPr>
        <w:t>2025</w:t>
      </w:r>
      <w:r>
        <w:rPr>
          <w:rFonts w:ascii="Times New Roman;Times;serif" w:hAnsi="Times New Roman;Times;serif"/>
          <w:sz w:val="20"/>
          <w:shd w:fill="FFFFFF" w:val="clear"/>
        </w:rPr>
        <w:t xml:space="preserve">, Digicomm and Microsoft represented 53.1% and 28.8% of its revenue, respectively. In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w:t>
      </w:r>
      <w:r>
        <w:rPr>
          <w:rFonts w:ascii="Times New Roman;Times;serif" w:hAnsi="Times New Roman;Times;serif"/>
          <w:sz w:val="20"/>
        </w:rPr>
        <w:t>Microsoft, Digicomm and Oracle represented 43.7%, 35.1% and 12.4% of its revenue, respectively. </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five largest receivable balances for customers represented an aggregate of 94.0% and 95.5% of total accounts receivable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xml:space="preserve">, respectively. As of </w:t>
      </w:r>
      <w:r>
        <w:rPr>
          <w:rStyle w:val="Emphasis"/>
          <w:rFonts w:ascii="Times New Roman;Times;serif" w:hAnsi="Times New Roman;Times;serif"/>
          <w:sz w:val="20"/>
        </w:rPr>
        <w:t>December 31, 2025</w:t>
      </w:r>
      <w:r>
        <w:rPr>
          <w:rFonts w:ascii="Times New Roman;Times;serif" w:hAnsi="Times New Roman;Times;serif"/>
          <w:sz w:val="20"/>
          <w:shd w:fill="FFFFFF" w:val="clear"/>
        </w:rPr>
        <w:t xml:space="preserve">, </w:t>
      </w:r>
      <w:r>
        <w:rPr>
          <w:rFonts w:ascii="Times New Roman;Times;serif" w:hAnsi="Times New Roman;Times;serif"/>
          <w:color w:val="000000"/>
          <w:sz w:val="20"/>
          <w:shd w:fill="FFFFFF" w:val="clear"/>
        </w:rPr>
        <w:t>Digicomm</w:t>
      </w:r>
      <w:r>
        <w:rPr>
          <w:rFonts w:ascii="Times New Roman;Times;serif" w:hAnsi="Times New Roman;Times;serif"/>
          <w:sz w:val="20"/>
          <w:shd w:fill="FFFFFF" w:val="clear"/>
        </w:rPr>
        <w:t xml:space="preserve"> represented 71.6% of total accounts receivable and Microsoft represented 13.9% of total accounts receivable. As of </w:t>
      </w:r>
      <w:r>
        <w:rPr>
          <w:rStyle w:val="Emphasis"/>
          <w:rFonts w:ascii="Times New Roman;Times;serif" w:hAnsi="Times New Roman;Times;serif"/>
          <w:sz w:val="20"/>
          <w:shd w:fill="FFFFFF" w:val="clear"/>
        </w:rPr>
        <w:t xml:space="preserve">December 31, 2024, </w:t>
      </w:r>
      <w:r>
        <w:rPr>
          <w:rFonts w:ascii="Times New Roman;Times;serif" w:hAnsi="Times New Roman;Times;serif"/>
          <w:sz w:val="20"/>
        </w:rPr>
        <w:t>Digicomm </w:t>
      </w:r>
      <w:r>
        <w:rPr>
          <w:rFonts w:ascii="Times New Roman;Times;serif" w:hAnsi="Times New Roman;Times;serif"/>
          <w:sz w:val="20"/>
          <w:shd w:fill="FFFFFF" w:val="clear"/>
        </w:rPr>
        <w:t>represented 66.6% of total accounts receivable</w:t>
      </w:r>
      <w:r>
        <w:rPr>
          <w:rFonts w:ascii="Times New Roman;Times;serif" w:hAnsi="Times New Roman;Times;serif"/>
          <w:sz w:val="20"/>
        </w:rPr>
        <w:t> and Microsoft represented 16.8% of total accounts receivable</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other customer represented greater than </w:t>
      </w:r>
      <w:r>
        <w:rPr>
          <w:rStyle w:val="Emphasis"/>
          <w:rFonts w:ascii="Times New Roman;Times;serif" w:hAnsi="Times New Roman;Times;serif"/>
          <w:sz w:val="20"/>
          <w:shd w:fill="FFFFFF" w:val="clear"/>
        </w:rPr>
        <w:t>ten</w:t>
      </w:r>
      <w:r>
        <w:rPr>
          <w:rFonts w:ascii="Times New Roman;Times;serif" w:hAnsi="Times New Roman;Times;serif"/>
          <w:sz w:val="20"/>
          <w:shd w:fill="FFFFFF" w:val="clear"/>
        </w:rPr>
        <w:t xml:space="preserve"> percent of revenue in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xml:space="preserve"> or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had greater than </w:t>
      </w:r>
      <w:r>
        <w:rPr>
          <w:rStyle w:val="Emphasis"/>
          <w:rFonts w:ascii="Times New Roman;Times;serif" w:hAnsi="Times New Roman;Times;serif"/>
          <w:sz w:val="20"/>
          <w:shd w:fill="FFFFFF" w:val="clear"/>
        </w:rPr>
        <w:t>ten</w:t>
      </w:r>
      <w:r>
        <w:rPr>
          <w:rFonts w:ascii="Times New Roman;Times;serif" w:hAnsi="Times New Roman;Times;serif"/>
          <w:sz w:val="20"/>
          <w:shd w:fill="FFFFFF" w:val="clear"/>
        </w:rPr>
        <w:t xml:space="preserve"> percent of total accounts receivable at </w:t>
      </w:r>
      <w:r>
        <w:rPr>
          <w:rStyle w:val="Emphasis"/>
          <w:rFonts w:ascii="Times New Roman;Times;serif" w:hAnsi="Times New Roman;Times;serif"/>
          <w:sz w:val="20"/>
          <w:shd w:fill="FFFFFF" w:val="clear"/>
        </w:rPr>
        <w:t>December 31, 2025 </w:t>
      </w:r>
      <w:r>
        <w:rPr>
          <w:rFonts w:ascii="Times New Roman;Times;serif" w:hAnsi="Times New Roman;Times;serif"/>
          <w:sz w:val="20"/>
          <w:shd w:fill="FFFFFF" w:val="clear"/>
        </w:rPr>
        <w:t xml:space="preserve">or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w:t>
      </w:r>
    </w:p>
    <w:p>
      <w:pPr>
        <w:pStyle w:val="TextBody"/>
        <w:bidi w:val="0"/>
        <w:spacing w:before="0" w:after="0"/>
        <w:ind w:left="0" w:right="0" w:hanging="0"/>
        <w:jc w:val="left"/>
        <w:rPr/>
      </w:pPr>
      <w:r>
        <w:rPr/>
        <w:t> </w:t>
      </w:r>
    </w:p>
    <w:tbl>
      <w:tblPr>
        <w:tblW w:w="1105" w:type="dxa"/>
        <w:jc w:val="left"/>
        <w:tblInd w:w="0" w:type="dxa"/>
        <w:tblLayout w:type="fixed"/>
        <w:tblCellMar>
          <w:top w:w="0" w:type="dxa"/>
          <w:left w:w="0" w:type="dxa"/>
          <w:bottom w:w="0" w:type="dxa"/>
          <w:right w:w="0" w:type="dxa"/>
        </w:tblCellMar>
      </w:tblPr>
      <w:tblGrid>
        <w:gridCol w:w="170"/>
        <w:gridCol w:w="9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9.</w:t>
            </w:r>
          </w:p>
        </w:tc>
        <w:tc>
          <w:tcPr>
            <w:tcW w:w="935"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Inventories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(average-cost method) or net realizable value. Work in process and finished goods includes materials, labor and allocated overhead. The Company assesses the valuation of its inventory on a periodic basis and provides write-offs for the value of estimated excess and obsolete inventory based on estimates of future demand. Inventory reserves are recorded to account for the excess and obsolete inventory combined with the lower of cost or net realizable value assessments. To develop the reserve, the Company developed certain percentages that determine the extent of inventory reserve adjustments based on the age of the inventory. Such percentages were determined through analysis of the inventory to determine each product's lifespan, a review historical write-offs or scrapped inventory, and an assessment by product engineers of the possibility of obsolescence for each product.</w:t>
      </w:r>
    </w:p>
    <w:p>
      <w:pPr>
        <w:pStyle w:val="TextBody"/>
        <w:bidi w:val="0"/>
        <w:spacing w:before="0" w:after="0"/>
        <w:ind w:left="0" w:right="0" w:hanging="0"/>
        <w:jc w:val="left"/>
        <w:rPr>
          <w:shd w:fill="FFFFFF" w:val="clear"/>
        </w:rPr>
      </w:pPr>
      <w:r>
        <w:rPr>
          <w:shd w:fill="FFFFFF" w:val="clear"/>
        </w:rPr>
        <w:t>  </w:t>
      </w:r>
    </w:p>
    <w:tbl>
      <w:tblPr>
        <w:tblW w:w="2845" w:type="dxa"/>
        <w:jc w:val="left"/>
        <w:tblInd w:w="0" w:type="dxa"/>
        <w:tblLayout w:type="fixed"/>
        <w:tblCellMar>
          <w:top w:w="0" w:type="dxa"/>
          <w:left w:w="0" w:type="dxa"/>
          <w:bottom w:w="0" w:type="dxa"/>
          <w:right w:w="0" w:type="dxa"/>
        </w:tblCellMar>
      </w:tblPr>
      <w:tblGrid>
        <w:gridCol w:w="275"/>
        <w:gridCol w:w="257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10.</w:t>
            </w:r>
          </w:p>
        </w:tc>
        <w:tc>
          <w:tcPr>
            <w:tcW w:w="2570"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Property, Plant and Equipment</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Property, plant and equipment are stated at cost, net of accumulated depreciation and amortization. The Company calculates depreciation using the straight-line method over the following estimated useful lives:</w:t>
      </w:r>
    </w:p>
    <w:p>
      <w:pPr>
        <w:pStyle w:val="TextBody"/>
        <w:bidi w:val="0"/>
        <w:spacing w:before="0" w:after="0"/>
        <w:ind w:left="0" w:right="0" w:firstLine="720"/>
        <w:jc w:val="left"/>
        <w:rPr>
          <w:shd w:fill="FFFFFF" w:val="clear"/>
        </w:rPr>
      </w:pPr>
      <w:r>
        <w:rPr>
          <w:shd w:fill="FFFFFF" w:val="clear"/>
        </w:rPr>
        <w:t>  </w:t>
      </w:r>
    </w:p>
    <w:tbl>
      <w:tblPr>
        <w:tblW w:w="9655" w:type="dxa"/>
        <w:jc w:val="left"/>
        <w:tblInd w:w="0" w:type="dxa"/>
        <w:tblLayout w:type="fixed"/>
        <w:tblCellMar>
          <w:top w:w="0" w:type="dxa"/>
          <w:left w:w="0" w:type="dxa"/>
          <w:bottom w:w="0" w:type="dxa"/>
          <w:right w:w="0" w:type="dxa"/>
        </w:tblCellMar>
      </w:tblPr>
      <w:tblGrid>
        <w:gridCol w:w="2810"/>
        <w:gridCol w:w="60"/>
        <w:gridCol w:w="60"/>
        <w:gridCol w:w="6665"/>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Useful lives (in years)</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20 - 42</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2 - 20</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3 - 7</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3 - 10</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6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sz w:val="20"/>
              </w:rPr>
              <w:t>The shorter of the life of the applicable lease or the useful life of the improvement</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w:t>
      </w:r>
      <w:r>
        <w:rPr>
          <w:rStyle w:val="Emphasis"/>
          <w:rFonts w:ascii="Times New Roman;Times;serif" w:hAnsi="Times New Roman;Times;serif"/>
          <w:sz w:val="20"/>
          <w:shd w:fill="FFFFFF" w:val="clear"/>
        </w:rPr>
        <w:t xml:space="preserve">October 7, 2054 </w:t>
      </w:r>
      <w:r>
        <w:rPr>
          <w:rFonts w:ascii="Times New Roman;Times;serif" w:hAnsi="Times New Roman;Times;serif"/>
          <w:sz w:val="20"/>
          <w:shd w:fill="FFFFFF" w:val="clear"/>
        </w:rPr>
        <w:t xml:space="preserve">and </w:t>
      </w:r>
      <w:r>
        <w:rPr>
          <w:rStyle w:val="Emphasis"/>
          <w:rFonts w:ascii="Times New Roman;Times;serif" w:hAnsi="Times New Roman;Times;serif"/>
          <w:sz w:val="20"/>
          <w:shd w:fill="FFFFFF" w:val="clear"/>
        </w:rPr>
        <w:t>December 28, 2067.</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11.</w:t>
            </w:r>
          </w:p>
        </w:tc>
        <w:tc>
          <w:tcPr>
            <w:tcW w:w="141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Intangible Assets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Intangible assets consist of intellectual property that is stated at cost less accumulated amortization. As of </w:t>
      </w:r>
      <w:r>
        <w:rPr>
          <w:rStyle w:val="Emphasis"/>
          <w:rFonts w:ascii="Times New Roman;Times;serif" w:hAnsi="Times New Roman;Times;serif"/>
          <w:sz w:val="20"/>
        </w:rPr>
        <w:t>December 31, 2025</w:t>
      </w:r>
      <w:r>
        <w:rPr>
          <w:rFonts w:ascii="Times New Roman;Times;serif" w:hAnsi="Times New Roman;Times;serif"/>
          <w:sz w:val="20"/>
          <w:shd w:fill="FFFFFF" w:val="clear"/>
        </w:rPr>
        <w:t xml:space="preserve">, the Company had 349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w:t>
      </w:r>
      <w:r>
        <w:rPr>
          <w:rStyle w:val="Emphasis"/>
          <w:rFonts w:ascii="Times New Roman;Times;serif" w:hAnsi="Times New Roman;Times;serif"/>
          <w:sz w:val="20"/>
          <w:shd w:fill="FFFFFF" w:val="clear"/>
        </w:rPr>
        <w:t>may not</w:t>
      </w:r>
      <w:r>
        <w:rPr>
          <w:rFonts w:ascii="Times New Roman;Times;serif" w:hAnsi="Times New Roman;Times;serif"/>
          <w:sz w:val="20"/>
          <w:shd w:fill="FFFFFF" w:val="clear"/>
        </w:rPr>
        <w:t xml:space="preserve"> be applicable to the Company’s current products or is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longer in use. If such a determination is made, the intangible asset is impaired and the remaining value of the patent or trademark will be expensed at that time.</w:t>
      </w:r>
    </w:p>
    <w:p>
      <w:pPr>
        <w:pStyle w:val="TextBody"/>
        <w:bidi w:val="0"/>
        <w:spacing w:before="0" w:after="0"/>
        <w:ind w:left="0" w:right="0" w:hanging="0"/>
        <w:jc w:val="left"/>
        <w:rPr>
          <w:shd w:fill="FFFFFF" w:val="clear"/>
        </w:rPr>
      </w:pPr>
      <w:r>
        <w:rPr>
          <w:shd w:fill="FFFFFF" w:val="clear"/>
        </w:rPr>
        <w:t>  </w:t>
      </w:r>
    </w:p>
    <w:tbl>
      <w:tblPr>
        <w:tblW w:w="2950" w:type="dxa"/>
        <w:jc w:val="left"/>
        <w:tblInd w:w="0" w:type="dxa"/>
        <w:tblLayout w:type="fixed"/>
        <w:tblCellMar>
          <w:top w:w="0" w:type="dxa"/>
          <w:left w:w="0" w:type="dxa"/>
          <w:bottom w:w="0" w:type="dxa"/>
          <w:right w:w="0" w:type="dxa"/>
        </w:tblCellMar>
      </w:tblPr>
      <w:tblGrid>
        <w:gridCol w:w="275"/>
        <w:gridCol w:w="267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12.</w:t>
            </w:r>
          </w:p>
        </w:tc>
        <w:tc>
          <w:tcPr>
            <w:tcW w:w="2675"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Impairment of Long-Lived Assets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accounts for impairment of long-lived assets in accordance with Accounting Standards Codification ("ASC") </w:t>
      </w:r>
      <w:r>
        <w:rPr>
          <w:rStyle w:val="Emphasis"/>
          <w:rFonts w:ascii="Times New Roman;Times;serif" w:hAnsi="Times New Roman;Times;serif"/>
          <w:sz w:val="20"/>
          <w:shd w:fill="FFFFFF" w:val="clear"/>
        </w:rPr>
        <w:t>360,</w:t>
      </w:r>
      <w:r>
        <w:rPr>
          <w:rFonts w:ascii="Times New Roman;Times;serif" w:hAnsi="Times New Roman;Times;serif"/>
          <w:sz w:val="20"/>
          <w:shd w:fill="FFFFFF" w:val="clear"/>
        </w:rPr>
        <w:t xml:space="preserve"> Property, Plant and Equipment, ("ASC </w:t>
      </w:r>
      <w:r>
        <w:rPr>
          <w:rStyle w:val="Emphasis"/>
          <w:rFonts w:ascii="Times New Roman;Times;serif" w:hAnsi="Times New Roman;Times;serif"/>
          <w:sz w:val="20"/>
          <w:shd w:fill="FFFFFF" w:val="clear"/>
        </w:rPr>
        <w:t>360"</w:t>
      </w:r>
      <w:r>
        <w:rPr>
          <w:rFonts w:ascii="Times New Roman;Times;serif" w:hAnsi="Times New Roman;Times;serif"/>
          <w:sz w:val="20"/>
          <w:shd w:fill="FFFFFF" w:val="clear"/>
        </w:rPr>
        <w:t>). Long-lived assets consist primarily of property, plant and equipment, right-of-use assets and intangible assets. In accordance with ASC </w:t>
      </w:r>
      <w:r>
        <w:rPr>
          <w:rStyle w:val="Emphasis"/>
          <w:rFonts w:ascii="Times New Roman;Times;serif" w:hAnsi="Times New Roman;Times;serif"/>
          <w:sz w:val="20"/>
          <w:shd w:fill="FFFFFF" w:val="clear"/>
        </w:rPr>
        <w:t>360,</w:t>
      </w:r>
      <w:r>
        <w:rPr>
          <w:rFonts w:ascii="Times New Roman;Times;serif" w:hAnsi="Times New Roman;Times;serif"/>
          <w:sz w:val="20"/>
          <w:shd w:fill="FFFFFF" w:val="clear"/>
        </w:rPr>
        <w:t xml:space="preserve"> the Company evaluates the carrying value of long-lived assets when it determines a triggering event has occurred, or whenever events or changes in circumstances indicate that the carrying amount of an asset </w:t>
      </w:r>
      <w:r>
        <w:rPr>
          <w:rStyle w:val="Emphasis"/>
          <w:rFonts w:ascii="Times New Roman;Times;serif" w:hAnsi="Times New Roman;Times;serif"/>
          <w:sz w:val="20"/>
          <w:shd w:fill="FFFFFF" w:val="clear"/>
        </w:rPr>
        <w:t>may not</w:t>
      </w:r>
      <w:r>
        <w:rPr>
          <w:rFonts w:ascii="Times New Roman;Times;serif" w:hAnsi="Times New Roman;Times;serif"/>
          <w:sz w:val="20"/>
          <w:shd w:fill="FFFFFF" w:val="clear"/>
        </w:rPr>
        <w:t xml:space="preserve"> be recoverable. When indicators exist, recoverability of assets is measured by a comparison of the carrying value of the asset group to the estimated undiscounted future net cash flows expected to be generated by the asset group.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w:t>
      </w:r>
      <w:r>
        <w:rPr>
          <w:rStyle w:val="Emphasis"/>
          <w:rFonts w:ascii="Times New Roman;Times;serif" w:hAnsi="Times New Roman;Times;serif"/>
          <w:sz w:val="20"/>
        </w:rPr>
        <w:t>2025</w:t>
      </w:r>
      <w:r>
        <w:rPr>
          <w:rFonts w:ascii="Times New Roman;Times;serif" w:hAnsi="Times New Roman;Times;serif"/>
          <w:sz w:val="20"/>
          <w:shd w:fill="FFFFFF" w:val="clear"/>
        </w:rPr>
        <w:t xml:space="preserve">, </w:t>
      </w:r>
      <w:r>
        <w:rPr>
          <w:rStyle w:val="Emphasis"/>
          <w:rFonts w:ascii="Times New Roman;Times;serif" w:hAnsi="Times New Roman;Times;serif"/>
          <w:sz w:val="20"/>
        </w:rPr>
        <w:t>2024</w:t>
      </w:r>
      <w:r>
        <w:rPr>
          <w:rFonts w:ascii="Times New Roman;Times;serif" w:hAnsi="Times New Roman;Times;serif"/>
          <w:sz w:val="20"/>
          <w:shd w:fill="FFFFFF" w:val="clear"/>
        </w:rPr>
        <w:t xml:space="preserve"> or </w:t>
      </w:r>
      <w:r>
        <w:rPr>
          <w:rStyle w:val="Emphasis"/>
          <w:rFonts w:ascii="Times New Roman;Times;serif" w:hAnsi="Times New Roman;Times;serif"/>
          <w:sz w:val="20"/>
          <w:shd w:fill="FFFFFF" w:val="clear"/>
        </w:rPr>
        <w:t>2023.</w:t>
      </w:r>
    </w:p>
    <w:p>
      <w:pPr>
        <w:pStyle w:val="TextBody"/>
        <w:bidi w:val="0"/>
        <w:spacing w:before="0" w:after="0"/>
        <w:ind w:left="0" w:right="0" w:hanging="0"/>
        <w:jc w:val="both"/>
        <w:rPr/>
      </w:pPr>
      <w:r>
        <w:rPr/>
        <w:t> </w:t>
      </w:r>
    </w:p>
    <w:tbl>
      <w:tblPr>
        <w:tblW w:w="2710" w:type="dxa"/>
        <w:jc w:val="left"/>
        <w:tblInd w:w="0" w:type="dxa"/>
        <w:tblLayout w:type="fixed"/>
        <w:tblCellMar>
          <w:top w:w="0" w:type="dxa"/>
          <w:left w:w="0" w:type="dxa"/>
          <w:bottom w:w="0" w:type="dxa"/>
          <w:right w:w="0" w:type="dxa"/>
        </w:tblCellMar>
      </w:tblPr>
      <w:tblGrid>
        <w:gridCol w:w="275"/>
        <w:gridCol w:w="243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13.</w:t>
            </w:r>
          </w:p>
        </w:tc>
        <w:tc>
          <w:tcPr>
            <w:tcW w:w="243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Comprehensive Income (Loss)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ASC </w:t>
      </w:r>
      <w:r>
        <w:rPr>
          <w:rStyle w:val="Emphasis"/>
          <w:rFonts w:ascii="Times New Roman;Times;serif" w:hAnsi="Times New Roman;Times;serif"/>
          <w:sz w:val="20"/>
          <w:shd w:fill="FFFFFF" w:val="clear"/>
        </w:rPr>
        <w:t>220,</w:t>
      </w:r>
      <w:r>
        <w:rPr>
          <w:rFonts w:ascii="Times New Roman;Times;serif" w:hAnsi="Times New Roman;Times;serif"/>
          <w:sz w:val="20"/>
          <w:shd w:fill="FFFFFF" w:val="clear"/>
        </w:rPr>
        <w:t xml:space="preserve"> Comprehensive Income, ("ASC </w:t>
      </w:r>
      <w:r>
        <w:rPr>
          <w:rStyle w:val="Emphasis"/>
          <w:rFonts w:ascii="Times New Roman;Times;serif" w:hAnsi="Times New Roman;Times;serif"/>
          <w:sz w:val="20"/>
          <w:shd w:fill="FFFFFF" w:val="clear"/>
        </w:rPr>
        <w:t>220"</w:t>
      </w:r>
      <w:r>
        <w:rPr>
          <w:rFonts w:ascii="Times New Roman;Times;serif" w:hAnsi="Times New Roman;Times;serif"/>
          <w:sz w:val="20"/>
          <w:shd w:fill="FFFFFF" w:val="clear"/>
        </w:rPr>
        <w:t>) establishes rules for reporting and display of comprehensive income (loss) and its components. ASC </w:t>
      </w:r>
      <w:r>
        <w:rPr>
          <w:rStyle w:val="Emphasis"/>
          <w:rFonts w:ascii="Times New Roman;Times;serif" w:hAnsi="Times New Roman;Times;serif"/>
          <w:sz w:val="20"/>
          <w:shd w:fill="FFFFFF" w:val="clear"/>
        </w:rPr>
        <w:t>220</w:t>
      </w:r>
      <w:r>
        <w:rPr>
          <w:rFonts w:ascii="Times New Roman;Times;serif" w:hAnsi="Times New Roman;Times;serif"/>
          <w:sz w:val="20"/>
          <w:shd w:fill="FFFFFF" w:val="clear"/>
        </w:rPr>
        <w:t xml:space="preserve"> requires that unrealized gains and losses on the Company’s foreign currency translation adjustments be included in comprehensive income (loss).</w:t>
      </w:r>
    </w:p>
    <w:p>
      <w:pPr>
        <w:pStyle w:val="TextBody"/>
        <w:bidi w:val="0"/>
        <w:spacing w:before="0" w:after="0"/>
        <w:ind w:left="0" w:right="0" w:hanging="0"/>
        <w:jc w:val="both"/>
        <w:rPr>
          <w:shd w:fill="FFFFFF" w:val="clear"/>
        </w:rPr>
      </w:pPr>
      <w:r>
        <w:rPr>
          <w:shd w:fill="FFFFFF" w:val="clear"/>
        </w:rPr>
        <w:t>  </w:t>
      </w:r>
    </w:p>
    <w:tbl>
      <w:tblPr>
        <w:tblW w:w="2545" w:type="dxa"/>
        <w:jc w:val="left"/>
        <w:tblInd w:w="0" w:type="dxa"/>
        <w:tblLayout w:type="fixed"/>
        <w:tblCellMar>
          <w:top w:w="0" w:type="dxa"/>
          <w:left w:w="0" w:type="dxa"/>
          <w:bottom w:w="0" w:type="dxa"/>
          <w:right w:w="0" w:type="dxa"/>
        </w:tblCellMar>
      </w:tblPr>
      <w:tblGrid>
        <w:gridCol w:w="275"/>
        <w:gridCol w:w="227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14.</w:t>
            </w:r>
          </w:p>
        </w:tc>
        <w:tc>
          <w:tcPr>
            <w:tcW w:w="227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Share-based Compensation</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accounts for share-based compensation in accordance with the provisions of ASC </w:t>
      </w:r>
      <w:r>
        <w:rPr>
          <w:rStyle w:val="Emphasis"/>
          <w:rFonts w:ascii="Times New Roman;Times;serif" w:hAnsi="Times New Roman;Times;serif"/>
          <w:sz w:val="20"/>
          <w:shd w:fill="FFFFFF" w:val="clear"/>
        </w:rPr>
        <w:t>718,</w:t>
      </w:r>
      <w:r>
        <w:rPr>
          <w:rFonts w:ascii="Times New Roman;Times;serif" w:hAnsi="Times New Roman;Times;serif"/>
          <w:sz w:val="20"/>
          <w:shd w:fill="FFFFFF" w:val="clear"/>
        </w:rPr>
        <w:t xml:space="preserve"> Compensation—Stock Compensation.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pStyle w:val="TextBody"/>
        <w:bidi w:val="0"/>
        <w:spacing w:before="0" w:after="0"/>
        <w:ind w:left="0" w:right="0" w:hanging="0"/>
        <w:jc w:val="both"/>
        <w:rPr>
          <w:shd w:fill="FFFFFF" w:val="clear"/>
        </w:rPr>
      </w:pPr>
      <w:r>
        <w:rPr>
          <w:shd w:fill="FFFFFF" w:val="clear"/>
        </w:rPr>
        <w:t>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15.</w:t>
            </w:r>
          </w:p>
        </w:tc>
        <w:tc>
          <w:tcPr>
            <w:tcW w:w="176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Revenue Recognition</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The Company derives revenue from the manufacture and sale of fiber optic networking products. Revenue recognition follows the criteria of ASC </w:t>
      </w:r>
      <w:r>
        <w:rPr>
          <w:rStyle w:val="Emphasis"/>
          <w:rFonts w:ascii="Times New Roman;Times;serif" w:hAnsi="Times New Roman;Times;serif"/>
          <w:sz w:val="20"/>
          <w:shd w:fill="FFFFFF" w:val="clear"/>
        </w:rPr>
        <w:t>606,</w:t>
      </w:r>
      <w:r>
        <w:rPr>
          <w:rFonts w:ascii="Times New Roman;Times;serif" w:hAnsi="Times New Roman;Times;serif"/>
          <w:sz w:val="20"/>
          <w:shd w:fill="FFFFFF" w:val="clear"/>
        </w:rPr>
        <w:t xml:space="preserve"> Revenue from Contracts with Customers. Specifically, the Company recognizes revenue when obligations under the terms of a contract with its customer are satisfied; generally this occurs with the transfer of control of products or services </w:t>
      </w:r>
      <w:r>
        <w:rPr>
          <w:rFonts w:ascii="Times New Roman;Times;serif" w:hAnsi="Times New Roman;Times;serif"/>
          <w:sz w:val="20"/>
        </w:rPr>
        <w:t xml:space="preserve">at point of time or over times. When the Company receives payments and its obligations to customers are </w:t>
      </w:r>
      <w:r>
        <w:rPr>
          <w:rStyle w:val="Emphasis"/>
          <w:rFonts w:ascii="Times New Roman;Times;serif" w:hAnsi="Times New Roman;Times;serif"/>
          <w:sz w:val="20"/>
        </w:rPr>
        <w:t>not</w:t>
      </w:r>
      <w:r>
        <w:rPr>
          <w:rFonts w:ascii="Times New Roman;Times;serif" w:hAnsi="Times New Roman;Times;serif"/>
          <w:sz w:val="20"/>
        </w:rPr>
        <w:t xml:space="preserve"> satisfied, the Company will recognize the payment as Unearned Revenue from customers.</w:t>
      </w:r>
    </w:p>
    <w:p>
      <w:pPr>
        <w:pStyle w:val="TextBody"/>
        <w:bidi w:val="0"/>
        <w:spacing w:before="0" w:after="0"/>
        <w:ind w:left="0" w:right="0" w:firstLine="720"/>
        <w:jc w:val="both"/>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780" w:type="dxa"/>
        <w:jc w:val="left"/>
        <w:tblInd w:w="0" w:type="dxa"/>
        <w:tblLayout w:type="fixed"/>
        <w:tblCellMar>
          <w:top w:w="0" w:type="dxa"/>
          <w:left w:w="0" w:type="dxa"/>
          <w:bottom w:w="0" w:type="dxa"/>
          <w:right w:w="0" w:type="dxa"/>
        </w:tblCellMar>
      </w:tblPr>
      <w:tblGrid>
        <w:gridCol w:w="275"/>
        <w:gridCol w:w="150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16.</w:t>
            </w:r>
          </w:p>
        </w:tc>
        <w:tc>
          <w:tcPr>
            <w:tcW w:w="150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Product Warranty</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generally offers a one-year limited warranty for its products but it can extend for longer periods of three to five years for certain products sold to certain customers. The Company estimates the costs that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exceed the accrual, in which case the cost of sales will increase in the future.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the amount of accrued warranty was $0.48 million and $0.28 million, respectively. Changes in products warranty were as follows (in thousands):</w:t>
      </w:r>
    </w:p>
    <w:p>
      <w:pPr>
        <w:pStyle w:val="TextBody"/>
        <w:bidi w:val="0"/>
        <w:spacing w:before="0" w:after="0"/>
        <w:ind w:left="0" w:right="0" w:firstLine="720"/>
        <w:jc w:val="left"/>
        <w:rPr/>
      </w:pPr>
      <w:r>
        <w:rPr/>
        <w:t> </w:t>
      </w:r>
    </w:p>
    <w:tbl>
      <w:tblPr>
        <w:tblW w:w="4740" w:type="dxa"/>
        <w:jc w:val="left"/>
        <w:tblInd w:w="0" w:type="dxa"/>
        <w:tblLayout w:type="fixed"/>
        <w:tblCellMar>
          <w:top w:w="0" w:type="dxa"/>
          <w:left w:w="0" w:type="dxa"/>
          <w:bottom w:w="0" w:type="dxa"/>
          <w:right w:w="0" w:type="dxa"/>
        </w:tblCellMar>
      </w:tblPr>
      <w:tblGrid>
        <w:gridCol w:w="2480"/>
        <w:gridCol w:w="60"/>
        <w:gridCol w:w="250"/>
        <w:gridCol w:w="670"/>
        <w:gridCol w:w="160"/>
        <w:gridCol w:w="120"/>
        <w:gridCol w:w="250"/>
        <w:gridCol w:w="670"/>
        <w:gridCol w:w="8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costs incurred</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warranty</w:t>
            </w:r>
          </w:p>
        </w:tc>
        <w:tc>
          <w:tcPr>
            <w:tcW w:w="6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1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17.</w:t>
            </w:r>
          </w:p>
        </w:tc>
        <w:tc>
          <w:tcPr>
            <w:tcW w:w="1460"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Advertising Costs</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Advertising costs are charged to operations as incurred and amounted to approximately $1.9 million, $1.1 million and $0.8 million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w:t>
      </w:r>
    </w:p>
    <w:p>
      <w:pPr>
        <w:pStyle w:val="TextBody"/>
        <w:bidi w:val="0"/>
        <w:spacing w:before="0" w:after="0"/>
        <w:ind w:left="0" w:right="0" w:hanging="0"/>
        <w:jc w:val="left"/>
        <w:rPr>
          <w:shd w:fill="FFFFFF" w:val="clear"/>
        </w:rPr>
      </w:pPr>
      <w:r>
        <w:rPr>
          <w:shd w:fill="FFFFFF" w:val="clear"/>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18.</w:t>
            </w:r>
          </w:p>
        </w:tc>
        <w:tc>
          <w:tcPr>
            <w:tcW w:w="2240" w:type="dxa"/>
            <w:tcBorders/>
            <w:vAlign w:val="center"/>
          </w:tcPr>
          <w:p>
            <w:pPr>
              <w:pStyle w:val="TableContents"/>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Research and development costs are charged to operations as incurred. The Company receives reimbursement for certain development costs, which offset with expense up to the reimbursable amount.</w:t>
      </w:r>
    </w:p>
    <w:p>
      <w:pPr>
        <w:pStyle w:val="TextBody"/>
        <w:bidi w:val="0"/>
        <w:spacing w:before="0" w:after="0"/>
        <w:ind w:left="0" w:right="0" w:hanging="0"/>
        <w:jc w:val="both"/>
        <w:rPr/>
      </w:pPr>
      <w:r>
        <w:rPr/>
        <w:t> </w:t>
      </w:r>
    </w:p>
    <w:tbl>
      <w:tblPr>
        <w:tblW w:w="2725" w:type="dxa"/>
        <w:jc w:val="left"/>
        <w:tblInd w:w="0" w:type="dxa"/>
        <w:tblLayout w:type="fixed"/>
        <w:tblCellMar>
          <w:top w:w="0" w:type="dxa"/>
          <w:left w:w="0" w:type="dxa"/>
          <w:bottom w:w="0" w:type="dxa"/>
          <w:right w:w="0" w:type="dxa"/>
        </w:tblCellMar>
      </w:tblPr>
      <w:tblGrid>
        <w:gridCol w:w="275"/>
        <w:gridCol w:w="245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19.</w:t>
            </w:r>
          </w:p>
        </w:tc>
        <w:tc>
          <w:tcPr>
            <w:tcW w:w="245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Shipping and Handling Costs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pStyle w:val="TextBody"/>
        <w:bidi w:val="0"/>
        <w:spacing w:before="0" w:after="0"/>
        <w:ind w:left="0" w:right="0" w:hanging="0"/>
        <w:jc w:val="both"/>
        <w:rPr/>
      </w:pPr>
      <w:r>
        <w:rPr/>
        <w:t> </w:t>
      </w:r>
    </w:p>
    <w:tbl>
      <w:tblPr>
        <w:tblW w:w="1390" w:type="dxa"/>
        <w:jc w:val="left"/>
        <w:tblInd w:w="0" w:type="dxa"/>
        <w:tblLayout w:type="fixed"/>
        <w:tblCellMar>
          <w:top w:w="0" w:type="dxa"/>
          <w:left w:w="0" w:type="dxa"/>
          <w:bottom w:w="0" w:type="dxa"/>
          <w:right w:w="0" w:type="dxa"/>
        </w:tblCellMar>
      </w:tblPr>
      <w:tblGrid>
        <w:gridCol w:w="275"/>
        <w:gridCol w:w="111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20.</w:t>
            </w:r>
          </w:p>
        </w:tc>
        <w:tc>
          <w:tcPr>
            <w:tcW w:w="111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Income Taxes</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accounts for income taxes in accordance with the provisions of ASC </w:t>
      </w:r>
      <w:r>
        <w:rPr>
          <w:rStyle w:val="Emphasis"/>
          <w:rFonts w:ascii="Times New Roman;Times;serif" w:hAnsi="Times New Roman;Times;serif"/>
          <w:sz w:val="20"/>
          <w:shd w:fill="FFFFFF" w:val="clear"/>
        </w:rPr>
        <w:t>740,</w:t>
      </w:r>
      <w:r>
        <w:rPr>
          <w:rFonts w:ascii="Times New Roman;Times;serif" w:hAnsi="Times New Roman;Times;serif"/>
          <w:sz w:val="20"/>
          <w:shd w:fill="FFFFFF" w:val="clear"/>
        </w:rPr>
        <w:t xml:space="preserve">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give rise to future benefits in the Company’s tax returns.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records uncertain tax positions in accordance with ASC </w:t>
      </w:r>
      <w:r>
        <w:rPr>
          <w:rStyle w:val="Emphasis"/>
          <w:rFonts w:ascii="Times New Roman;Times;serif" w:hAnsi="Times New Roman;Times;serif"/>
          <w:sz w:val="20"/>
          <w:shd w:fill="FFFFFF" w:val="clear"/>
        </w:rPr>
        <w:t>740</w:t>
      </w:r>
      <w:r>
        <w:rPr>
          <w:rFonts w:ascii="Times New Roman;Times;serif" w:hAnsi="Times New Roman;Times;serif"/>
          <w:sz w:val="20"/>
          <w:shd w:fill="FFFFFF" w:val="clear"/>
        </w:rPr>
        <w:t xml:space="preserve"> on the basis of a </w:t>
      </w:r>
      <w:r>
        <w:rPr>
          <w:rStyle w:val="Emphasis"/>
          <w:rFonts w:ascii="Times New Roman;Times;serif" w:hAnsi="Times New Roman;Times;serif"/>
          <w:sz w:val="20"/>
          <w:shd w:fill="FFFFFF" w:val="clear"/>
        </w:rPr>
        <w:t>two</w:t>
      </w:r>
      <w:r>
        <w:rPr>
          <w:rFonts w:ascii="Times New Roman;Times;serif" w:hAnsi="Times New Roman;Times;serif"/>
          <w:sz w:val="20"/>
          <w:shd w:fill="FFFFFF" w:val="clear"/>
        </w:rPr>
        <w:t>-step process in which (</w:t>
      </w:r>
      <w:r>
        <w:rPr>
          <w:rStyle w:val="Emphasis"/>
          <w:rFonts w:ascii="Times New Roman;Times;serif" w:hAnsi="Times New Roman;Times;serif"/>
          <w:sz w:val="20"/>
          <w:shd w:fill="FFFFFF" w:val="clear"/>
        </w:rPr>
        <w:t>1</w:t>
      </w:r>
      <w:r>
        <w:rPr>
          <w:rFonts w:ascii="Times New Roman;Times;serif" w:hAnsi="Times New Roman;Times;serif"/>
          <w:sz w:val="20"/>
          <w:shd w:fill="FFFFFF" w:val="clear"/>
        </w:rPr>
        <w:t xml:space="preserve">) it determines whether it is more likely than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that the tax positions will be sustained on the basis of the technical merits of the position and (</w:t>
      </w:r>
      <w:r>
        <w:rPr>
          <w:rStyle w:val="Emphasis"/>
          <w:rFonts w:ascii="Times New Roman;Times;serif" w:hAnsi="Times New Roman;Times;serif"/>
          <w:sz w:val="20"/>
          <w:shd w:fill="FFFFFF" w:val="clear"/>
        </w:rPr>
        <w:t>2</w:t>
      </w:r>
      <w:r>
        <w:rPr>
          <w:rFonts w:ascii="Times New Roman;Times;serif" w:hAnsi="Times New Roman;Times;serif"/>
          <w:sz w:val="20"/>
          <w:shd w:fill="FFFFFF" w:val="clear"/>
        </w:rPr>
        <w:t>) for those tax positions that meet the more-likely-than-</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recognition threshold, it recognizes the largest amount of tax benefit that is more than </w:t>
      </w:r>
      <w:r>
        <w:rPr>
          <w:rStyle w:val="Emphasis"/>
          <w:rFonts w:ascii="Times New Roman;Times;serif" w:hAnsi="Times New Roman;Times;serif"/>
          <w:sz w:val="20"/>
          <w:shd w:fill="FFFFFF" w:val="clear"/>
        </w:rPr>
        <w:t>50%</w:t>
      </w:r>
      <w:r>
        <w:rPr>
          <w:rFonts w:ascii="Times New Roman;Times;serif" w:hAnsi="Times New Roman;Times;serif"/>
          <w:sz w:val="20"/>
          <w:shd w:fill="FFFFFF" w:val="clear"/>
        </w:rPr>
        <w:t xml:space="preserve"> likely to be realized upon ultimate settlement with the related tax authority.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pStyle w:val="TextBody"/>
        <w:bidi w:val="0"/>
        <w:spacing w:before="0" w:after="0"/>
        <w:ind w:left="0" w:right="0" w:hanging="0"/>
        <w:jc w:val="both"/>
        <w:rPr/>
      </w:pPr>
      <w:r>
        <w:rPr/>
        <w:t> </w:t>
      </w:r>
    </w:p>
    <w:tbl>
      <w:tblPr>
        <w:tblW w:w="1810" w:type="dxa"/>
        <w:jc w:val="left"/>
        <w:tblInd w:w="0" w:type="dxa"/>
        <w:tblLayout w:type="fixed"/>
        <w:tblCellMar>
          <w:top w:w="0" w:type="dxa"/>
          <w:left w:w="0" w:type="dxa"/>
          <w:bottom w:w="0" w:type="dxa"/>
          <w:right w:w="0" w:type="dxa"/>
        </w:tblCellMar>
      </w:tblPr>
      <w:tblGrid>
        <w:gridCol w:w="275"/>
        <w:gridCol w:w="153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21.</w:t>
            </w:r>
          </w:p>
        </w:tc>
        <w:tc>
          <w:tcPr>
            <w:tcW w:w="153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Government Grant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receives incentives from local governments in China that encourage us to establish, maintain, or increase investment, employment, or production in the region. Because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 applicable U.S. GAAP guidance that addresses the recognition and measurement of government assistance received by a business entity, U.S. GAAP allows for the adoption of other analogous accounting guidance under ASC </w:t>
      </w:r>
      <w:r>
        <w:rPr>
          <w:rStyle w:val="Emphasis"/>
          <w:rFonts w:ascii="Times New Roman" w:hAnsi="Times New Roman"/>
          <w:caps w:val="false"/>
          <w:smallCaps w:val="false"/>
          <w:sz w:val="20"/>
        </w:rPr>
        <w:t>958</w:t>
      </w:r>
      <w:r>
        <w:rPr>
          <w:rFonts w:ascii="Times New Roman" w:hAnsi="Times New Roman"/>
          <w:caps w:val="false"/>
          <w:smallCaps w:val="false"/>
          <w:sz w:val="20"/>
        </w:rPr>
        <w:t>-</w:t>
      </w:r>
      <w:r>
        <w:rPr>
          <w:rStyle w:val="Emphasis"/>
          <w:rFonts w:ascii="Times New Roman" w:hAnsi="Times New Roman"/>
          <w:caps w:val="false"/>
          <w:smallCaps w:val="false"/>
          <w:sz w:val="20"/>
        </w:rPr>
        <w:t>605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-for-Profit Entities – Revenue Recognition). The Company accounts for the grant as other income based on the substance of the incentive received when the conditions associated with the grant are substantially met and collection is reasonably assured.</w:t>
      </w:r>
    </w:p>
    <w:p>
      <w:pPr>
        <w:pStyle w:val="TextBody"/>
        <w:bidi w:val="0"/>
        <w:spacing w:before="0" w:after="0"/>
        <w:ind w:left="0" w:right="0" w:firstLine="720"/>
        <w:jc w:val="left"/>
        <w:rPr/>
      </w:pPr>
      <w:r>
        <w:rPr/>
        <w:t xml:space="preserve">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sz w:val="20"/>
        </w:rPr>
        <w:t xml:space="preserve"> </w:t>
      </w:r>
    </w:p>
    <w:p>
      <w:pPr>
        <w:pStyle w:val="TextBody"/>
        <w:bidi w:val="0"/>
        <w:spacing w:before="0" w:after="0"/>
        <w:ind w:left="0" w:right="0" w:hanging="0"/>
        <w:jc w:val="left"/>
        <w:rPr/>
      </w:pPr>
      <w:r>
        <w:rPr/>
        <w:t> </w:t>
      </w:r>
    </w:p>
    <w:tbl>
      <w:tblPr>
        <w:tblW w:w="4990" w:type="dxa"/>
        <w:jc w:val="left"/>
        <w:tblInd w:w="0" w:type="dxa"/>
        <w:tblLayout w:type="fixed"/>
        <w:tblCellMar>
          <w:top w:w="0" w:type="dxa"/>
          <w:left w:w="0" w:type="dxa"/>
          <w:bottom w:w="0" w:type="dxa"/>
          <w:right w:w="0" w:type="dxa"/>
        </w:tblCellMar>
      </w:tblPr>
      <w:tblGrid>
        <w:gridCol w:w="275"/>
        <w:gridCol w:w="471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22.</w:t>
            </w:r>
          </w:p>
        </w:tc>
        <w:tc>
          <w:tcPr>
            <w:tcW w:w="4715"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Global Intangible Low-taxed Income Provisions ("GILTI")</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One of the base broadening provisions of the U.S. Tax Cuts and Jobs Act of </w:t>
      </w:r>
      <w:r>
        <w:rPr>
          <w:rStyle w:val="Emphasis"/>
          <w:rFonts w:ascii="Times New Roman;Times;serif" w:hAnsi="Times New Roman;Times;serif"/>
          <w:sz w:val="20"/>
          <w:shd w:fill="FFFFFF" w:val="clear"/>
        </w:rPr>
        <w:t>2017</w:t>
      </w:r>
      <w:r>
        <w:rPr>
          <w:rFonts w:ascii="Times New Roman;Times;serif" w:hAnsi="Times New Roman;Times;serif"/>
          <w:sz w:val="20"/>
          <w:shd w:fill="FFFFFF" w:val="clear"/>
        </w:rPr>
        <w:t xml:space="preserve"> ("the </w:t>
      </w:r>
      <w:r>
        <w:rPr>
          <w:rStyle w:val="Emphasis"/>
          <w:rFonts w:ascii="Times New Roman;Times;serif" w:hAnsi="Times New Roman;Times;serif"/>
          <w:sz w:val="20"/>
          <w:shd w:fill="FFFFFF" w:val="clear"/>
        </w:rPr>
        <w:t>2017</w:t>
      </w:r>
      <w:r>
        <w:rPr>
          <w:rFonts w:ascii="Times New Roman;Times;serif" w:hAnsi="Times New Roman;Times;serif"/>
          <w:sz w:val="20"/>
          <w:shd w:fill="FFFFFF" w:val="clear"/>
        </w:rPr>
        <w:t xml:space="preserve"> Act") is the global intangible low-taxed income provisions ("GILTI"). In accordance with guidance issued by the FASB staff, the Company has adopted an accounting policy to treat any GILTI inclusions as a period cost if and when incurred. Thus, for the fiscal years ended </w:t>
      </w:r>
      <w:r>
        <w:rPr>
          <w:rStyle w:val="Emphasis"/>
          <w:rFonts w:ascii="Times New Roman;Times;serif" w:hAnsi="Times New Roman;Times;serif"/>
          <w:sz w:val="20"/>
          <w:shd w:fill="FFFFFF" w:val="clear"/>
        </w:rPr>
        <w:t>December 31, 2025, December 31,</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 xml:space="preserve">December 31, 2023, </w:t>
      </w:r>
      <w:r>
        <w:rPr>
          <w:rFonts w:ascii="Times New Roman;Times;serif" w:hAnsi="Times New Roman;Times;serif"/>
          <w:sz w:val="20"/>
          <w:shd w:fill="FFFFFF" w:val="clear"/>
        </w:rPr>
        <w:t>deferred taxes were computed without consideration of the possible future impact of the GILTI provisions, and any current year impact was recorded as a part of the current portion of income tax expense.</w:t>
      </w:r>
    </w:p>
    <w:p>
      <w:pPr>
        <w:pStyle w:val="TextBody"/>
        <w:bidi w:val="0"/>
        <w:spacing w:before="0" w:after="0"/>
        <w:ind w:left="0" w:right="0" w:hanging="0"/>
        <w:jc w:val="both"/>
        <w:rPr/>
      </w:pPr>
      <w:r>
        <w:rPr/>
        <w:t> </w:t>
      </w:r>
    </w:p>
    <w:tbl>
      <w:tblPr>
        <w:tblW w:w="3295" w:type="dxa"/>
        <w:jc w:val="left"/>
        <w:tblInd w:w="0" w:type="dxa"/>
        <w:tblLayout w:type="fixed"/>
        <w:tblCellMar>
          <w:top w:w="0" w:type="dxa"/>
          <w:left w:w="0" w:type="dxa"/>
          <w:bottom w:w="0" w:type="dxa"/>
          <w:right w:w="0" w:type="dxa"/>
        </w:tblCellMar>
      </w:tblPr>
      <w:tblGrid>
        <w:gridCol w:w="275"/>
        <w:gridCol w:w="302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sz w:val="20"/>
                <w:shd w:fill="FFFFFF" w:val="clear"/>
              </w:rPr>
              <w:t>23.</w:t>
            </w:r>
          </w:p>
        </w:tc>
        <w:tc>
          <w:tcPr>
            <w:tcW w:w="3020" w:type="dxa"/>
            <w:tcBorders/>
            <w:vAlign w:val="center"/>
          </w:tcPr>
          <w:p>
            <w:pPr>
              <w:pStyle w:val="TableContents"/>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Recent Accounting Pronouncements </w:t>
            </w:r>
          </w:p>
        </w:tc>
      </w:tr>
    </w:tbl>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both"/>
        <w:rPr/>
      </w:pPr>
      <w:r>
        <w:rPr>
          <w:rFonts w:ascii="Times New Roman;Times;serif" w:hAnsi="Times New Roman;Times;serif"/>
          <w:b/>
          <w:sz w:val="20"/>
          <w:shd w:fill="FFFFFF" w:val="clear"/>
        </w:rPr>
        <w:t xml:space="preserve">Recent Accounting Pronouncements Adopted in </w:t>
      </w:r>
      <w:r>
        <w:rPr>
          <w:rStyle w:val="Emphasis"/>
          <w:rFonts w:ascii="Times New Roman;Times;serif" w:hAnsi="Times New Roman;Times;serif"/>
          <w:b/>
          <w:sz w:val="20"/>
        </w:rPr>
        <w:t>2025</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Income Taxes (Topic </w:t>
      </w:r>
      <w:r>
        <w:rPr>
          <w:rStyle w:val="Emphasis"/>
          <w:rFonts w:ascii="Times New Roman;Times;serif" w:hAnsi="Times New Roman;Times;serif"/>
          <w:sz w:val="20"/>
        </w:rPr>
        <w:t>740</w:t>
      </w:r>
      <w:r>
        <w:rPr>
          <w:rFonts w:ascii="Times New Roman;Times;serif" w:hAnsi="Times New Roman;Times;serif"/>
          <w:sz w:val="20"/>
        </w:rPr>
        <w:t xml:space="preserve">):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w:t>
      </w:r>
      <w:r>
        <w:rPr>
          <w:rStyle w:val="Emphasis"/>
          <w:rFonts w:ascii="Times New Roman;Times;serif" w:hAnsi="Times New Roman;Times;serif"/>
          <w:sz w:val="20"/>
        </w:rPr>
        <w:t>December 15, 2024, </w:t>
      </w:r>
      <w:r>
        <w:rPr>
          <w:rFonts w:ascii="Times New Roman;Times;serif" w:hAnsi="Times New Roman;Times;serif"/>
          <w:sz w:val="20"/>
        </w:rPr>
        <w:t xml:space="preserve">with early adoption permitted. The adoption is expected to enhance the Company's Notes to the Consolidated Financial Statements. We adopted this ASU on a prospective basis effective </w:t>
      </w:r>
      <w:r>
        <w:rPr>
          <w:rStyle w:val="Emphasis"/>
          <w:rFonts w:ascii="Times New Roman;Times;serif" w:hAnsi="Times New Roman;Times;serif"/>
          <w:sz w:val="20"/>
        </w:rPr>
        <w:t xml:space="preserve">January 1, 2025. </w:t>
      </w:r>
      <w:r>
        <w:rPr>
          <w:rFonts w:ascii="Times New Roman;Times;serif" w:hAnsi="Times New Roman;Times;serif"/>
          <w:sz w:val="20"/>
        </w:rPr>
        <w:t>Refer to Note O, Income Taxes for the inclusion of new disclosures required.</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Recent Accounting Pronouncements Yet to be Adopted</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 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to improve the disclosures about an entity's expenses. Upon adoption, we will be required to disclose in the notes a disaggregation of certain expense categories included within the expense captions of the income statement. The standard is effective for our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annual period, and our interim periods beginning in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Company is currently evaluating the impact of the new standard will have on its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Intangibles—Goodwill and Other—Internal-Use Software, which modernizes the accounting for internal-use software and clarifies capitalization criteria. The updated standard is effective for us beginning with our interim and annual reporting periods of fiscal </w:t>
      </w:r>
      <w:r>
        <w:rPr>
          <w:rStyle w:val="Emphasis"/>
          <w:rFonts w:ascii="Times New Roman" w:hAnsi="Times New Roman"/>
          <w:caps w:val="false"/>
          <w:smallCaps w:val="false"/>
          <w:sz w:val="20"/>
        </w:rPr>
        <w:t>2029.</w:t>
      </w:r>
      <w:r>
        <w:rPr>
          <w:rFonts w:ascii="Times New Roman" w:hAnsi="Times New Roman"/>
          <w:caps w:val="false"/>
          <w:smallCaps w:val="false"/>
          <w:sz w:val="20"/>
        </w:rPr>
        <w:t xml:space="preserve"> Early adoption is permitted. We are currently evaluating the impact that the updated standard will have on our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to establish the accounting fo</w:t>
      </w:r>
      <w:r>
        <w:rPr>
          <w:rFonts w:ascii="Times New Roman" w:hAnsi="Times New Roman"/>
          <w:caps w:val="false"/>
          <w:smallCaps w:val="false"/>
          <w:sz w:val="20"/>
          <w:shd w:fill="FFFFFF" w:val="clear"/>
        </w:rPr>
        <w:t>r a government grant rece</w:t>
      </w:r>
      <w:r>
        <w:rPr>
          <w:rFonts w:ascii="Times New Roman" w:hAnsi="Times New Roman"/>
          <w:caps w:val="false"/>
          <w:smallCaps w:val="false"/>
          <w:sz w:val="20"/>
        </w:rPr>
        <w:t>ived by a business entity including guidance for (</w:t>
      </w:r>
      <w:r>
        <w:rPr>
          <w:rStyle w:val="Emphasis"/>
          <w:rFonts w:ascii="Times New Roman" w:hAnsi="Times New Roman"/>
          <w:caps w:val="false"/>
          <w:smallCaps w:val="false"/>
          <w:sz w:val="20"/>
        </w:rPr>
        <w:t>1</w:t>
      </w:r>
      <w:r>
        <w:rPr>
          <w:rFonts w:ascii="Times New Roman" w:hAnsi="Times New Roman"/>
          <w:caps w:val="false"/>
          <w:smallCaps w:val="false"/>
          <w:sz w:val="20"/>
        </w:rPr>
        <w:t>) a grant related to an asset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 grant related to income. For public business entities, the provisions of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are effective for fiscal years beginning after </w:t>
      </w:r>
      <w:r>
        <w:rPr>
          <w:rStyle w:val="Emphasis"/>
          <w:rFonts w:ascii="Times New Roman" w:hAnsi="Times New Roman"/>
          <w:caps w:val="false"/>
          <w:smallCaps w:val="false"/>
          <w:sz w:val="20"/>
        </w:rPr>
        <w:t xml:space="preserve">December 15, 2028. </w:t>
      </w:r>
      <w:r>
        <w:rPr>
          <w:rFonts w:ascii="Times New Roman" w:hAnsi="Times New Roman"/>
          <w:caps w:val="false"/>
          <w:smallCaps w:val="false"/>
          <w:sz w:val="20"/>
        </w:rPr>
        <w:t xml:space="preserve">Early adoption is permitted. Management is currently evaluating the requirements under this new standard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adoption to have a material impact on the Company's results of operations or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Interim Reporting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Narrow-Scope Improvements. The ASU clarifies interim disclosure requirements and the applicability of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The objective of the amendments is to provide further clarity about the current interim disclosure requirements. The ASU is effective for interim reporting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Adoption of this ASU can be applied either a prospective or a retrospective approach.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this ASU to have a material impact on our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Codification Improvements. The ASU addresses </w:t>
      </w:r>
      <w:r>
        <w:rPr>
          <w:rStyle w:val="Emphasis"/>
          <w:rFonts w:ascii="Times New Roman" w:hAnsi="Times New Roman"/>
          <w:caps w:val="false"/>
          <w:smallCaps w:val="false"/>
          <w:sz w:val="20"/>
        </w:rPr>
        <w:t>thirty-three</w:t>
      </w:r>
      <w:r>
        <w:rPr>
          <w:rFonts w:ascii="Times New Roman" w:hAnsi="Times New Roman"/>
          <w:caps w:val="false"/>
          <w:smallCaps w:val="false"/>
          <w:sz w:val="20"/>
        </w:rPr>
        <w:t xml:space="preserve"> items, representing the changes to the Codification that (</w:t>
      </w:r>
      <w:r>
        <w:rPr>
          <w:rStyle w:val="Emphasis"/>
          <w:rFonts w:ascii="Times New Roman" w:hAnsi="Times New Roman"/>
          <w:caps w:val="false"/>
          <w:smallCaps w:val="false"/>
          <w:sz w:val="20"/>
        </w:rPr>
        <w:t>1</w:t>
      </w:r>
      <w:r>
        <w:rPr>
          <w:rFonts w:ascii="Times New Roman" w:hAnsi="Times New Roman"/>
          <w:caps w:val="false"/>
          <w:smallCaps w:val="false"/>
          <w:sz w:val="20"/>
        </w:rPr>
        <w:t>) clarify, (</w:t>
      </w:r>
      <w:r>
        <w:rPr>
          <w:rStyle w:val="Emphasis"/>
          <w:rFonts w:ascii="Times New Roman" w:hAnsi="Times New Roman"/>
          <w:caps w:val="false"/>
          <w:smallCaps w:val="false"/>
          <w:sz w:val="20"/>
        </w:rPr>
        <w:t>2</w:t>
      </w:r>
      <w:r>
        <w:rPr>
          <w:rFonts w:ascii="Times New Roman" w:hAnsi="Times New Roman"/>
          <w:caps w:val="false"/>
          <w:smallCaps w:val="false"/>
          <w:sz w:val="20"/>
        </w:rPr>
        <w:t>) correct errors, or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make minor improvements. Generally, the amendments in this Update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intended to result in significant changes for most entities. The ASU is effective for interim reporting periods within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The adoption method of this ASU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vary, on an issue-by-issue basis. Early adoption is permitted. We are currently evaluating the provisions of this ASU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this ASU to have a material impact on our consolidated financial statements.</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recent accounting pronouncements or changes in accounting pronouncements during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that are of significance or potential significance to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C—REVENUE RECOGNITION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from Contracts with Customers</w:t>
      </w:r>
    </w:p>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 derives revenue from the manufacture and sale of fiber optic networking products.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w:t>
      </w:r>
      <w:r>
        <w:rPr>
          <w:rStyle w:val="Emphasis"/>
          <w:rFonts w:ascii="Times New Roman;Times;serif" w:hAnsi="Times New Roman;Times;serif"/>
          <w:sz w:val="20"/>
        </w:rPr>
        <w:t xml:space="preserve">may </w:t>
      </w:r>
      <w:r>
        <w:rPr>
          <w:rFonts w:ascii="Times New Roman;Times;serif" w:hAnsi="Times New Roman;Times;serif"/>
          <w:sz w:val="20"/>
        </w:rPr>
        <w:t xml:space="preserve">receive cash and/or non-cash incentives, which are accounted for as variable consideration. To achieve this core principle, the Company applies the following </w:t>
      </w:r>
      <w:r>
        <w:rPr>
          <w:rStyle w:val="Emphasis"/>
          <w:rFonts w:ascii="Times New Roman;Times;serif" w:hAnsi="Times New Roman;Times;serif"/>
          <w:sz w:val="20"/>
        </w:rPr>
        <w:t>five</w:t>
      </w:r>
      <w:r>
        <w:rPr>
          <w:rFonts w:ascii="Times New Roman;Times;serif" w:hAnsi="Times New Roman;Times;serif"/>
          <w:sz w:val="20"/>
        </w:rPr>
        <w:t xml:space="preserve"> steps: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sz w:val="20"/>
          <w:u w:val="single"/>
        </w:rPr>
        <w:t>1.</w:t>
      </w:r>
      <w:r>
        <w:rPr>
          <w:rFonts w:ascii="Times New Roman;Times;serif" w:hAnsi="Times New Roman;Times;serif"/>
          <w:sz w:val="20"/>
          <w:u w:val="single"/>
        </w:rPr>
        <w:t xml:space="preserve"> Identify the contract with a customer</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pPr>
      <w:r>
        <w:rPr>
          <w:rStyle w:val="Emphasis"/>
          <w:rFonts w:ascii="Times New Roman;Times;serif" w:hAnsi="Times New Roman;Times;serif"/>
          <w:sz w:val="20"/>
          <w:u w:val="single"/>
          <w:shd w:fill="FFFFFF" w:val="clear"/>
        </w:rPr>
        <w:t>2.</w:t>
      </w:r>
      <w:r>
        <w:rPr>
          <w:rFonts w:ascii="Times New Roman;Times;serif" w:hAnsi="Times New Roman;Times;serif"/>
          <w:sz w:val="20"/>
          <w:u w:val="single"/>
          <w:shd w:fill="FFFFFF" w:val="clear"/>
        </w:rPr>
        <w:t xml:space="preserve"> Identify the performance obligations in the contract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w:t>
      </w:r>
      <w:r>
        <w:rPr>
          <w:rStyle w:val="Emphasis"/>
          <w:rFonts w:ascii="Times New Roman;Times;serif" w:hAnsi="Times New Roman;Times;serif"/>
          <w:sz w:val="20"/>
          <w:shd w:fill="FFFFFF" w:val="clear"/>
        </w:rPr>
        <w:t>third</w:t>
      </w:r>
      <w:r>
        <w:rPr>
          <w:rFonts w:ascii="Times New Roman;Times;serif" w:hAnsi="Times New Roman;Times;serif"/>
          <w:sz w:val="20"/>
          <w:shd w:fill="FFFFFF" w:val="clear"/>
        </w:rPr>
        <w:t xml:space="preserve">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met, the promised products or services are accounted for as a combined performance obligation. The Company has elected to account for shipping and handling activities as a fulfillment cost as permitted by the standard.</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pPr>
      <w:r>
        <w:rPr>
          <w:rStyle w:val="Emphasis"/>
          <w:rFonts w:ascii="Times New Roman;Times;serif" w:hAnsi="Times New Roman;Times;serif"/>
          <w:sz w:val="20"/>
          <w:u w:val="single"/>
          <w:shd w:fill="FFFFFF" w:val="clear"/>
        </w:rPr>
        <w:t>3.</w:t>
      </w:r>
      <w:r>
        <w:rPr>
          <w:rFonts w:ascii="Times New Roman;Times;serif" w:hAnsi="Times New Roman;Times;serif"/>
          <w:sz w:val="20"/>
          <w:u w:val="single"/>
          <w:shd w:fill="FFFFFF" w:val="clear"/>
        </w:rPr>
        <w:t xml:space="preserve"> Determine the transaction price</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that the rebate conditions will be met.</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both"/>
        <w:rPr/>
      </w:pPr>
      <w:r>
        <w:rPr>
          <w:rStyle w:val="Emphasis"/>
          <w:rFonts w:ascii="Times New Roman;Times;serif" w:hAnsi="Times New Roman;Times;serif"/>
          <w:sz w:val="20"/>
          <w:u w:val="single"/>
          <w:shd w:fill="FFFFFF" w:val="clear"/>
        </w:rPr>
        <w:t>4.</w:t>
      </w:r>
      <w:r>
        <w:rPr>
          <w:rFonts w:ascii="Times New Roman;Times;serif" w:hAnsi="Times New Roman;Times;serif"/>
          <w:sz w:val="20"/>
          <w:u w:val="single"/>
          <w:shd w:fill="FFFFFF" w:val="clear"/>
        </w:rPr>
        <w:t xml:space="preserve"> Allocate the transaction price to performance obligations in the contract</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for each performance obligation. The Company determines standalone selling price based on the price at which the performance obligation is sold separately.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In cases where there is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directly observable stand alone selling price, allowable estimation methods are used. For example for contracts involving non-recurring engineering, an expected cost plus margin approach has typically been adopted to estimate the standalone selling price.</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sz w:val="20"/>
          <w:u w:val="single"/>
          <w:shd w:fill="FFFFFF" w:val="clear"/>
        </w:rPr>
        <w:t>5.</w:t>
      </w:r>
      <w:r>
        <w:rPr>
          <w:rFonts w:ascii="Times New Roman;Times;serif" w:hAnsi="Times New Roman;Times;serif"/>
          <w:sz w:val="20"/>
          <w:u w:val="single"/>
          <w:shd w:fill="FFFFFF" w:val="clear"/>
        </w:rPr>
        <w:t xml:space="preserve"> Recognize revenue when or as the Company satisfies a performance obligation</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For product sales, the Company generally satisfies performance obligations at a point in time, most often upon shipment of a product to the customer or delivery of the product to the customer.  </w:t>
      </w:r>
      <w:r>
        <w:rPr>
          <w:rFonts w:ascii="Times New Roman;Times;serif" w:hAnsi="Times New Roman;Times;serif"/>
          <w:sz w:val="20"/>
        </w:rPr>
        <w:t>In the case of such point in time satisfaction of a performance obligation, r</w:t>
      </w:r>
      <w:r>
        <w:rPr>
          <w:rFonts w:ascii="Times New Roman;Times;serif" w:hAnsi="Times New Roman;Times;serif"/>
          <w:sz w:val="20"/>
          <w:shd w:fill="FFFFFF" w:val="clear"/>
        </w:rPr>
        <w:t>evenue is recognized based on the transaction price at the time the related performance obligation is satisfied.</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service obligations, the Company generally recognizes revenue over time. The most common type of service obligation encountered by the Company is an arrangement involving non-recurring engineering in which service revenue is typically recognized over time under either the time and material practical expedient, as the Company has a right to consideration from a customer, in an amount that corresponds directly with the value to the customer of the Company's performance completed to date, or under the output method, for example using contract-specific milestones or other objective measures of progress.</w:t>
      </w:r>
    </w:p>
    <w:p>
      <w:pPr>
        <w:pStyle w:val="TextBody"/>
        <w:bidi w:val="0"/>
        <w:spacing w:before="0" w:after="0"/>
        <w:ind w:left="0" w:right="0" w:firstLine="72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Disaggregation of Revenue</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Revenue is classified based on the location of where the product is manufactured. For additional information on the disaggregated revenues by geographical region, see Note R, "Segments and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Revenue is also classified by major product category and is presented below (in thousands):</w:t>
      </w:r>
    </w:p>
    <w:p>
      <w:pPr>
        <w:pStyle w:val="TextBody"/>
        <w:bidi w:val="0"/>
        <w:spacing w:before="0" w:after="0"/>
        <w:ind w:left="0" w:right="0" w:hanging="0"/>
        <w:jc w:val="both"/>
        <w:rPr>
          <w:shd w:fill="FFFFFF" w:val="clear"/>
        </w:rPr>
      </w:pPr>
      <w:r>
        <w:rPr>
          <w:shd w:fill="FFFFFF" w:val="clear"/>
        </w:rPr>
        <w:t>  </w:t>
      </w:r>
    </w:p>
    <w:tbl>
      <w:tblPr>
        <w:tblW w:w="7040" w:type="dxa"/>
        <w:jc w:val="left"/>
        <w:tblInd w:w="0" w:type="dxa"/>
        <w:tblLayout w:type="fixed"/>
        <w:tblCellMar>
          <w:top w:w="0" w:type="dxa"/>
          <w:left w:w="0" w:type="dxa"/>
          <w:bottom w:w="0" w:type="dxa"/>
          <w:right w:w="0" w:type="dxa"/>
        </w:tblCellMar>
      </w:tblPr>
      <w:tblGrid>
        <w:gridCol w:w="1310"/>
        <w:gridCol w:w="60"/>
        <w:gridCol w:w="125"/>
        <w:gridCol w:w="695"/>
        <w:gridCol w:w="60"/>
        <w:gridCol w:w="60"/>
        <w:gridCol w:w="79"/>
        <w:gridCol w:w="646"/>
        <w:gridCol w:w="185"/>
        <w:gridCol w:w="60"/>
        <w:gridCol w:w="125"/>
        <w:gridCol w:w="695"/>
        <w:gridCol w:w="60"/>
        <w:gridCol w:w="60"/>
        <w:gridCol w:w="79"/>
        <w:gridCol w:w="646"/>
        <w:gridCol w:w="185"/>
        <w:gridCol w:w="60"/>
        <w:gridCol w:w="125"/>
        <w:gridCol w:w="695"/>
        <w:gridCol w:w="60"/>
        <w:gridCol w:w="60"/>
        <w:gridCol w:w="79"/>
        <w:gridCol w:w="646"/>
        <w:gridCol w:w="185"/>
      </w:tblGrid>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8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Years ended December 31,</w:t>
            </w:r>
          </w:p>
        </w:tc>
        <w:tc>
          <w:tcPr>
            <w:tcW w:w="18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CATV</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Data Center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FTTH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caps w:val="false"/>
          <w:smallCaps w:val="false"/>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2025, </w:t>
      </w:r>
      <w:r>
        <w:rPr>
          <w:rFonts w:ascii="Times New Roman" w:hAnsi="Times New Roman"/>
          <w:caps w:val="false"/>
          <w:smallCaps w:val="false"/>
          <w:sz w:val="20"/>
        </w:rPr>
        <w:t xml:space="preserve">the Company issued a warrant (the "Customer Warrant") to a wholly-owned subsidiary of Amazon.com, Inc.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vest over the next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The grant date fair value of the Customer Warrant was determined to be $12.64 per share, using the Black-Scholes-Merton option pricing model. </w:t>
      </w:r>
    </w:p>
    <w:p>
      <w:pPr>
        <w:pStyle w:val="TextBody"/>
        <w:bidi w:val="0"/>
        <w:spacing w:before="0" w:after="283"/>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The per share grant date fair value of the Customer Warranty was estimated using the following assumptions:</w:t>
      </w:r>
    </w:p>
    <w:p>
      <w:pPr>
        <w:pStyle w:val="TextBody"/>
        <w:bidi w:val="0"/>
        <w:spacing w:before="0" w:after="0"/>
        <w:ind w:left="0" w:right="0" w:firstLine="720"/>
        <w:jc w:val="center"/>
        <w:rPr>
          <w:caps w:val="false"/>
          <w:smallCaps w:val="false"/>
        </w:rPr>
      </w:pPr>
      <w:r>
        <w:rPr>
          <w:caps w:val="false"/>
          <w:smallCaps w:val="false"/>
        </w:rPr>
        <w:t> </w:t>
      </w:r>
    </w:p>
    <w:tbl>
      <w:tblPr>
        <w:tblW w:w="4934" w:type="dxa"/>
        <w:jc w:val="left"/>
        <w:tblInd w:w="0" w:type="dxa"/>
        <w:tblLayout w:type="fixed"/>
        <w:tblCellMar>
          <w:top w:w="0" w:type="dxa"/>
          <w:left w:w="0" w:type="dxa"/>
          <w:bottom w:w="0" w:type="dxa"/>
          <w:right w:w="0" w:type="dxa"/>
        </w:tblCellMar>
      </w:tblPr>
      <w:tblGrid>
        <w:gridCol w:w="3485"/>
        <w:gridCol w:w="60"/>
        <w:gridCol w:w="132"/>
        <w:gridCol w:w="1072"/>
        <w:gridCol w:w="18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recognized approximately $33.1 million of revenue associated with customer arrangements that included the issuance of warrants. The impact of these arrangements on the Company's consolidated financial statements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for the periods presented.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Company recorded other current asset of $1.0 million and other noncurrent asset of $15.0 million, representing the aggregate grant-date fair value of 1,324,233 Warrant Shares vested at the issuance.</w:t>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shd w:fill="FFFFFF" w:val="clear"/>
        </w:rPr>
        <w:t>NOTE D— </w:t>
      </w:r>
      <w:r>
        <w:rPr>
          <w:rFonts w:ascii="Times New Roman;Times;serif" w:hAnsi="Times New Roman;Times;serif"/>
          <w:b/>
          <w:caps/>
          <w:sz w:val="20"/>
          <w:shd w:fill="FFFFFF" w:val="clear"/>
        </w:rPr>
        <w:t>Leases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leases space under non-cancellable operating leases for manufacturing facilities, research and development offices and certain storage facilities and apartments. These leases do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contain contingent rent provisions. The Company also leases certain machinery, office equipment and a vehicle under operating leases. The</w:t>
      </w:r>
      <w:r>
        <w:rPr>
          <w:rFonts w:ascii="Times New Roman;Times;serif" w:hAnsi="Times New Roman;Times;serif"/>
          <w:sz w:val="20"/>
        </w:rPr>
        <w:t xml:space="preserve"> Company determines if an arrangement is or contains a lease at contract inception. </w:t>
      </w:r>
      <w:r>
        <w:rPr>
          <w:rFonts w:ascii="Times New Roman;Times;serif" w:hAnsi="Times New Roman;Times;serif"/>
          <w:sz w:val="20"/>
          <w:shd w:fill="FFFFFF" w:val="clear"/>
        </w:rPr>
        <w:t xml:space="preserve">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or more options to renew which have been assessed and either included or excluded from the calculation of the lease liability of the right-of-use ("ROU") asset based on management’s intentions and individual fact patterns. Several warehouses and apartments have non-cancellable lease terms of less than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-year and therefore, the Company has elected the practical expedient to exclude these short-term leases from its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7, 2024, </w:t>
      </w:r>
      <w:r>
        <w:rPr>
          <w:rFonts w:ascii="Times New Roman" w:hAnsi="Times New Roman"/>
          <w:caps w:val="false"/>
          <w:smallCaps w:val="false"/>
          <w:sz w:val="20"/>
        </w:rPr>
        <w:t xml:space="preserve">Prime World entered into a Land and Building Lease Agreement with San Ho Enterprise Co., Ltd. ("San Ho Enterprise"), under which Prime World will lease approximately 38,072 square feet of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adjoining parcels of land, in New Taipei City. The lease also included a building on these parcels, totaling approximately 36,662 square feet. The lease term is for fifteen years, commencing on </w:t>
      </w:r>
      <w:r>
        <w:rPr>
          <w:rStyle w:val="Emphasis"/>
          <w:rFonts w:ascii="Times New Roman" w:hAnsi="Times New Roman"/>
          <w:caps w:val="false"/>
          <w:smallCaps w:val="false"/>
          <w:sz w:val="20"/>
        </w:rPr>
        <w:t xml:space="preserve">December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November 30, 2039. </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-month renovation period from </w:t>
      </w:r>
      <w:r>
        <w:rPr>
          <w:rStyle w:val="Emphasis"/>
          <w:rFonts w:ascii="Times New Roman" w:hAnsi="Times New Roman"/>
          <w:caps w:val="false"/>
          <w:smallCaps w:val="false"/>
          <w:sz w:val="20"/>
        </w:rPr>
        <w:t xml:space="preserve">October 1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November 30, 2024, </w:t>
      </w:r>
      <w:r>
        <w:rPr>
          <w:rFonts w:ascii="Times New Roman" w:hAnsi="Times New Roman"/>
          <w:caps w:val="false"/>
          <w:smallCaps w:val="false"/>
          <w:sz w:val="20"/>
        </w:rPr>
        <w:t xml:space="preserve">preceded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rent was charged by San Ho Enterprise.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percent (3%) every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caps w:val="false"/>
          <w:smallCaps w:val="false"/>
        </w:rPr>
        <w:t>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7, 2025, </w:t>
      </w:r>
      <w:r>
        <w:rPr>
          <w:rFonts w:ascii="Times New Roman" w:hAnsi="Times New Roman"/>
          <w:caps w:val="false"/>
          <w:smallCaps w:val="false"/>
          <w:sz w:val="20"/>
        </w:rPr>
        <w:t>Prime World entered into a Land and Building Lease Agreement with San Ho Electric Machinery Industry Co., Ltd. ("San Ho Electric") in Taoyuan City. On </w:t>
      </w:r>
      <w:r>
        <w:rPr>
          <w:rStyle w:val="Emphasis"/>
          <w:rFonts w:ascii="Times New Roman" w:hAnsi="Times New Roman"/>
          <w:caps w:val="false"/>
          <w:smallCaps w:val="false"/>
          <w:sz w:val="20"/>
        </w:rPr>
        <w:t xml:space="preserve"> August 20, 2025, </w:t>
      </w:r>
      <w:r>
        <w:rPr>
          <w:rFonts w:ascii="Times New Roman" w:hAnsi="Times New Roman"/>
          <w:caps w:val="false"/>
          <w:smallCaps w:val="false"/>
          <w:sz w:val="20"/>
        </w:rPr>
        <w:t>Prime World terminated the lease with San Ho Electric and agreed to pay a termination fee in full settlement of rent, fees, damages and other amounts arising from the early termination of the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 2025, </w:t>
      </w:r>
      <w:r>
        <w:rPr>
          <w:rFonts w:ascii="Times New Roman" w:hAnsi="Times New Roman"/>
          <w:caps w:val="false"/>
          <w:smallCaps w:val="false"/>
          <w:sz w:val="20"/>
        </w:rPr>
        <w:t>Prime World entered into a Lease Agreement with International Games System Co., Ltd., under which Prime World will lease a parcel of land with a total area of approximately 65,580 square feet, in New Taipei City. The lease includes a building on the parcel, totaling approximately 346,212 square feet, excluding approximately 54,086 square feet of the leased property which, at the time, had previously been leased to an existing tenant. The lease term is for fifteen years, commencing </w:t>
      </w:r>
      <w:r>
        <w:rPr>
          <w:rStyle w:val="Emphasis"/>
          <w:rFonts w:ascii="Times New Roman" w:hAnsi="Times New Roman"/>
          <w:caps w:val="false"/>
          <w:smallCaps w:val="false"/>
          <w:sz w:val="20"/>
        </w:rPr>
        <w:t xml:space="preserve"> November 1, 2025, </w:t>
      </w:r>
      <w:r>
        <w:rPr>
          <w:rFonts w:ascii="Times New Roman" w:hAnsi="Times New Roman"/>
          <w:caps w:val="false"/>
          <w:smallCaps w:val="false"/>
          <w:sz w:val="20"/>
        </w:rPr>
        <w:t>and ending </w:t>
      </w:r>
      <w:r>
        <w:rPr>
          <w:rStyle w:val="Emphasis"/>
          <w:rFonts w:ascii="Times New Roman" w:hAnsi="Times New Roman"/>
          <w:caps w:val="false"/>
          <w:smallCaps w:val="false"/>
          <w:sz w:val="20"/>
        </w:rPr>
        <w:t xml:space="preserve"> October 31, 2040. </w:t>
      </w:r>
      <w:r>
        <w:rPr>
          <w:rFonts w:ascii="Times New Roman" w:hAnsi="Times New Roman"/>
          <w:caps w:val="false"/>
          <w:smallCaps w:val="false"/>
          <w:sz w:val="20"/>
        </w:rPr>
        <w:t>A </w:t>
      </w:r>
      <w:r>
        <w:rPr>
          <w:rStyle w:val="Emphasis"/>
          <w:rFonts w:ascii="Times New Roman" w:hAnsi="Times New Roman"/>
          <w:caps w:val="false"/>
          <w:smallCaps w:val="false"/>
          <w:sz w:val="20"/>
        </w:rPr>
        <w:t>two</w:t>
      </w:r>
      <w:r>
        <w:rPr>
          <w:rFonts w:ascii="Times New Roman" w:hAnsi="Times New Roman"/>
          <w:caps w:val="false"/>
          <w:smallCaps w:val="false"/>
          <w:sz w:val="20"/>
        </w:rPr>
        <w:t>-month renovation period from </w:t>
      </w:r>
      <w:r>
        <w:rPr>
          <w:rStyle w:val="Emphasis"/>
          <w:rFonts w:ascii="Times New Roman" w:hAnsi="Times New Roman"/>
          <w:caps w:val="false"/>
          <w:smallCaps w:val="false"/>
          <w:sz w:val="20"/>
        </w:rPr>
        <w:t xml:space="preserve"> September 1 </w:t>
      </w:r>
      <w:r>
        <w:rPr>
          <w:rFonts w:ascii="Times New Roman" w:hAnsi="Times New Roman"/>
          <w:caps w:val="false"/>
          <w:smallCaps w:val="false"/>
          <w:sz w:val="20"/>
        </w:rPr>
        <w:t>to </w:t>
      </w:r>
      <w:r>
        <w:rPr>
          <w:rStyle w:val="Emphasis"/>
          <w:rFonts w:ascii="Times New Roman" w:hAnsi="Times New Roman"/>
          <w:caps w:val="false"/>
          <w:smallCaps w:val="false"/>
          <w:sz w:val="20"/>
        </w:rPr>
        <w:t xml:space="preserve"> October 1, 2025, </w:t>
      </w:r>
      <w:r>
        <w:rPr>
          <w:rFonts w:ascii="Times New Roman" w:hAnsi="Times New Roman"/>
          <w:caps w:val="false"/>
          <w:smallCaps w:val="false"/>
          <w:sz w:val="20"/>
        </w:rPr>
        <w:t>preceded the lease term, during which </w:t>
      </w:r>
      <w:r>
        <w:rPr>
          <w:rStyle w:val="Emphasis"/>
          <w:rFonts w:ascii="Times New Roman" w:hAnsi="Times New Roman"/>
          <w:caps w:val="false"/>
          <w:smallCaps w:val="false"/>
          <w:sz w:val="20"/>
        </w:rPr>
        <w:t>no</w:t>
      </w:r>
      <w:r>
        <w:rPr>
          <w:rFonts w:ascii="Times New Roman" w:hAnsi="Times New Roman"/>
          <w:caps w:val="false"/>
          <w:smallCaps w:val="false"/>
          <w:sz w:val="20"/>
        </w:rPr>
        <w:t> rent was charged. During the lease term, the monthly rent will increase by </w:t>
      </w:r>
      <w:r>
        <w:rPr>
          <w:rStyle w:val="Emphasis"/>
          <w:rFonts w:ascii="Times New Roman" w:hAnsi="Times New Roman"/>
          <w:caps w:val="false"/>
          <w:smallCaps w:val="false"/>
          <w:sz w:val="20"/>
        </w:rPr>
        <w:t>three</w:t>
      </w:r>
      <w:r>
        <w:rPr>
          <w:rFonts w:ascii="Times New Roman" w:hAnsi="Times New Roman"/>
          <w:caps w:val="false"/>
          <w:smallCaps w:val="false"/>
          <w:sz w:val="20"/>
        </w:rPr>
        <w:t> percent (3%) every </w:t>
      </w:r>
      <w:r>
        <w:rPr>
          <w:rStyle w:val="Emphasis"/>
          <w:rFonts w:ascii="Times New Roman" w:hAnsi="Times New Roman"/>
          <w:caps w:val="false"/>
          <w:smallCaps w:val="false"/>
          <w:sz w:val="20"/>
        </w:rPr>
        <w:t>five</w:t>
      </w:r>
      <w:r>
        <w:rPr>
          <w:rFonts w:ascii="Times New Roman" w:hAnsi="Times New Roman"/>
          <w:caps w:val="false"/>
          <w:smallCaps w:val="false"/>
          <w:sz w:val="20"/>
        </w:rPr>
        <w:t> years. On </w:t>
      </w:r>
      <w:r>
        <w:rPr>
          <w:rStyle w:val="Emphasis"/>
          <w:rFonts w:ascii="Times New Roman" w:hAnsi="Times New Roman"/>
          <w:caps w:val="false"/>
          <w:smallCaps w:val="false"/>
          <w:sz w:val="20"/>
        </w:rPr>
        <w:t xml:space="preserve"> October 28, 2025, </w:t>
      </w:r>
      <w:r>
        <w:rPr>
          <w:rFonts w:ascii="Times New Roman" w:hAnsi="Times New Roman"/>
          <w:caps w:val="false"/>
          <w:smallCaps w:val="false"/>
          <w:sz w:val="20"/>
        </w:rPr>
        <w:t>Prime World entered into a lease to include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floor which was previously excluded in the leased entered into on </w:t>
      </w:r>
      <w:r>
        <w:rPr>
          <w:rStyle w:val="Emphasis"/>
          <w:rFonts w:ascii="Times New Roman" w:hAnsi="Times New Roman"/>
          <w:caps w:val="false"/>
          <w:smallCaps w:val="false"/>
          <w:sz w:val="20"/>
        </w:rPr>
        <w:t>September 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caps w:val="false"/>
          <w:smallCaps w:val="false"/>
        </w:rPr>
        <w:t xml:space="preserve">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September 19, 2025, </w:t>
      </w:r>
      <w:r>
        <w:rPr>
          <w:rFonts w:ascii="Times New Roman" w:hAnsi="Times New Roman"/>
          <w:caps w:val="false"/>
          <w:smallCaps w:val="false"/>
          <w:sz w:val="20"/>
        </w:rPr>
        <w:t>the Company entered into a Lease Agreement with Coleman Logistics Assets LLC ("Coleman"), pursuant to which the Company will lease approximately 209,665 square feet of space located at </w:t>
      </w:r>
      <w:r>
        <w:rPr>
          <w:rStyle w:val="Emphasis"/>
          <w:rFonts w:ascii="Times New Roman" w:hAnsi="Times New Roman"/>
          <w:caps w:val="false"/>
          <w:smallCaps w:val="false"/>
          <w:sz w:val="20"/>
        </w:rPr>
        <w:t>1111</w:t>
      </w:r>
      <w:r>
        <w:rPr>
          <w:rFonts w:ascii="Times New Roman" w:hAnsi="Times New Roman"/>
          <w:caps w:val="false"/>
          <w:smallCaps w:val="false"/>
          <w:sz w:val="20"/>
        </w:rPr>
        <w:t> Gillingham Lane, Sugar Land, Texas </w:t>
      </w:r>
      <w:r>
        <w:rPr>
          <w:rStyle w:val="Emphasis"/>
          <w:rFonts w:ascii="Times New Roman" w:hAnsi="Times New Roman"/>
          <w:caps w:val="false"/>
          <w:smallCaps w:val="false"/>
          <w:sz w:val="20"/>
        </w:rPr>
        <w:t>77478.</w:t>
      </w:r>
      <w:r>
        <w:rPr>
          <w:rFonts w:ascii="Times New Roman" w:hAnsi="Times New Roman"/>
          <w:caps w:val="false"/>
          <w:smallCaps w:val="false"/>
          <w:sz w:val="20"/>
        </w:rPr>
        <w:t> The leased premises will be used by the Company primarily for manufacturing and related operations. The lease has a term of 126 months, commencing on the earlier of (i) the date the Company commences manufacturing operations within the leased premises, (ii) the date on which the leasehold improvements are substantially completed, or (iii) </w:t>
      </w:r>
      <w:r>
        <w:rPr>
          <w:rStyle w:val="Emphasis"/>
          <w:rFonts w:ascii="Times New Roman" w:hAnsi="Times New Roman"/>
          <w:caps w:val="false"/>
          <w:smallCaps w:val="false"/>
          <w:sz w:val="20"/>
        </w:rPr>
        <w:t xml:space="preserve"> March 31, 2026, </w:t>
      </w:r>
      <w:r>
        <w:rPr>
          <w:rFonts w:ascii="Times New Roman" w:hAnsi="Times New Roman"/>
          <w:caps w:val="false"/>
          <w:smallCaps w:val="false"/>
          <w:sz w:val="20"/>
        </w:rPr>
        <w:t>and expiring approximately </w:t>
      </w:r>
      <w:r>
        <w:rPr>
          <w:rStyle w:val="Emphasis"/>
          <w:rFonts w:ascii="Times New Roman" w:hAnsi="Times New Roman"/>
          <w:caps w:val="false"/>
          <w:smallCaps w:val="false"/>
          <w:sz w:val="20"/>
        </w:rPr>
        <w:t>126</w:t>
      </w:r>
      <w:r>
        <w:rPr>
          <w:rFonts w:ascii="Times New Roman" w:hAnsi="Times New Roman"/>
          <w:caps w:val="false"/>
          <w:smallCaps w:val="false"/>
          <w:sz w:val="20"/>
        </w:rPr>
        <w:t> months thereafter, unless earlier terminated in accordance with the lease. Coleman has agreed to provide a construction allowance toward the cost of leasehold improvements in an amount equal to the lesser of (i) the actual aggregate cost of such improvements or (ii) $1,886,985. Base rent under the lease is abated for the </w:t>
      </w:r>
      <w:r>
        <w:rPr>
          <w:rStyle w:val="Emphasis"/>
          <w:rFonts w:ascii="Times New Roman" w:hAnsi="Times New Roman"/>
          <w:caps w:val="false"/>
          <w:smallCaps w:val="false"/>
          <w:sz w:val="20"/>
        </w:rPr>
        <w:t>first</w:t>
      </w:r>
      <w:r>
        <w:rPr>
          <w:rFonts w:ascii="Times New Roman" w:hAnsi="Times New Roman"/>
          <w:caps w:val="false"/>
          <w:smallCaps w:val="false"/>
          <w:sz w:val="20"/>
        </w:rPr>
        <w:t> </w:t>
      </w:r>
      <w:r>
        <w:rPr>
          <w:rStyle w:val="Emphasis"/>
          <w:rFonts w:ascii="Times New Roman" w:hAnsi="Times New Roman"/>
          <w:caps w:val="false"/>
          <w:smallCaps w:val="false"/>
          <w:sz w:val="20"/>
        </w:rPr>
        <w:t>seven</w:t>
      </w:r>
      <w:r>
        <w:rPr>
          <w:rFonts w:ascii="Times New Roman" w:hAnsi="Times New Roman"/>
          <w:caps w:val="false"/>
          <w:smallCaps w:val="false"/>
          <w:sz w:val="20"/>
        </w:rPr>
        <w:t> months of the term and thereafter increases on a scheduled basis through the end of the term, reflecting an average annual escalation of approximately 3.5%. Beginning in the </w:t>
      </w:r>
      <w:r>
        <w:rPr>
          <w:rStyle w:val="Emphasis"/>
          <w:rFonts w:ascii="Times New Roman" w:hAnsi="Times New Roman"/>
          <w:caps w:val="false"/>
          <w:smallCaps w:val="false"/>
          <w:sz w:val="20"/>
        </w:rPr>
        <w:t>eighth</w:t>
      </w:r>
      <w:r>
        <w:rPr>
          <w:rFonts w:ascii="Times New Roman" w:hAnsi="Times New Roman"/>
          <w:caps w:val="false"/>
          <w:smallCaps w:val="false"/>
          <w:sz w:val="20"/>
        </w:rPr>
        <w:t> month of the term, base rent will be $7.44 per rentable square foot on an annual basis (approximately $129,992 per month), escalating periodically to $10.49 per rentable square foot on an annual basis (approximately $183,367 per month) during the final </w:t>
      </w:r>
      <w:r>
        <w:rPr>
          <w:rStyle w:val="Emphasis"/>
          <w:rFonts w:ascii="Times New Roman" w:hAnsi="Times New Roman"/>
          <w:caps w:val="false"/>
          <w:smallCaps w:val="false"/>
          <w:sz w:val="20"/>
        </w:rPr>
        <w:t>six</w:t>
      </w:r>
      <w:r>
        <w:rPr>
          <w:rFonts w:ascii="Times New Roman" w:hAnsi="Times New Roman"/>
          <w:caps w:val="false"/>
          <w:smallCaps w:val="false"/>
          <w:sz w:val="20"/>
        </w:rPr>
        <w:t> months of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Although the lease agreement was executed prior to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the lease had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commenced as of that date, as Coleman is currently completing required improvements to the leased premises. The lease will commence in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at which time the Company will recognize a ROU asset and a corresponding lease liability on its consolidated balance sheet. The total undiscounted lease payments over the initial lease term are approximately $21.9 million, which will be recognized upon lease commencement. No ROU asset or lease liability related to this agreement has been recorded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As most of the Company’s leases do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Lease expense is included under general and administrative expenses and was $4.0 million, $1.4 million and $1.2 million for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respectively. The Components of lease expense were as follows for the periods indicated (in thousands):</w:t>
      </w:r>
    </w:p>
    <w:p>
      <w:pPr>
        <w:pStyle w:val="TextBody"/>
        <w:bidi w:val="0"/>
        <w:spacing w:before="0" w:after="0"/>
        <w:ind w:left="0" w:right="0" w:hanging="0"/>
        <w:jc w:val="both"/>
        <w:rPr/>
      </w:pPr>
      <w:r>
        <w:rPr/>
        <w:t> </w:t>
      </w:r>
    </w:p>
    <w:tbl>
      <w:tblPr>
        <w:tblW w:w="6553" w:type="dxa"/>
        <w:jc w:val="left"/>
        <w:tblInd w:w="0" w:type="dxa"/>
        <w:tblLayout w:type="fixed"/>
        <w:tblCellMar>
          <w:top w:w="0" w:type="dxa"/>
          <w:left w:w="0" w:type="dxa"/>
          <w:bottom w:w="0" w:type="dxa"/>
          <w:right w:w="0" w:type="dxa"/>
        </w:tblCellMar>
      </w:tblPr>
      <w:tblGrid>
        <w:gridCol w:w="2075"/>
        <w:gridCol w:w="60"/>
        <w:gridCol w:w="434"/>
        <w:gridCol w:w="1685"/>
        <w:gridCol w:w="60"/>
        <w:gridCol w:w="60"/>
        <w:gridCol w:w="434"/>
        <w:gridCol w:w="1685"/>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expense</w:t>
            </w:r>
          </w:p>
        </w:tc>
        <w:tc>
          <w:tcPr>
            <w:tcW w:w="60" w:type="dxa"/>
            <w:tcBorders/>
            <w:shd w:fill="FFFFFF" w:val="clear"/>
            <w:vAlign w:val="center"/>
          </w:tcPr>
          <w:p>
            <w:pPr>
              <w:pStyle w:val="TableContents"/>
              <w:bidi w:val="0"/>
              <w:spacing w:before="0" w:after="283"/>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Maturities of lease liabilities are as follows for the future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-year periods ending </w:t>
      </w:r>
      <w:r>
        <w:rPr>
          <w:rStyle w:val="Emphasis"/>
          <w:rFonts w:ascii="Times New Roman;Times;serif" w:hAnsi="Times New Roman;Times;serif"/>
          <w:sz w:val="20"/>
          <w:shd w:fill="FFFFFF" w:val="clear"/>
        </w:rPr>
        <w:t>December 31, (</w:t>
      </w:r>
      <w:r>
        <w:rPr>
          <w:rFonts w:ascii="Times New Roman;Times;serif" w:hAnsi="Times New Roman;Times;serif"/>
          <w:sz w:val="20"/>
          <w:shd w:fill="FFFFFF" w:val="clear"/>
        </w:rPr>
        <w:t>in thousands):</w:t>
      </w:r>
    </w:p>
    <w:p>
      <w:pPr>
        <w:pStyle w:val="TextBody"/>
        <w:bidi w:val="0"/>
        <w:spacing w:before="0" w:after="0"/>
        <w:ind w:left="0" w:right="0" w:hanging="0"/>
        <w:jc w:val="left"/>
        <w:rPr/>
      </w:pPr>
      <w:r>
        <w:rPr/>
        <w:t> </w:t>
      </w:r>
    </w:p>
    <w:tbl>
      <w:tblPr>
        <w:tblW w:w="2840" w:type="dxa"/>
        <w:jc w:val="left"/>
        <w:tblInd w:w="0" w:type="dxa"/>
        <w:tblLayout w:type="fixed"/>
        <w:tblCellMar>
          <w:top w:w="0" w:type="dxa"/>
          <w:left w:w="0" w:type="dxa"/>
          <w:bottom w:w="0" w:type="dxa"/>
          <w:right w:w="0" w:type="dxa"/>
        </w:tblCellMar>
      </w:tblPr>
      <w:tblGrid>
        <w:gridCol w:w="1925"/>
        <w:gridCol w:w="60"/>
        <w:gridCol w:w="125"/>
        <w:gridCol w:w="650"/>
        <w:gridCol w:w="80"/>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w:t>
            </w:r>
          </w:p>
        </w:tc>
        <w:tc>
          <w:tcPr>
            <w:tcW w:w="8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w:t>
            </w:r>
          </w:p>
        </w:tc>
        <w:tc>
          <w:tcPr>
            <w:tcW w:w="8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5,458</w:t>
            </w:r>
          </w:p>
        </w:tc>
        <w:tc>
          <w:tcPr>
            <w:tcW w:w="8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4,823</w:t>
            </w:r>
          </w:p>
        </w:tc>
        <w:tc>
          <w:tcPr>
            <w:tcW w:w="8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4,404</w:t>
            </w:r>
          </w:p>
        </w:tc>
        <w:tc>
          <w:tcPr>
            <w:tcW w:w="8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37,976</w:t>
            </w:r>
          </w:p>
        </w:tc>
        <w:tc>
          <w:tcPr>
            <w:tcW w:w="80" w:type="dxa"/>
            <w:tcBorders/>
            <w:shd w:fill="FFFFFF" w:val="cle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63,154</w:t>
            </w:r>
          </w:p>
        </w:tc>
        <w:tc>
          <w:tcPr>
            <w:tcW w:w="80"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weighted average remaining lease term and discount rate for operating leases were as follows for the periods indicated:</w:t>
      </w:r>
    </w:p>
    <w:p>
      <w:pPr>
        <w:pStyle w:val="TextBody"/>
        <w:bidi w:val="0"/>
        <w:spacing w:before="0" w:after="0"/>
        <w:ind w:left="0" w:right="0" w:hanging="0"/>
        <w:jc w:val="left"/>
        <w:rPr/>
      </w:pPr>
      <w:r>
        <w:rPr/>
        <w:t> </w:t>
      </w:r>
    </w:p>
    <w:tbl>
      <w:tblPr>
        <w:tblW w:w="8303" w:type="dxa"/>
        <w:jc w:val="left"/>
        <w:tblInd w:w="0" w:type="dxa"/>
        <w:tblLayout w:type="fixed"/>
        <w:tblCellMar>
          <w:top w:w="0" w:type="dxa"/>
          <w:left w:w="0" w:type="dxa"/>
          <w:bottom w:w="0" w:type="dxa"/>
          <w:right w:w="0" w:type="dxa"/>
        </w:tblCellMar>
      </w:tblPr>
      <w:tblGrid>
        <w:gridCol w:w="5525"/>
        <w:gridCol w:w="60"/>
        <w:gridCol w:w="126"/>
        <w:gridCol w:w="1018"/>
        <w:gridCol w:w="185"/>
        <w:gridCol w:w="60"/>
        <w:gridCol w:w="126"/>
        <w:gridCol w:w="1018"/>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Supplemental cash flow information related to operating leases was as follows for the periods indicated (in thousands):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5851"/>
        <w:gridCol w:w="60"/>
        <w:gridCol w:w="357"/>
        <w:gridCol w:w="1699"/>
        <w:gridCol w:w="60"/>
        <w:gridCol w:w="60"/>
        <w:gridCol w:w="421"/>
        <w:gridCol w:w="1635"/>
        <w:gridCol w:w="62"/>
      </w:tblGrid>
      <w:tr>
        <w:trPr/>
        <w:tc>
          <w:tcPr>
            <w:tcW w:w="5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62" w:type="dxa"/>
            <w:tcBorders/>
            <w:shd w:fill="FFFFFF"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2" w:type="dxa"/>
            <w:tcBorders/>
            <w:shd w:fill="FFFFFF" w:val="clear"/>
            <w:vAlign w:val="center"/>
          </w:tcPr>
          <w:p>
            <w:pPr>
              <w:pStyle w:val="TableContents"/>
              <w:bidi w:val="0"/>
              <w:spacing w:before="0" w:after="283"/>
              <w:jc w:val="left"/>
              <w:rPr/>
            </w:pPr>
            <w:r>
              <w:rPr/>
              <w:t> </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16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63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r>
      <w:tr>
        <w:trPr/>
        <w:tc>
          <w:tcPr>
            <w:tcW w:w="58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3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62" w:type="dxa"/>
            <w:tcBorders/>
            <w:shd w:fill="FFFFFF" w:val="clear"/>
            <w:vAlign w:val="center"/>
          </w:tcPr>
          <w:p>
            <w:pPr>
              <w:pStyle w:val="TableContents"/>
              <w:bidi w:val="0"/>
              <w:spacing w:before="0" w:after="283"/>
              <w:jc w:val="left"/>
              <w:rPr/>
            </w:pPr>
            <w:r>
              <w:rPr/>
              <w:t> </w:t>
            </w:r>
          </w:p>
        </w:tc>
      </w:tr>
      <w:tr>
        <w:trPr/>
        <w:tc>
          <w:tcPr>
            <w:tcW w:w="58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5,934</w:t>
            </w:r>
          </w:p>
        </w:tc>
        <w:tc>
          <w:tcPr>
            <w:tcW w:w="62" w:type="dxa"/>
            <w:tcBorders/>
            <w:shd w:fill="CCEE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Times;serif" w:hAnsi="Times New Roman;Times;serif"/>
          <w:b/>
          <w:sz w:val="20"/>
          <w:shd w:fill="FFFFFF" w:val="clear"/>
        </w:rPr>
      </w:pPr>
      <w:r>
        <w:rPr>
          <w:rFonts w:ascii="Times New Roman;Times;serif" w:hAnsi="Times New Roman;Times;serif"/>
          <w:b/>
          <w:sz w:val="20"/>
          <w:shd w:fill="FFFFFF" w:val="clear"/>
        </w:rPr>
        <w:t>NOTE E—CASH, CASH EQUIVALENTS AND RESTRICTED CASH</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provides a reconciliation of cash, cash equivalents and restricted cash reported within the balance sheet that sum to the total of the same such amounts in the statement of cash flows (in thousands):</w:t>
      </w:r>
    </w:p>
    <w:p>
      <w:pPr>
        <w:pStyle w:val="TextBody"/>
        <w:bidi w:val="0"/>
        <w:spacing w:before="0" w:after="0"/>
        <w:ind w:left="0" w:right="0" w:hanging="0"/>
        <w:jc w:val="left"/>
        <w:rPr/>
      </w:pPr>
      <w:r>
        <w:rPr/>
        <w:t> </w:t>
      </w:r>
    </w:p>
    <w:tbl>
      <w:tblPr>
        <w:tblW w:w="9373" w:type="dxa"/>
        <w:jc w:val="left"/>
        <w:tblInd w:w="0" w:type="dxa"/>
        <w:tblLayout w:type="fixed"/>
        <w:tblCellMar>
          <w:top w:w="0" w:type="dxa"/>
          <w:left w:w="0" w:type="dxa"/>
          <w:bottom w:w="0" w:type="dxa"/>
          <w:right w:w="0" w:type="dxa"/>
        </w:tblCellMar>
      </w:tblPr>
      <w:tblGrid>
        <w:gridCol w:w="6845"/>
        <w:gridCol w:w="60"/>
        <w:gridCol w:w="173"/>
        <w:gridCol w:w="971"/>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shd w:fill="FFFFFF" w:val="clear"/>
        </w:rPr>
        <w:t xml:space="preserve">Restricted cash includes guarantee deposits for customs duties, China government subsidy fund, and deposits as collateral in order to secure bank acceptance notes issued to vendors, see Note K for details.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xml:space="preserve">, there was $8.7 million and $8.5 million of restricted cash required for bank acceptance notes issued to vendors, respectively. There were $1.2 million and $0.7 million guarantee deposits for customs duties as of </w:t>
      </w:r>
      <w:r>
        <w:rPr>
          <w:rStyle w:val="Emphasis"/>
          <w:rFonts w:ascii="Times New Roman;Times;serif" w:hAnsi="Times New Roman;Times;serif"/>
          <w:sz w:val="20"/>
          <w:shd w:fill="FFFFFF" w:val="clear"/>
        </w:rPr>
        <w:t>December 31, 2025</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December 31, 2024</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jc w:val="left"/>
        <w:rPr>
          <w:shd w:fill="FFFFFF" w:val="clear"/>
        </w:rPr>
      </w:pPr>
      <w:r>
        <w:rPr>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F—EARNINGS PER SHARE</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w:t>
      </w:r>
      <w:r>
        <w:rPr>
          <w:rFonts w:ascii="Times New Roman;Times;serif" w:hAnsi="Times New Roman;Times;serif"/>
          <w:sz w:val="20"/>
        </w:rPr>
        <w:t>. Convertible senior notes are included in the denominator as if it were converted at the beginning of the period or, if issued during the period, at the time of issuance. </w:t>
      </w:r>
      <w:r>
        <w:rPr>
          <w:rFonts w:ascii="Times New Roman;Times;serif" w:hAnsi="Times New Roman;Times;serif"/>
          <w:sz w:val="20"/>
          <w:shd w:fill="FFFFFF" w:val="clear"/>
        </w:rPr>
        <w:t>In periods with net losses, normally dilutive shares become anti-dilutive. Therefore, basic and dilutive earnings per share are the same.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presents the computation of the basic and diluted net loss per share for the periods indicated (in thousands):</w:t>
      </w:r>
    </w:p>
    <w:p>
      <w:pPr>
        <w:pStyle w:val="TextBody"/>
        <w:bidi w:val="0"/>
        <w:spacing w:before="0" w:after="0"/>
        <w:ind w:left="0" w:right="0" w:firstLine="720"/>
        <w:jc w:val="left"/>
        <w:rPr>
          <w:shd w:fill="FFFFFF" w:val="clear"/>
        </w:rPr>
      </w:pPr>
      <w:r>
        <w:rPr>
          <w:shd w:fill="FFFFFF" w:val="clear"/>
        </w:rPr>
        <w:t>  </w:t>
      </w:r>
    </w:p>
    <w:tbl>
      <w:tblPr>
        <w:tblW w:w="7685" w:type="dxa"/>
        <w:jc w:val="left"/>
        <w:tblInd w:w="0" w:type="dxa"/>
        <w:tblLayout w:type="fixed"/>
        <w:tblCellMar>
          <w:top w:w="0" w:type="dxa"/>
          <w:left w:w="0" w:type="dxa"/>
          <w:bottom w:w="0" w:type="dxa"/>
          <w:right w:w="0" w:type="dxa"/>
        </w:tblCellMar>
      </w:tblPr>
      <w:tblGrid>
        <w:gridCol w:w="4835"/>
        <w:gridCol w:w="60"/>
        <w:gridCol w:w="125"/>
        <w:gridCol w:w="650"/>
        <w:gridCol w:w="80"/>
        <w:gridCol w:w="60"/>
        <w:gridCol w:w="125"/>
        <w:gridCol w:w="755"/>
        <w:gridCol w:w="80"/>
        <w:gridCol w:w="60"/>
        <w:gridCol w:w="125"/>
        <w:gridCol w:w="650"/>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to compute 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31,944</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Effect of dilutive options and restricted stock units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31,944</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potentially dilutive securities were excluded from diluted net loss per share as their effect would have been antidilutive (in thousands):</w:t>
      </w:r>
    </w:p>
    <w:p>
      <w:pPr>
        <w:pStyle w:val="TextBody"/>
        <w:bidi w:val="0"/>
        <w:spacing w:before="0" w:after="0"/>
        <w:ind w:left="0" w:right="0" w:firstLine="720"/>
        <w:jc w:val="left"/>
        <w:rPr/>
      </w:pPr>
      <w:r>
        <w:rPr/>
        <w:t> </w:t>
      </w:r>
    </w:p>
    <w:tbl>
      <w:tblPr>
        <w:tblW w:w="3726" w:type="dxa"/>
        <w:jc w:val="left"/>
        <w:tblInd w:w="0" w:type="dxa"/>
        <w:tblLayout w:type="fixed"/>
        <w:tblCellMar>
          <w:top w:w="0" w:type="dxa"/>
          <w:left w:w="0" w:type="dxa"/>
          <w:bottom w:w="0" w:type="dxa"/>
          <w:right w:w="0" w:type="dxa"/>
        </w:tblCellMar>
      </w:tblPr>
      <w:tblGrid>
        <w:gridCol w:w="2000"/>
        <w:gridCol w:w="60"/>
        <w:gridCol w:w="79"/>
        <w:gridCol w:w="645"/>
        <w:gridCol w:w="79"/>
        <w:gridCol w:w="79"/>
        <w:gridCol w:w="79"/>
        <w:gridCol w:w="645"/>
        <w:gridCol w:w="60"/>
      </w:tblGrid>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6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for Notes 2026</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for Notes 2030</w:t>
            </w:r>
          </w:p>
        </w:tc>
        <w:tc>
          <w:tcPr>
            <w:tcW w:w="60" w:type="dxa"/>
            <w:tcBorders/>
            <w:shd w:fill="CCEE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shd w:fill="CCEEFF" w:val="clear"/>
            <w:vAlign w:val="center"/>
          </w:tcPr>
          <w:p>
            <w:pPr>
              <w:pStyle w:val="TableContents"/>
              <w:bidi w:val="0"/>
              <w:spacing w:before="0" w:after="0"/>
              <w:ind w:left="0" w:right="0" w:hanging="0"/>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0"/>
              <w:jc w:val="left"/>
              <w:rPr/>
            </w:pPr>
            <w:r>
              <w:rPr/>
              <w:t> </w:t>
            </w:r>
          </w:p>
        </w:tc>
      </w:tr>
      <w:tr>
        <w:trPr/>
        <w:tc>
          <w:tcPr>
            <w:tcW w:w="20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antidilutive shares</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shd w:fill="FFFFFF" w:val="clear"/>
        </w:rPr>
      </w:pPr>
      <w:r>
        <w:rPr>
          <w:shd w:fill="FFFFFF" w:val="clea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G—INVENTORIES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inventories consisted of the following (in thousands):</w:t>
      </w:r>
    </w:p>
    <w:p>
      <w:pPr>
        <w:pStyle w:val="TextBody"/>
        <w:bidi w:val="0"/>
        <w:spacing w:before="0" w:after="0"/>
        <w:ind w:left="0" w:right="0" w:firstLine="720"/>
        <w:jc w:val="left"/>
        <w:rPr>
          <w:shd w:fill="FFFFFF" w:val="clear"/>
        </w:rPr>
      </w:pPr>
      <w:r>
        <w:rPr>
          <w:shd w:fill="FFFFFF" w:val="clear"/>
        </w:rPr>
        <w:t>  </w:t>
      </w:r>
    </w:p>
    <w:tbl>
      <w:tblPr>
        <w:tblW w:w="4805" w:type="dxa"/>
        <w:jc w:val="left"/>
        <w:tblInd w:w="0" w:type="dxa"/>
        <w:tblLayout w:type="fixed"/>
        <w:tblCellMar>
          <w:top w:w="0" w:type="dxa"/>
          <w:left w:w="0" w:type="dxa"/>
          <w:bottom w:w="0" w:type="dxa"/>
          <w:right w:w="0" w:type="dxa"/>
        </w:tblCellMar>
      </w:tblPr>
      <w:tblGrid>
        <w:gridCol w:w="2930"/>
        <w:gridCol w:w="60"/>
        <w:gridCol w:w="125"/>
        <w:gridCol w:w="695"/>
        <w:gridCol w:w="80"/>
        <w:gridCol w:w="60"/>
        <w:gridCol w:w="125"/>
        <w:gridCol w:w="650"/>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 of December 31,</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50,379</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35,716</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(16,995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(15,251</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For the years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inventory reserve adjustment expensed for inventory was $7.8million, $3.4 million and $8.7 million, respectively. For the years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the direct inventory write-offs related to scrap, discontinued products, and damaged inventories were $9.3 million, $3.7 million and $10.6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H—PROPERTY, PLANT AND EQUIPMENT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Property, plant and equipment consisted of the following for the periods indicated (in thousands):</w:t>
      </w:r>
    </w:p>
    <w:p>
      <w:pPr>
        <w:pStyle w:val="TextBody"/>
        <w:bidi w:val="0"/>
        <w:spacing w:before="0" w:after="0"/>
        <w:ind w:left="0" w:right="0" w:firstLine="720"/>
        <w:jc w:val="left"/>
        <w:rPr>
          <w:shd w:fill="FFFFFF" w:val="clear"/>
        </w:rPr>
      </w:pPr>
      <w:r>
        <w:rPr>
          <w:shd w:fill="FFFFFF" w:val="clear"/>
        </w:rPr>
        <w:t>  </w:t>
      </w:r>
    </w:p>
    <w:tbl>
      <w:tblPr>
        <w:tblW w:w="7448" w:type="dxa"/>
        <w:jc w:val="left"/>
        <w:tblInd w:w="0" w:type="dxa"/>
        <w:tblLayout w:type="fixed"/>
        <w:tblCellMar>
          <w:top w:w="0" w:type="dxa"/>
          <w:left w:w="0" w:type="dxa"/>
          <w:bottom w:w="0" w:type="dxa"/>
          <w:right w:w="0" w:type="dxa"/>
        </w:tblCellMar>
      </w:tblPr>
      <w:tblGrid>
        <w:gridCol w:w="3950"/>
        <w:gridCol w:w="60"/>
        <w:gridCol w:w="228"/>
        <w:gridCol w:w="1381"/>
        <w:gridCol w:w="80"/>
        <w:gridCol w:w="60"/>
        <w:gridCol w:w="228"/>
        <w:gridCol w:w="1381"/>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118,648</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275,617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13,369</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414,237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209,737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depreciation expense of property, plant and equipment was $27.2 million, $20.2 million and $19.7 million, respectively. For the years ended </w:t>
      </w:r>
      <w:r>
        <w:rPr>
          <w:rStyle w:val="Emphasis"/>
          <w:rFonts w:ascii="Times New Roman;Times;serif" w:hAnsi="Times New Roman;Times;serif"/>
          <w:sz w:val="20"/>
        </w:rPr>
        <w:t xml:space="preserve"> 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there was no capitalized interest. </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As of </w:t>
      </w:r>
      <w:r>
        <w:rPr>
          <w:rStyle w:val="Emphasis"/>
          <w:rFonts w:ascii="Times New Roman;Times;serif" w:hAnsi="Times New Roman;Times;serif"/>
          <w:sz w:val="20"/>
        </w:rPr>
        <w:t>December 31, 2025</w:t>
      </w:r>
      <w:r>
        <w:rPr>
          <w:rFonts w:ascii="Times New Roman;Times;serif" w:hAnsi="Times New Roman;Times;serif"/>
          <w:sz w:val="20"/>
          <w:shd w:fill="FFFFFF" w:val="clear"/>
        </w:rPr>
        <w:t xml:space="preserve">, the Company concluded that its continued loss history constitutes a triggering event as described in ASC </w:t>
      </w:r>
      <w:r>
        <w:rPr>
          <w:rStyle w:val="Emphasis"/>
          <w:rFonts w:ascii="Times New Roman;Times;serif" w:hAnsi="Times New Roman;Times;serif"/>
          <w:sz w:val="20"/>
          <w:shd w:fill="FFFFFF" w:val="clear"/>
        </w:rPr>
        <w:t>360</w:t>
      </w:r>
      <w:r>
        <w:rPr>
          <w:rFonts w:ascii="Times New Roman;Times;serif" w:hAnsi="Times New Roman;Times;serif"/>
          <w:sz w:val="20"/>
          <w:shd w:fill="FFFFFF" w:val="clear"/>
        </w:rPr>
        <w:t>-</w:t>
      </w:r>
      <w:r>
        <w:rPr>
          <w:rStyle w:val="Emphasis"/>
          <w:rFonts w:ascii="Times New Roman;Times;serif" w:hAnsi="Times New Roman;Times;serif"/>
          <w:sz w:val="20"/>
          <w:shd w:fill="FFFFFF" w:val="clear"/>
        </w:rPr>
        <w:t>10</w:t>
      </w:r>
      <w:r>
        <w:rPr>
          <w:rFonts w:ascii="Times New Roman;Times;serif" w:hAnsi="Times New Roman;Times;serif"/>
          <w:sz w:val="20"/>
          <w:shd w:fill="FFFFFF" w:val="clear"/>
        </w:rPr>
        <w:t>-</w:t>
      </w:r>
      <w:r>
        <w:rPr>
          <w:rStyle w:val="Emphasis"/>
          <w:rFonts w:ascii="Times New Roman;Times;serif" w:hAnsi="Times New Roman;Times;serif"/>
          <w:sz w:val="20"/>
          <w:shd w:fill="FFFFFF" w:val="clear"/>
        </w:rPr>
        <w:t>35</w:t>
      </w:r>
      <w:r>
        <w:rPr>
          <w:rFonts w:ascii="Times New Roman;Times;serif" w:hAnsi="Times New Roman;Times;serif"/>
          <w:sz w:val="20"/>
          <w:shd w:fill="FFFFFF" w:val="clear"/>
        </w:rPr>
        <w:t>-</w:t>
      </w:r>
      <w:r>
        <w:rPr>
          <w:rStyle w:val="Emphasis"/>
          <w:rFonts w:ascii="Times New Roman;Times;serif" w:hAnsi="Times New Roman;Times;serif"/>
          <w:sz w:val="20"/>
          <w:shd w:fill="FFFFFF" w:val="clear"/>
        </w:rPr>
        <w:t>21,</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Property, Plant, and Equipment</w:t>
      </w:r>
      <w:r>
        <w:rPr>
          <w:rFonts w:ascii="Times New Roman;Times;serif" w:hAnsi="Times New Roman;Times;serif"/>
          <w:sz w:val="20"/>
          <w:shd w:fill="FFFFFF" w:val="clear"/>
        </w:rPr>
        <w:t xml:space="preserve">.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impairment charge was recorded.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I—INTANGIBLE ASSETS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Intangible assets consisted of the following for the periods indicated (in thousands):</w:t>
      </w:r>
    </w:p>
    <w:p>
      <w:pPr>
        <w:pStyle w:val="TextBody"/>
        <w:bidi w:val="0"/>
        <w:spacing w:before="0" w:after="0"/>
        <w:ind w:left="0" w:right="0" w:firstLine="720"/>
        <w:jc w:val="left"/>
        <w:rPr>
          <w:shd w:fill="FFFFFF" w:val="clear"/>
        </w:rPr>
      </w:pPr>
      <w:r>
        <w:rPr>
          <w:shd w:fill="FFFFFF" w:val="clea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amortization expense for intangible assets, included in general and administrative expenses on the income statement, was $0.4 million, $0.4 million and $0.7 million, respectively. The remaining weighted average amortization period for intangible assets is approximately 8.7 years.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shd w:fill="FFFFFF" w:val="clear"/>
        </w:rPr>
        <w:t xml:space="preserve">At </w:t>
      </w:r>
      <w:r>
        <w:rPr>
          <w:rStyle w:val="Emphasis"/>
          <w:rFonts w:ascii="Times New Roman;Times;serif" w:hAnsi="Times New Roman;Times;serif"/>
          <w:sz w:val="20"/>
        </w:rPr>
        <w:t>December 31, 2025</w:t>
      </w:r>
      <w:r>
        <w:rPr>
          <w:rFonts w:ascii="Times New Roman;Times;serif" w:hAnsi="Times New Roman;Times;serif"/>
          <w:sz w:val="20"/>
          <w:shd w:fill="FFFFFF" w:val="clear"/>
        </w:rPr>
        <w:t>, future amortization expense for intangible assets is estimated to be (in thousands):</w:t>
      </w:r>
    </w:p>
    <w:p>
      <w:pPr>
        <w:pStyle w:val="TextBody"/>
        <w:bidi w:val="0"/>
        <w:spacing w:before="0" w:after="0"/>
        <w:ind w:left="0" w:right="0" w:firstLine="720"/>
        <w:jc w:val="left"/>
        <w:rPr/>
      </w:pPr>
      <w:r>
        <w:rPr/>
        <w:t> </w:t>
      </w:r>
    </w:p>
    <w:tbl>
      <w:tblPr>
        <w:tblW w:w="2574" w:type="dxa"/>
        <w:jc w:val="left"/>
        <w:tblInd w:w="0" w:type="dxa"/>
        <w:tblLayout w:type="fixed"/>
        <w:tblCellMar>
          <w:top w:w="0" w:type="dxa"/>
          <w:left w:w="0" w:type="dxa"/>
          <w:bottom w:w="0" w:type="dxa"/>
          <w:right w:w="0" w:type="dxa"/>
        </w:tblCellMar>
      </w:tblPr>
      <w:tblGrid>
        <w:gridCol w:w="845"/>
        <w:gridCol w:w="60"/>
        <w:gridCol w:w="329"/>
        <w:gridCol w:w="1280"/>
        <w:gridCol w:w="60"/>
      </w:tblGrid>
      <w:tr>
        <w:trPr/>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1,288</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J—FAIR VALUE OF FINANCIAL INSTRUMENTS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following table presents a summary of the Company’s financial instruments measured at fair value on a recurring basis as of </w:t>
      </w:r>
      <w:r>
        <w:rPr>
          <w:rStyle w:val="Emphasis"/>
          <w:rFonts w:ascii="Times New Roman;Times;serif" w:hAnsi="Times New Roman;Times;serif"/>
          <w:sz w:val="20"/>
        </w:rPr>
        <w:t>December 31, 2025</w:t>
      </w:r>
      <w:r>
        <w:rPr>
          <w:rFonts w:ascii="Times New Roman;Times;serif" w:hAnsi="Times New Roman;Times;serif"/>
          <w:sz w:val="20"/>
          <w:shd w:fill="FFFFFF" w:val="clear"/>
        </w:rPr>
        <w:t xml:space="preserve"> (in thousands):</w:t>
      </w:r>
    </w:p>
    <w:p>
      <w:pPr>
        <w:pStyle w:val="TextBody"/>
        <w:bidi w:val="0"/>
        <w:spacing w:before="0" w:after="0"/>
        <w:ind w:left="0" w:right="0" w:firstLine="720"/>
        <w:jc w:val="left"/>
        <w:rPr>
          <w:shd w:fill="FFFFFF" w:val="clear"/>
        </w:rPr>
      </w:pPr>
      <w:r>
        <w:rPr>
          <w:shd w:fill="FFFFFF" w:val="clear"/>
        </w:rPr>
        <w:t>  </w:t>
      </w:r>
    </w:p>
    <w:tbl>
      <w:tblPr>
        <w:tblW w:w="7497" w:type="dxa"/>
        <w:jc w:val="left"/>
        <w:tblInd w:w="0" w:type="dxa"/>
        <w:tblLayout w:type="fixed"/>
        <w:tblCellMar>
          <w:top w:w="0" w:type="dxa"/>
          <w:left w:w="0" w:type="dxa"/>
          <w:bottom w:w="0" w:type="dxa"/>
          <w:right w:w="0" w:type="dxa"/>
        </w:tblCellMar>
      </w:tblPr>
      <w:tblGrid>
        <w:gridCol w:w="2165"/>
        <w:gridCol w:w="60"/>
        <w:gridCol w:w="192"/>
        <w:gridCol w:w="1072"/>
        <w:gridCol w:w="60"/>
        <w:gridCol w:w="60"/>
        <w:gridCol w:w="196"/>
        <w:gridCol w:w="1098"/>
        <w:gridCol w:w="60"/>
        <w:gridCol w:w="60"/>
        <w:gridCol w:w="419"/>
        <w:gridCol w:w="875"/>
        <w:gridCol w:w="60"/>
        <w:gridCol w:w="60"/>
        <w:gridCol w:w="125"/>
        <w:gridCol w:w="695"/>
        <w:gridCol w:w="24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24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65"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 (Level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24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206,140</w:t>
            </w:r>
          </w:p>
        </w:tc>
        <w:tc>
          <w:tcPr>
            <w:tcW w:w="24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9,895</w:t>
            </w:r>
          </w:p>
        </w:tc>
        <w:tc>
          <w:tcPr>
            <w:tcW w:w="24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216,035</w:t>
            </w:r>
          </w:p>
        </w:tc>
        <w:tc>
          <w:tcPr>
            <w:tcW w:w="24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33,363</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145,231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145,231</w:t>
            </w:r>
          </w:p>
        </w:tc>
        <w:tc>
          <w:tcPr>
            <w:tcW w:w="240" w:type="dxa"/>
            <w:tcBorders/>
            <w:shd w:fill="CCEEFF" w:val="clear"/>
            <w:vAlign w:val="center"/>
          </w:tcPr>
          <w:p>
            <w:pPr>
              <w:pStyle w:val="TableContents"/>
              <w:bidi w:val="0"/>
              <w:spacing w:before="0" w:after="0"/>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178,594</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following table presents a summary of the Company’s financial instruments measured at fair value on a recurring basis as of </w:t>
      </w:r>
      <w:r>
        <w:rPr>
          <w:rStyle w:val="Emphasis"/>
          <w:rFonts w:ascii="Times New Roman;Times;serif" w:hAnsi="Times New Roman;Times;serif"/>
          <w:sz w:val="20"/>
          <w:shd w:fill="FFFFFF" w:val="clear"/>
        </w:rPr>
        <w:t>December 31, 2024</w:t>
      </w:r>
      <w:r>
        <w:rPr>
          <w:rFonts w:ascii="Times New Roman;Times;serif" w:hAnsi="Times New Roman;Times;serif"/>
          <w:sz w:val="20"/>
          <w:shd w:fill="FFFFFF" w:val="clear"/>
        </w:rPr>
        <w:t>(in thousands):</w:t>
      </w:r>
    </w:p>
    <w:p>
      <w:pPr>
        <w:pStyle w:val="TextBody"/>
        <w:bidi w:val="0"/>
        <w:spacing w:before="0" w:after="0"/>
        <w:ind w:left="0" w:right="0" w:firstLine="720"/>
        <w:jc w:val="left"/>
        <w:rPr>
          <w:shd w:fill="FFFFFF" w:val="clear"/>
        </w:rPr>
      </w:pPr>
      <w:r>
        <w:rPr>
          <w:shd w:fill="FFFFFF" w:val="clear"/>
        </w:rPr>
        <w:t>  </w:t>
      </w:r>
    </w:p>
    <w:tbl>
      <w:tblPr>
        <w:tblW w:w="7347" w:type="dxa"/>
        <w:jc w:val="left"/>
        <w:tblInd w:w="0" w:type="dxa"/>
        <w:tblLayout w:type="fixed"/>
        <w:tblCellMar>
          <w:top w:w="0" w:type="dxa"/>
          <w:left w:w="0" w:type="dxa"/>
          <w:bottom w:w="0" w:type="dxa"/>
          <w:right w:w="0" w:type="dxa"/>
        </w:tblCellMar>
      </w:tblPr>
      <w:tblGrid>
        <w:gridCol w:w="2195"/>
        <w:gridCol w:w="60"/>
        <w:gridCol w:w="220"/>
        <w:gridCol w:w="1044"/>
        <w:gridCol w:w="60"/>
        <w:gridCol w:w="60"/>
        <w:gridCol w:w="196"/>
        <w:gridCol w:w="1098"/>
        <w:gridCol w:w="60"/>
        <w:gridCol w:w="60"/>
        <w:gridCol w:w="419"/>
        <w:gridCol w:w="875"/>
        <w:gridCol w:w="60"/>
        <w:gridCol w:w="60"/>
        <w:gridCol w:w="125"/>
        <w:gridCol w:w="695"/>
        <w:gridCol w:w="6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 active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markets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identical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remaining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unobservable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shd w:fill="FFFFFF" w:val="clear"/>
              </w:rPr>
            </w:pPr>
            <w:r>
              <w:rPr>
                <w:shd w:fill="FFFFFF" w:val="clea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inputs (Level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Bank acceptance payable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19,259</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148,625</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167,884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K—NOTES PAYABLE AND LONG-TERM DEBT</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Notes payable and long-term debt consisted of the following for the periods indicated (in thousands):</w:t>
      </w:r>
    </w:p>
    <w:p>
      <w:pPr>
        <w:pStyle w:val="TextBody"/>
        <w:bidi w:val="0"/>
        <w:spacing w:before="0" w:after="0"/>
        <w:ind w:left="0" w:right="0" w:firstLine="72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217"/>
        <w:gridCol w:w="60"/>
        <w:gridCol w:w="217"/>
        <w:gridCol w:w="1135"/>
        <w:gridCol w:w="80"/>
        <w:gridCol w:w="60"/>
        <w:gridCol w:w="217"/>
        <w:gridCol w:w="1135"/>
        <w:gridCol w:w="84"/>
      </w:tblGrid>
      <w:tr>
        <w:trPr/>
        <w:tc>
          <w:tcPr>
            <w:tcW w:w="7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4"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Revolving line of credit with a China bank up to $23.6 million with interest from 4.00% to 4.35%, terminated on June 18, 2025</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13,466</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line of credit with a China bank up to $35.6 million with interest of 2.6%, maturing July 29, 2030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Credit facility with a China bank up to $27.8 million with interest of 4.00% to 4.35%, terminated on July 23, 2025</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13,216</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line of credit with a China bank up to $35.6 million with interest at 2.45% to 2.95%, maturing June 26, 2030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26,682</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debt issuance costs, net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Grand total</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26,682</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(22,369</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4,313</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Bank Acceptance Notes Payable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jc w:val="center"/>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21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acceptance notes issued to vendors with a zero percent 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19,260</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current portion of long-term debt is the amount payable within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year of the balance sheet date of </w:t>
      </w:r>
      <w:r>
        <w:rPr>
          <w:rStyle w:val="Emphasis"/>
          <w:rFonts w:ascii="Times New Roman;Times;serif" w:hAnsi="Times New Roman;Times;serif"/>
          <w:sz w:val="20"/>
        </w:rPr>
        <w:t>December 31, 2025</w:t>
      </w:r>
      <w:r>
        <w:rPr>
          <w:rFonts w:ascii="Times New Roman;Times;serif" w:hAnsi="Times New Roman;Times;serif"/>
          <w:sz w:val="20"/>
          <w:shd w:fill="FFFFFF" w:val="clear"/>
        </w:rPr>
        <w:t>.</w:t>
      </w:r>
    </w:p>
    <w:p>
      <w:pPr>
        <w:pStyle w:val="TextBody"/>
        <w:bidi w:val="0"/>
        <w:spacing w:before="0" w:after="0"/>
        <w:ind w:left="0" w:right="0" w:firstLine="720"/>
        <w:jc w:val="left"/>
        <w:rPr>
          <w:shd w:fill="FFFFFF" w:val="clear"/>
        </w:rPr>
      </w:pPr>
      <w:r>
        <w:rPr>
          <w:shd w:fill="FFFFFF" w:val="clear"/>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SPD Credit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May 24, 2024, </w:t>
      </w:r>
      <w:r>
        <w:rPr>
          <w:rFonts w:ascii="Times New Roman" w:hAnsi="Times New Roman"/>
          <w:caps w:val="false"/>
          <w:smallCaps w:val="false"/>
          <w:sz w:val="20"/>
        </w:rPr>
        <w:t>Global entered into a five-year revolving credit line with Shanghai Pudong Development Bank Co., Ltd. ("SPD"), totaling 170,000,000 RMB (the "SPD Credit Line") or approximately $23.9 million at that time. On </w:t>
      </w:r>
      <w:r>
        <w:rPr>
          <w:rStyle w:val="Emphasis"/>
          <w:rFonts w:ascii="Times New Roman" w:hAnsi="Times New Roman"/>
          <w:caps w:val="false"/>
          <w:smallCaps w:val="false"/>
          <w:sz w:val="20"/>
        </w:rPr>
        <w:t xml:space="preserve"> June 18, 2025, </w:t>
      </w:r>
      <w:r>
        <w:rPr>
          <w:rFonts w:ascii="Times New Roman" w:hAnsi="Times New Roman"/>
          <w:caps w:val="false"/>
          <w:smallCaps w:val="false"/>
          <w:sz w:val="20"/>
        </w:rPr>
        <w:t>Global used the CCB Credit Facility, as described hereinbelow, to repay certain amounts outstanding under the SPD Credit Line. Upon repayment, Global terminated the SPD Credit Line effective </w:t>
      </w:r>
      <w:r>
        <w:rPr>
          <w:rStyle w:val="Emphasis"/>
          <w:rFonts w:ascii="Times New Roman" w:hAnsi="Times New Roman"/>
          <w:caps w:val="false"/>
          <w:smallCaps w:val="false"/>
          <w:sz w:val="20"/>
        </w:rPr>
        <w:t xml:space="preserve"> June 18,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18, 2025, </w:t>
      </w:r>
      <w:r>
        <w:rPr>
          <w:rFonts w:ascii="Times New Roman" w:hAnsi="Times New Roman"/>
          <w:caps w:val="false"/>
          <w:smallCaps w:val="false"/>
          <w:sz w:val="20"/>
        </w:rPr>
        <w:t>Global entered into a one-year credit facility with SPD, totaling 82,000,000 RMB (the </w:t>
      </w:r>
      <w:r>
        <w:rPr>
          <w:rStyle w:val="Emphasis"/>
          <w:rFonts w:ascii="Times New Roman" w:hAnsi="Times New Roman"/>
          <w:caps w:val="false"/>
          <w:smallCaps w:val="false"/>
          <w:sz w:val="20"/>
        </w:rPr>
        <w:t>"¥82M</w:t>
      </w:r>
      <w:r>
        <w:rPr>
          <w:rFonts w:ascii="Times New Roman" w:hAnsi="Times New Roman"/>
          <w:caps w:val="false"/>
          <w:smallCaps w:val="false"/>
          <w:sz w:val="20"/>
        </w:rPr>
        <w:t> Credit Facility"), or approximately $11.4 million at that time. Borrowing under the ¥82M Credit Facility was used to repay the Company’s outstanding loans with China Zheshang Bank Co., Ltd., and for general corporate and capital investment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29, 2025, </w:t>
      </w:r>
      <w:r>
        <w:rPr>
          <w:rFonts w:ascii="Times New Roman" w:hAnsi="Times New Roman"/>
          <w:caps w:val="false"/>
          <w:smallCaps w:val="false"/>
          <w:sz w:val="20"/>
        </w:rPr>
        <w:t>Global entered into a five-year revolving credit line agreement with SPD in Ningbo City, China, totaling </w:t>
      </w:r>
      <w:r>
        <w:rPr>
          <w:rStyle w:val="Emphasis"/>
          <w:rFonts w:ascii="Times New Roman" w:hAnsi="Times New Roman"/>
          <w:caps w:val="false"/>
          <w:smallCaps w:val="false"/>
          <w:sz w:val="20"/>
        </w:rPr>
        <w:t>250,000,000</w:t>
      </w:r>
      <w:r>
        <w:rPr>
          <w:rFonts w:ascii="Times New Roman" w:hAnsi="Times New Roman"/>
          <w:caps w:val="false"/>
          <w:smallCaps w:val="false"/>
          <w:sz w:val="20"/>
        </w:rPr>
        <w:t> RMB (the "¥250M SPD Credit Line"), or approximately $34.9 million at that time, and a mortgage contract. Borrowing under the ¥250M SPD Credit Line will be used for general corporate and capital investment purposes. Any credit previously extended by SPD will be applied against the available amount under the ¥250M SPD Credit Line, inclusive of the ¥82M Credit Facility. Global's obligation under the ¥250M SPD Credit Line is secured by certain real property owned by Global.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$20.2 million was outstanding under the ¥250M SPD Credit Line, and the outstanding balance of bank acceptance notes issued to vendors was $</w:t>
      </w:r>
      <w:r>
        <w:rPr>
          <w:rFonts w:cs="Times New Roman"/>
          <w:caps w:val="false"/>
          <w:smallCaps w:val="false"/>
          <w:szCs w:val="20"/>
        </w:rPr>
        <w:t>﻿</w:t>
      </w:r>
      <w:r>
        <w:rPr>
          <w:rFonts w:ascii="Times New Roman" w:hAnsi="Times New Roman"/>
          <w:caps w:val="false"/>
          <w:smallCaps w:val="false"/>
          <w:sz w:val="20"/>
        </w:rPr>
        <w:t xml:space="preserve">19.7 million. The unused credit was $1.5 million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CZB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7, 2022, </w:t>
      </w:r>
      <w:r>
        <w:rPr>
          <w:rFonts w:ascii="Times New Roman" w:hAnsi="Times New Roman"/>
          <w:caps w:val="false"/>
          <w:smallCaps w:val="false"/>
          <w:sz w:val="20"/>
        </w:rPr>
        <w:t xml:space="preserve">Global entered into a security agreement with China Zheshang Bank in Ningbo City, China ("CZB") for a five-year credit line agreement, totaling </w:t>
      </w:r>
      <w:r>
        <w:rPr>
          <w:rStyle w:val="Emphasis"/>
          <w:rFonts w:ascii="Times New Roman" w:hAnsi="Times New Roman"/>
          <w:caps w:val="false"/>
          <w:smallCaps w:val="false"/>
          <w:sz w:val="20"/>
        </w:rPr>
        <w:t>200,000,000</w:t>
      </w:r>
      <w:r>
        <w:rPr>
          <w:rFonts w:ascii="Times New Roman" w:hAnsi="Times New Roman"/>
          <w:caps w:val="false"/>
          <w:smallCaps w:val="false"/>
          <w:sz w:val="20"/>
        </w:rPr>
        <w:t xml:space="preserve"> RMB (the "¥200M Credit Facility"), or approximately $29.9 million at that time. On </w:t>
      </w:r>
      <w:r>
        <w:rPr>
          <w:rStyle w:val="Emphasis"/>
          <w:rFonts w:ascii="Times New Roman" w:hAnsi="Times New Roman"/>
          <w:caps w:val="false"/>
          <w:smallCaps w:val="false"/>
          <w:sz w:val="20"/>
        </w:rPr>
        <w:t xml:space="preserve"> July 23, 2025, </w:t>
      </w:r>
      <w:r>
        <w:rPr>
          <w:rFonts w:ascii="Times New Roman" w:hAnsi="Times New Roman"/>
          <w:caps w:val="false"/>
          <w:smallCaps w:val="false"/>
          <w:sz w:val="20"/>
        </w:rPr>
        <w:t>Global used the ¥82M Credit Facility, as described hereinabove, to repay certain amounts outstanding under the ¥200M Credit Facility. Upon repayment, Global terminated the ¥200M Credit Facility effective </w:t>
      </w:r>
      <w:r>
        <w:rPr>
          <w:rStyle w:val="Emphasis"/>
          <w:rFonts w:ascii="Times New Roman" w:hAnsi="Times New Roman"/>
          <w:caps w:val="false"/>
          <w:smallCaps w:val="false"/>
          <w:sz w:val="20"/>
        </w:rPr>
        <w:t xml:space="preserve"> July 23, 2025.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outstanding balance of bank acceptance notes issued to vendors was $2.8 million. The unused credit was $0.7 million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CCB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12, 2025, </w:t>
      </w:r>
      <w:r>
        <w:rPr>
          <w:rFonts w:ascii="Times New Roman" w:hAnsi="Times New Roman"/>
          <w:caps w:val="false"/>
          <w:smallCaps w:val="false"/>
          <w:sz w:val="20"/>
        </w:rPr>
        <w:t>Global entered into a one-year credit facility with China Construction Bank Co., Ltd., in Ningbo, City, China ("CCB"), totaling 96,800,000 RMB (the "CCB Credit Facility"), or approximately $13.5 million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June 26, 2025, </w:t>
      </w:r>
      <w:r>
        <w:rPr>
          <w:rFonts w:ascii="Times New Roman" w:hAnsi="Times New Roman"/>
          <w:caps w:val="false"/>
          <w:smallCaps w:val="false"/>
          <w:sz w:val="20"/>
        </w:rPr>
        <w:t>Global entered into a five-year revolving credit line agreement with CCB, totaling 162,260,000 RMB (the "CCB Credit Line"), or approximately $22.7 million at that time. The amount available under the CCB Credit Line is inclusive of the CCB Credit Facility previously granted by CCB on </w:t>
      </w:r>
      <w:r>
        <w:rPr>
          <w:rStyle w:val="Emphasis"/>
          <w:rFonts w:ascii="Times New Roman" w:hAnsi="Times New Roman"/>
          <w:caps w:val="false"/>
          <w:smallCaps w:val="false"/>
          <w:sz w:val="20"/>
        </w:rPr>
        <w:t xml:space="preserve"> June 12, 2025.On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 xml:space="preserve">December 19, 2025, </w:t>
      </w:r>
      <w:r>
        <w:rPr>
          <w:rFonts w:ascii="Times New Roman" w:hAnsi="Times New Roman"/>
          <w:caps w:val="false"/>
          <w:smallCaps w:val="false"/>
          <w:sz w:val="20"/>
        </w:rPr>
        <w:t>the CCB Credit Line was increased to 250,000,000 RMB. Global's obligation under the CCB Credit Line is secured by certain real property owned by Global.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$13.8 million outstanding under the CCB Credit Line, and the outstanding balance of bank acceptances notes issued to vendors was $10.8 million.</w:t>
      </w:r>
      <w:r>
        <w:rPr>
          <w:rFonts w:cs="Times New Roman"/>
          <w:caps w:val="false"/>
          <w:smallCaps w:val="false"/>
          <w:szCs w:val="20"/>
        </w:rPr>
        <w:t xml:space="preserve">﻿ </w:t>
      </w:r>
      <w:r>
        <w:rPr>
          <w:rFonts w:ascii="Times New Roman" w:hAnsi="Times New Roman"/>
          <w:caps w:val="false"/>
          <w:smallCaps w:val="false"/>
          <w:sz w:val="20"/>
        </w:rPr>
        <w:t xml:space="preserve">The unused credit was $13.2 million as of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Taishin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Prime World entered into a credit facility with Taishin International Bank in Taiwan, consisting of a NT$100,000,000 line of credit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and a US$2,000,000 line of credit (the </w:t>
      </w:r>
      <w:r>
        <w:rPr>
          <w:rStyle w:val="Emphasis"/>
          <w:rFonts w:ascii="Times New Roman" w:hAnsi="Times New Roman"/>
          <w:caps w:val="false"/>
          <w:smallCaps w:val="false"/>
          <w:sz w:val="20"/>
        </w:rPr>
        <w:t>"US$2M</w:t>
      </w:r>
      <w:r>
        <w:rPr>
          <w:rFonts w:ascii="Times New Roman" w:hAnsi="Times New Roman"/>
          <w:caps w:val="false"/>
          <w:smallCaps w:val="false"/>
          <w:sz w:val="20"/>
        </w:rPr>
        <w:t xml:space="preserve"> Credit Line"), collectively, with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the "Taishin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Prime World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utilize the Taishin Credit Facility from </w:t>
      </w:r>
      <w:r>
        <w:rPr>
          <w:rStyle w:val="Emphasis"/>
          <w:rFonts w:ascii="Times New Roman" w:hAnsi="Times New Roman"/>
          <w:caps w:val="false"/>
          <w:smallCaps w:val="false"/>
          <w:sz w:val="20"/>
        </w:rPr>
        <w:t xml:space="preserve">November 27,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31, 2026. </w:t>
      </w:r>
      <w:r>
        <w:rPr>
          <w:rFonts w:ascii="Times New Roman" w:hAnsi="Times New Roman"/>
          <w:caps w:val="false"/>
          <w:smallCaps w:val="false"/>
          <w:sz w:val="20"/>
        </w:rPr>
        <w:t xml:space="preserve">Borrowings under the </w:t>
      </w:r>
      <w:r>
        <w:rPr>
          <w:rStyle w:val="Emphasis"/>
          <w:rFonts w:ascii="Times New Roman" w:hAnsi="Times New Roman"/>
          <w:caps w:val="false"/>
          <w:smallCaps w:val="false"/>
          <w:sz w:val="20"/>
        </w:rPr>
        <w:t>NT$100M</w:t>
      </w:r>
      <w:r>
        <w:rPr>
          <w:rFonts w:ascii="Times New Roman" w:hAnsi="Times New Roman"/>
          <w:caps w:val="false"/>
          <w:smallCaps w:val="false"/>
          <w:sz w:val="20"/>
        </w:rPr>
        <w:t xml:space="preserve">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drawn as short-term loans, while the </w:t>
      </w:r>
      <w:r>
        <w:rPr>
          <w:rStyle w:val="Emphasis"/>
          <w:rFonts w:ascii="Times New Roman" w:hAnsi="Times New Roman"/>
          <w:caps w:val="false"/>
          <w:smallCaps w:val="false"/>
          <w:sz w:val="20"/>
        </w:rPr>
        <w:t>US$2M</w:t>
      </w:r>
      <w:r>
        <w:rPr>
          <w:rFonts w:ascii="Times New Roman" w:hAnsi="Times New Roman"/>
          <w:caps w:val="false"/>
          <w:smallCaps w:val="false"/>
          <w:sz w:val="20"/>
        </w:rPr>
        <w:t xml:space="preserve"> Credit Line is a derivatives-based facility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used by Prime World to entered into foreign exchange hedging transactions.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$0 was outstanding under the Taishin Credit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BOKF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31, 2025, </w:t>
      </w:r>
      <w:r>
        <w:rPr>
          <w:rFonts w:ascii="Times New Roman" w:hAnsi="Times New Roman"/>
          <w:caps w:val="false"/>
          <w:smallCaps w:val="false"/>
          <w:sz w:val="20"/>
        </w:rPr>
        <w:t>the Company entered into a Loan and Security Agreement (the "BOKF Credit Facility") with BOKF, NA dba BOK Financial, as agent for secured parties. The BOKF Credit Facility provides the Company with a three-year, $35 million revolving line of credit, with the ability to request additional lender commitments in an aggregate amount </w:t>
      </w:r>
      <w:r>
        <w:rPr>
          <w:rStyle w:val="Emphasis"/>
          <w:rFonts w:ascii="Times New Roman" w:hAnsi="Times New Roman"/>
          <w:caps w:val="false"/>
          <w:smallCaps w:val="false"/>
          <w:sz w:val="20"/>
        </w:rPr>
        <w:t>not</w:t>
      </w:r>
      <w:r>
        <w:rPr>
          <w:rFonts w:ascii="Times New Roman" w:hAnsi="Times New Roman"/>
          <w:caps w:val="false"/>
          <w:smallCaps w:val="false"/>
          <w:sz w:val="20"/>
        </w:rPr>
        <w:t> to exceed $40 million (for a total aggregate amount of $75 million) pursuant to certain conditions.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$0 was outstanding under the BOKF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shd w:fill="FFFFFF" w:val="clear"/>
        </w:rPr>
        <w:t>December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the Company had $60.7 million and $24.8 million of unused borrowing capacity,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there was $8.7 million and $8.5 million of restricted cash, investments or security deposits associated with the loan facilities,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shd w:fill="FFFFFF" w:val="clear"/>
        </w:rPr>
        <w:t>NOTE L—C</w:t>
      </w:r>
      <w:r>
        <w:rPr>
          <w:rFonts w:ascii="Times New Roman;Times;serif" w:hAnsi="Times New Roman;Times;serif"/>
          <w:b/>
          <w:caps/>
          <w:sz w:val="20"/>
          <w:shd w:fill="FFFFFF" w:val="clear"/>
        </w:rPr>
        <w:t>onvertible Senior Notes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On </w:t>
      </w:r>
      <w:r>
        <w:rPr>
          <w:rStyle w:val="Emphasis"/>
          <w:rFonts w:ascii="Times New Roman;Times;serif" w:hAnsi="Times New Roman;Times;serif"/>
          <w:sz w:val="20"/>
          <w:shd w:fill="FFFFFF" w:val="clear"/>
        </w:rPr>
        <w:t xml:space="preserve">March 5, 2019, </w:t>
      </w:r>
      <w:r>
        <w:rPr>
          <w:rFonts w:ascii="Times New Roman;Times;serif" w:hAnsi="Times New Roman;Times;serif"/>
          <w:sz w:val="20"/>
          <w:shd w:fill="FFFFFF" w:val="clear"/>
        </w:rPr>
        <w:t xml:space="preserve">the Company issued $80.5 million of 5% convertible senior notes due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(the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Notes"). On </w:t>
      </w:r>
      <w:r>
        <w:rPr>
          <w:rStyle w:val="Emphasis"/>
          <w:rFonts w:ascii="Times New Roman;Times;serif" w:hAnsi="Times New Roman;Times;serif"/>
          <w:sz w:val="20"/>
          <w:shd w:fill="FFFFFF" w:val="clear"/>
        </w:rPr>
        <w:t xml:space="preserve">December 5, 2023, </w:t>
      </w:r>
      <w:r>
        <w:rPr>
          <w:rFonts w:ascii="Times New Roman;Times;serif" w:hAnsi="Times New Roman;Times;serif"/>
          <w:sz w:val="20"/>
          <w:shd w:fill="FFFFFF" w:val="clear"/>
        </w:rPr>
        <w:t xml:space="preserve">the Company issued approximately $80.2 million aggregate principal amount of 5.250% convertible senior notes due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xml:space="preserve"> (the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xml:space="preserve"> Notes"), and on the same day consummated various separate, privately negotiated exchange agreements with certain holders of its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Notes to exchange or repurchase approximately $80.2 million principal amount of the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Notes for aggregate consideration consisting of approximately $81.1 million in cash, which included accrued interest on the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Notes, and approximately 466,368 shares of the Company's common stock, par value $0.001 per share. The Company paid off the remaining $0.29 million of the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Notes on </w:t>
      </w:r>
      <w:r>
        <w:rPr>
          <w:rStyle w:val="Emphasis"/>
          <w:rFonts w:ascii="Times New Roman;Times;serif" w:hAnsi="Times New Roman;Times;serif"/>
          <w:sz w:val="20"/>
          <w:shd w:fill="FFFFFF" w:val="clear"/>
        </w:rPr>
        <w:t>March 15, 2024.</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w:t>
      </w:r>
      <w:r>
        <w:rPr>
          <w:rStyle w:val="Emphasis"/>
          <w:rFonts w:ascii="Times New Roman;Times;serif" w:hAnsi="Times New Roman;Times;serif"/>
          <w:sz w:val="20"/>
        </w:rPr>
        <w:t>2026</w:t>
      </w:r>
      <w:r>
        <w:rPr>
          <w:rFonts w:ascii="Times New Roman;Times;serif" w:hAnsi="Times New Roman;Times;serif"/>
          <w:sz w:val="20"/>
        </w:rPr>
        <w:t xml:space="preserve"> Notes bears interest at a rate of </w:t>
      </w:r>
      <w:r>
        <w:rPr>
          <w:rStyle w:val="Emphasis"/>
          <w:rFonts w:ascii="Times New Roman;Times;serif" w:hAnsi="Times New Roman;Times;serif"/>
          <w:sz w:val="20"/>
        </w:rPr>
        <w:t>5.250%</w:t>
      </w:r>
      <w:r>
        <w:rPr>
          <w:rFonts w:ascii="Times New Roman;Times;serif" w:hAnsi="Times New Roman;Times;serif"/>
          <w:sz w:val="20"/>
        </w:rPr>
        <w:t xml:space="preserve"> per year and will pay interest semi-annually in arrears on </w:t>
      </w:r>
      <w:r>
        <w:rPr>
          <w:rStyle w:val="Emphasis"/>
          <w:rFonts w:ascii="Times New Roman;Times;serif" w:hAnsi="Times New Roman;Times;serif"/>
          <w:sz w:val="20"/>
        </w:rPr>
        <w:t xml:space="preserve">June 15 </w:t>
      </w:r>
      <w:r>
        <w:rPr>
          <w:rFonts w:ascii="Times New Roman;Times;serif" w:hAnsi="Times New Roman;Times;serif"/>
          <w:sz w:val="20"/>
        </w:rPr>
        <w:t xml:space="preserve">and </w:t>
      </w:r>
      <w:r>
        <w:rPr>
          <w:rStyle w:val="Emphasis"/>
          <w:rFonts w:ascii="Times New Roman;Times;serif" w:hAnsi="Times New Roman;Times;serif"/>
          <w:sz w:val="20"/>
        </w:rPr>
        <w:t xml:space="preserve">December 15 </w:t>
      </w:r>
      <w:r>
        <w:rPr>
          <w:rFonts w:ascii="Times New Roman;Times;serif" w:hAnsi="Times New Roman;Times;serif"/>
          <w:sz w:val="20"/>
        </w:rPr>
        <w:t xml:space="preserve">of each year, beginning on </w:t>
      </w:r>
      <w:r>
        <w:rPr>
          <w:rStyle w:val="Emphasis"/>
          <w:rFonts w:ascii="Times New Roman;Times;serif" w:hAnsi="Times New Roman;Times;serif"/>
          <w:sz w:val="20"/>
        </w:rPr>
        <w:t xml:space="preserve">June 15, 2024. </w:t>
      </w:r>
      <w:r>
        <w:rPr>
          <w:rFonts w:ascii="Times New Roman;Times;serif" w:hAnsi="Times New Roman;Times;serif"/>
          <w:sz w:val="20"/>
        </w:rPr>
        <w:t xml:space="preserve">The </w:t>
      </w:r>
      <w:r>
        <w:rPr>
          <w:rStyle w:val="Emphasis"/>
          <w:rFonts w:ascii="Times New Roman;Times;serif" w:hAnsi="Times New Roman;Times;serif"/>
          <w:sz w:val="20"/>
        </w:rPr>
        <w:t>2026</w:t>
      </w:r>
      <w:r>
        <w:rPr>
          <w:rFonts w:ascii="Times New Roman;Times;serif" w:hAnsi="Times New Roman;Times;serif"/>
          <w:sz w:val="20"/>
        </w:rPr>
        <w:t xml:space="preserve"> Notes will mature on </w:t>
      </w:r>
      <w:r>
        <w:rPr>
          <w:rStyle w:val="Emphasis"/>
          <w:rFonts w:ascii="Times New Roman;Times;serif" w:hAnsi="Times New Roman;Times;serif"/>
          <w:sz w:val="20"/>
        </w:rPr>
        <w:t xml:space="preserve">December 15, 2026, </w:t>
      </w:r>
      <w:r>
        <w:rPr>
          <w:rFonts w:ascii="Times New Roman;Times;serif" w:hAnsi="Times New Roman;Times;serif"/>
          <w:sz w:val="20"/>
        </w:rPr>
        <w:t>unless earlier converted, redeemed or repurchased in accordance with their terms.</w:t>
      </w:r>
    </w:p>
    <w:p>
      <w:pPr>
        <w:pStyle w:val="TextBody"/>
        <w:bidi w:val="0"/>
        <w:spacing w:before="0" w:after="0"/>
        <w:ind w:left="0" w:right="0" w:firstLine="720"/>
        <w:jc w:val="both"/>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December 18, 2024, </w:t>
      </w:r>
      <w:r>
        <w:rPr>
          <w:rFonts w:ascii="Times New Roman;Times;serif" w:hAnsi="Times New Roman;Times;serif"/>
          <w:sz w:val="20"/>
        </w:rPr>
        <w:t xml:space="preserve">the Company entered into exchange agreements with certain holders of the </w:t>
      </w:r>
      <w:r>
        <w:rPr>
          <w:rStyle w:val="Emphasis"/>
          <w:rFonts w:ascii="Times New Roman;Times;serif" w:hAnsi="Times New Roman;Times;serif"/>
          <w:sz w:val="20"/>
        </w:rPr>
        <w:t>2026</w:t>
      </w:r>
      <w:r>
        <w:rPr>
          <w:rFonts w:ascii="Times New Roman;Times;serif" w:hAnsi="Times New Roman;Times;serif"/>
          <w:sz w:val="20"/>
        </w:rPr>
        <w:t xml:space="preserve"> Notes to exchange approximately $76.7 million principal amount of the </w:t>
      </w:r>
      <w:r>
        <w:rPr>
          <w:rStyle w:val="Emphasis"/>
          <w:rFonts w:ascii="Times New Roman;Times;serif" w:hAnsi="Times New Roman;Times;serif"/>
          <w:sz w:val="20"/>
        </w:rPr>
        <w:t>2026</w:t>
      </w:r>
      <w:r>
        <w:rPr>
          <w:rFonts w:ascii="Times New Roman;Times;serif" w:hAnsi="Times New Roman;Times;serif"/>
          <w:sz w:val="20"/>
        </w:rPr>
        <w:t xml:space="preserve"> Notes for aggregate consideration consisting of (i) $125.0 million aggregate principal amount of 2.75% Convertible Senior Notes due </w:t>
      </w:r>
      <w:r>
        <w:rPr>
          <w:rStyle w:val="Emphasis"/>
          <w:rFonts w:ascii="Times New Roman;Times;serif" w:hAnsi="Times New Roman;Times;serif"/>
          <w:sz w:val="20"/>
        </w:rPr>
        <w:t>2030</w:t>
      </w:r>
      <w:r>
        <w:rPr>
          <w:rFonts w:ascii="Times New Roman;Times;serif" w:hAnsi="Times New Roman;Times;serif"/>
          <w:sz w:val="20"/>
        </w:rPr>
        <w:t xml:space="preserve"> (the </w:t>
      </w:r>
      <w:r>
        <w:rPr>
          <w:rStyle w:val="Emphasis"/>
          <w:rFonts w:ascii="Times New Roman;Times;serif" w:hAnsi="Times New Roman;Times;serif"/>
          <w:sz w:val="20"/>
        </w:rPr>
        <w:t>"2030</w:t>
      </w:r>
      <w:r>
        <w:rPr>
          <w:rFonts w:ascii="Times New Roman;Times;serif" w:hAnsi="Times New Roman;Times;serif"/>
          <w:sz w:val="20"/>
        </w:rPr>
        <w:t xml:space="preserve"> Notes"), (ii) 1,487,874 shares of the Company’s common stock, par value $0.001 per share (the "Common Stock") and (iii) approximately $89.6 thousands of cash in aggregate, representing accrued and unpaid interest on the </w:t>
      </w:r>
      <w:r>
        <w:rPr>
          <w:rStyle w:val="Emphasis"/>
          <w:rFonts w:ascii="Times New Roman;Times;serif" w:hAnsi="Times New Roman;Times;serif"/>
          <w:sz w:val="20"/>
        </w:rPr>
        <w:t>2026</w:t>
      </w:r>
      <w:r>
        <w:rPr>
          <w:rFonts w:ascii="Times New Roman;Times;serif" w:hAnsi="Times New Roman;Times;serif"/>
          <w:sz w:val="20"/>
        </w:rPr>
        <w:t xml:space="preserve"> Notes and the value of fractional shares of Common Stock (such transactions, collectively, the "Exchanges"). The Exchanges closed on </w:t>
      </w:r>
      <w:r>
        <w:rPr>
          <w:rStyle w:val="Emphasis"/>
          <w:rFonts w:ascii="Times New Roman;Times;serif" w:hAnsi="Times New Roman;Times;serif"/>
          <w:sz w:val="20"/>
        </w:rPr>
        <w:t>December 23, 2024. </w:t>
      </w:r>
      <w:r>
        <w:rPr>
          <w:rFonts w:ascii="Times New Roman;Times;serif" w:hAnsi="Times New Roman;Times;serif"/>
          <w:sz w:val="20"/>
        </w:rPr>
        <w:t xml:space="preserve">We recorded a debt extinguishment loss of $112.0 million due to these Exchanges. There was $3.5 million principal amount for the </w:t>
      </w:r>
      <w:r>
        <w:rPr>
          <w:rStyle w:val="Emphasis"/>
          <w:rFonts w:ascii="Times New Roman;Times;serif" w:hAnsi="Times New Roman;Times;serif"/>
          <w:sz w:val="20"/>
        </w:rPr>
        <w:t>2026</w:t>
      </w:r>
      <w:r>
        <w:rPr>
          <w:rFonts w:ascii="Times New Roman;Times;serif" w:hAnsi="Times New Roman;Times;serif"/>
          <w:sz w:val="20"/>
        </w:rPr>
        <w:t xml:space="preserve"> Notes remaining. On </w:t>
      </w:r>
      <w:r>
        <w:rPr>
          <w:rStyle w:val="Emphasis"/>
          <w:rFonts w:ascii="Times New Roman;Times;serif" w:hAnsi="Times New Roman;Times;serif"/>
          <w:sz w:val="20"/>
        </w:rPr>
        <w:t xml:space="preserve">July 30, 2025, </w:t>
      </w:r>
      <w:r>
        <w:rPr>
          <w:rFonts w:ascii="Times New Roman;Times;serif" w:hAnsi="Times New Roman;Times;serif"/>
          <w:sz w:val="20"/>
        </w:rPr>
        <w:t xml:space="preserve">the Company retired the final $3.5 million principal and accrued and unpaid interest on the </w:t>
      </w:r>
      <w:r>
        <w:rPr>
          <w:rStyle w:val="Emphasis"/>
          <w:rFonts w:ascii="Times New Roman;Times;serif" w:hAnsi="Times New Roman;Times;serif"/>
          <w:sz w:val="20"/>
        </w:rPr>
        <w:t>2026</w:t>
      </w:r>
      <w:r>
        <w:rPr>
          <w:rFonts w:ascii="Times New Roman;Times;serif" w:hAnsi="Times New Roman;Times;serif"/>
          <w:sz w:val="20"/>
        </w:rPr>
        <w:t xml:space="preserve"> Notes by exchanging such outstanding principal for 239,404 shares of the Company's common stock and by paying the accrued and outstanding interest in cash.</w:t>
      </w:r>
    </w:p>
    <w:p>
      <w:pPr>
        <w:pStyle w:val="TextBody"/>
        <w:bidi w:val="0"/>
        <w:spacing w:before="0" w:after="0"/>
        <w:ind w:left="0" w:right="0" w:firstLine="720"/>
        <w:jc w:val="both"/>
        <w:rPr/>
      </w:pPr>
      <w:r>
        <w:rPr/>
        <w:t> </w:t>
      </w:r>
    </w:p>
    <w:p>
      <w:pPr>
        <w:pStyle w:val="TextBody"/>
        <w:bidi w:val="0"/>
        <w:ind w:left="0" w:right="0" w:firstLine="720"/>
        <w:jc w:val="left"/>
        <w:rPr/>
      </w:pPr>
      <w:r>
        <w:rPr>
          <w:rFonts w:ascii="Times New Roman" w:hAnsi="Times New Roman"/>
          <w:sz w:val="20"/>
        </w:rPr>
        <w:t xml:space="preserve">The </w:t>
      </w:r>
      <w:r>
        <w:rPr>
          <w:rStyle w:val="Emphasis"/>
          <w:rFonts w:ascii="Times New Roman" w:hAnsi="Times New Roman"/>
          <w:sz w:val="20"/>
        </w:rPr>
        <w:t>2030</w:t>
      </w:r>
      <w:r>
        <w:rPr>
          <w:rFonts w:ascii="Times New Roman" w:hAnsi="Times New Roman"/>
          <w:sz w:val="20"/>
        </w:rPr>
        <w:t xml:space="preserve"> Notes were issued pursuant to an Indenture, dated as of </w:t>
      </w:r>
      <w:r>
        <w:rPr>
          <w:rStyle w:val="Emphasis"/>
          <w:rFonts w:ascii="Times New Roman" w:hAnsi="Times New Roman"/>
          <w:sz w:val="20"/>
        </w:rPr>
        <w:t>December 23, 2024 (</w:t>
      </w:r>
      <w:r>
        <w:rPr>
          <w:rFonts w:ascii="Times New Roman" w:hAnsi="Times New Roman"/>
          <w:sz w:val="20"/>
        </w:rPr>
        <w:t xml:space="preserve">the "Indenture"), between the Company, as issuer, and Computershare Trust Company, N.A., as trustee.  The </w:t>
      </w:r>
      <w:r>
        <w:rPr>
          <w:rStyle w:val="Emphasis"/>
          <w:rFonts w:ascii="Times New Roman" w:hAnsi="Times New Roman"/>
          <w:sz w:val="20"/>
        </w:rPr>
        <w:t>2030</w:t>
      </w:r>
      <w:r>
        <w:rPr>
          <w:rFonts w:ascii="Times New Roman" w:hAnsi="Times New Roman"/>
          <w:sz w:val="20"/>
        </w:rPr>
        <w:t xml:space="preserve"> Notes bear interest at a rate of 2.750% per year and will pay interest semiannually in arrears on </w:t>
      </w:r>
      <w:r>
        <w:rPr>
          <w:rStyle w:val="Emphasis"/>
          <w:rFonts w:ascii="Times New Roman" w:hAnsi="Times New Roman"/>
          <w:sz w:val="20"/>
        </w:rPr>
        <w:t xml:space="preserve">January 15 </w:t>
      </w:r>
      <w:r>
        <w:rPr>
          <w:rFonts w:ascii="Times New Roman" w:hAnsi="Times New Roman"/>
          <w:sz w:val="20"/>
        </w:rPr>
        <w:t xml:space="preserve">and </w:t>
      </w:r>
      <w:r>
        <w:rPr>
          <w:rStyle w:val="Emphasis"/>
          <w:rFonts w:ascii="Times New Roman" w:hAnsi="Times New Roman"/>
          <w:sz w:val="20"/>
        </w:rPr>
        <w:t xml:space="preserve">July 15 </w:t>
      </w:r>
      <w:r>
        <w:rPr>
          <w:rFonts w:ascii="Times New Roman" w:hAnsi="Times New Roman"/>
          <w:sz w:val="20"/>
        </w:rPr>
        <w:t xml:space="preserve">of each year, beginning on </w:t>
      </w:r>
      <w:r>
        <w:rPr>
          <w:rStyle w:val="Emphasis"/>
          <w:rFonts w:ascii="Times New Roman" w:hAnsi="Times New Roman"/>
          <w:sz w:val="20"/>
        </w:rPr>
        <w:t xml:space="preserve">July 15, 2025. </w:t>
      </w:r>
      <w:r>
        <w:rPr>
          <w:rFonts w:ascii="Times New Roman" w:hAnsi="Times New Roman"/>
          <w:sz w:val="20"/>
        </w:rPr>
        <w:t xml:space="preserve">The </w:t>
      </w:r>
      <w:r>
        <w:rPr>
          <w:rStyle w:val="Emphasis"/>
          <w:rFonts w:ascii="Times New Roman" w:hAnsi="Times New Roman"/>
          <w:sz w:val="20"/>
        </w:rPr>
        <w:t>2030</w:t>
      </w:r>
      <w:r>
        <w:rPr>
          <w:rFonts w:ascii="Times New Roman" w:hAnsi="Times New Roman"/>
          <w:sz w:val="20"/>
        </w:rPr>
        <w:t xml:space="preserve"> Notes will mature on </w:t>
      </w:r>
      <w:r>
        <w:rPr>
          <w:rStyle w:val="Emphasis"/>
          <w:rFonts w:ascii="Times New Roman" w:hAnsi="Times New Roman"/>
          <w:sz w:val="20"/>
        </w:rPr>
        <w:t xml:space="preserve">January 15, 2030, </w:t>
      </w:r>
      <w:r>
        <w:rPr>
          <w:rFonts w:ascii="Times New Roman" w:hAnsi="Times New Roman"/>
          <w:sz w:val="20"/>
        </w:rPr>
        <w:t xml:space="preserve">unless earlier converted, redeemed or repurchased in accordance with their terms.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 xml:space="preserve">The following table presents the carrying value of the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xml:space="preserve"> Notes and the </w:t>
      </w:r>
      <w:r>
        <w:rPr>
          <w:rStyle w:val="Emphasis"/>
          <w:rFonts w:ascii="Times New Roman;Times;serif" w:hAnsi="Times New Roman;Times;serif"/>
          <w:sz w:val="20"/>
          <w:shd w:fill="FFFFFF" w:val="clear"/>
        </w:rPr>
        <w:t>2030</w:t>
      </w:r>
      <w:r>
        <w:rPr>
          <w:rFonts w:ascii="Times New Roman;Times;serif" w:hAnsi="Times New Roman;Times;serif"/>
          <w:sz w:val="20"/>
          <w:shd w:fill="FFFFFF" w:val="clear"/>
        </w:rPr>
        <w:t xml:space="preserve"> Notes for the periods indicated (in thousands):</w:t>
      </w:r>
    </w:p>
    <w:p>
      <w:pPr>
        <w:pStyle w:val="TextBody"/>
        <w:bidi w:val="0"/>
        <w:spacing w:before="0" w:after="0"/>
        <w:ind w:left="0" w:right="0" w:firstLine="760"/>
        <w:jc w:val="left"/>
        <w:rPr>
          <w:shd w:fill="FFFFFF" w:val="clear"/>
        </w:rPr>
      </w:pPr>
      <w:r>
        <w:rPr>
          <w:shd w:fill="FFFFFF" w:val="clear"/>
        </w:rPr>
        <w:t> </w:t>
      </w:r>
    </w:p>
    <w:tbl>
      <w:tblPr>
        <w:tblW w:w="4679" w:type="dxa"/>
        <w:jc w:val="left"/>
        <w:tblInd w:w="0" w:type="dxa"/>
        <w:tblLayout w:type="fixed"/>
        <w:tblCellMar>
          <w:top w:w="0" w:type="dxa"/>
          <w:left w:w="0" w:type="dxa"/>
          <w:bottom w:w="0" w:type="dxa"/>
          <w:right w:w="0" w:type="dxa"/>
        </w:tblCellMar>
      </w:tblPr>
      <w:tblGrid>
        <w:gridCol w:w="2930"/>
        <w:gridCol w:w="60"/>
        <w:gridCol w:w="243"/>
        <w:gridCol w:w="1366"/>
        <w:gridCol w:w="80"/>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2026 Notes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 for 2026 Notes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2030 Notes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Principal Amount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8,376</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carrying amount for 2030 Notes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129,829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941"/>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conversion rate for the </w:t>
      </w:r>
      <w:r>
        <w:rPr>
          <w:rStyle w:val="Emphasis"/>
          <w:rFonts w:ascii="Times New Roman;Times;serif" w:hAnsi="Times New Roman;Times;serif"/>
          <w:sz w:val="20"/>
        </w:rPr>
        <w:t>2030</w:t>
      </w:r>
      <w:r>
        <w:rPr>
          <w:rFonts w:ascii="Times New Roman;Times;serif" w:hAnsi="Times New Roman;Times;serif"/>
          <w:sz w:val="20"/>
        </w:rPr>
        <w:t xml:space="preserve"> Notes is 23.0884 shares of Common Stock per </w:t>
      </w:r>
      <w:r>
        <w:rPr>
          <w:rStyle w:val="Emphasis"/>
          <w:rFonts w:ascii="Times New Roman;Times;serif" w:hAnsi="Times New Roman;Times;serif"/>
          <w:sz w:val="20"/>
        </w:rPr>
        <w:t>$1,000</w:t>
      </w:r>
      <w:r>
        <w:rPr>
          <w:rFonts w:ascii="Times New Roman;Times;serif" w:hAnsi="Times New Roman;Times;serif"/>
          <w:sz w:val="20"/>
        </w:rPr>
        <w:t xml:space="preserve"> principal amount of the </w:t>
      </w:r>
      <w:r>
        <w:rPr>
          <w:rStyle w:val="Emphasis"/>
          <w:rFonts w:ascii="Times New Roman;Times;serif" w:hAnsi="Times New Roman;Times;serif"/>
          <w:sz w:val="20"/>
        </w:rPr>
        <w:t>2030</w:t>
      </w:r>
      <w:r>
        <w:rPr>
          <w:rFonts w:ascii="Times New Roman;Times;serif" w:hAnsi="Times New Roman;Times;serif"/>
          <w:sz w:val="20"/>
        </w:rPr>
        <w:t xml:space="preserve"> Notes (which is equivalent to a conversion price of approximately $43.31 per share of Common Stock, representing a premium of approximately 27.50% over the last reported sale price of the Common Stock on </w:t>
      </w:r>
      <w:r>
        <w:rPr>
          <w:rStyle w:val="Emphasis"/>
          <w:rFonts w:ascii="Times New Roman;Times;serif" w:hAnsi="Times New Roman;Times;serif"/>
          <w:sz w:val="20"/>
        </w:rPr>
        <w:t xml:space="preserve">December 18, 2024 </w:t>
      </w:r>
      <w:r>
        <w:rPr>
          <w:rFonts w:ascii="Times New Roman;Times;serif" w:hAnsi="Times New Roman;Times;serif"/>
          <w:sz w:val="20"/>
        </w:rPr>
        <w:t xml:space="preserve">of $33.97 per share), subject to adjustment. Before </w:t>
      </w:r>
      <w:r>
        <w:rPr>
          <w:rStyle w:val="Emphasis"/>
          <w:rFonts w:ascii="Times New Roman;Times;serif" w:hAnsi="Times New Roman;Times;serif"/>
          <w:sz w:val="20"/>
        </w:rPr>
        <w:t xml:space="preserve">October 15, 2029, </w:t>
      </w:r>
      <w:r>
        <w:rPr>
          <w:rFonts w:ascii="Times New Roman;Times;serif" w:hAnsi="Times New Roman;Times;serif"/>
          <w:sz w:val="20"/>
        </w:rPr>
        <w:t xml:space="preserve">holders of the </w:t>
      </w:r>
      <w:r>
        <w:rPr>
          <w:rStyle w:val="Emphasis"/>
          <w:rFonts w:ascii="Times New Roman;Times;serif" w:hAnsi="Times New Roman;Times;serif"/>
          <w:sz w:val="20"/>
        </w:rPr>
        <w:t>2030</w:t>
      </w:r>
      <w:r>
        <w:rPr>
          <w:rFonts w:ascii="Times New Roman;Times;serif" w:hAnsi="Times New Roman;Times;serif"/>
          <w:sz w:val="20"/>
        </w:rPr>
        <w:t xml:space="preserve"> Notes will have the right to convert their </w:t>
      </w:r>
      <w:r>
        <w:rPr>
          <w:rStyle w:val="Emphasis"/>
          <w:rFonts w:ascii="Times New Roman;Times;serif" w:hAnsi="Times New Roman;Times;serif"/>
          <w:sz w:val="20"/>
        </w:rPr>
        <w:t>2030</w:t>
      </w:r>
      <w:r>
        <w:rPr>
          <w:rFonts w:ascii="Times New Roman;Times;serif" w:hAnsi="Times New Roman;Times;serif"/>
          <w:sz w:val="20"/>
        </w:rPr>
        <w:t xml:space="preserve">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Times;serif" w:hAnsi="Times New Roman;Times;serif"/>
          <w:sz w:val="20"/>
        </w:rPr>
        <w:t xml:space="preserve">October 15, 2029, </w:t>
      </w:r>
      <w:r>
        <w:rPr>
          <w:rFonts w:ascii="Times New Roman;Times;serif" w:hAnsi="Times New Roman;Times;serif"/>
          <w:sz w:val="20"/>
        </w:rPr>
        <w:t xml:space="preserve">holders of the </w:t>
      </w:r>
      <w:r>
        <w:rPr>
          <w:rStyle w:val="Emphasis"/>
          <w:rFonts w:ascii="Times New Roman;Times;serif" w:hAnsi="Times New Roman;Times;serif"/>
          <w:sz w:val="20"/>
        </w:rPr>
        <w:t>2030</w:t>
      </w:r>
      <w:r>
        <w:rPr>
          <w:rFonts w:ascii="Times New Roman;Times;serif" w:hAnsi="Times New Roman;Times;serif"/>
          <w:sz w:val="20"/>
        </w:rPr>
        <w:t xml:space="preserve"> Notes </w:t>
      </w:r>
      <w:r>
        <w:rPr>
          <w:rStyle w:val="Emphasis"/>
          <w:rFonts w:ascii="Times New Roman;Times;serif" w:hAnsi="Times New Roman;Times;serif"/>
          <w:sz w:val="20"/>
        </w:rPr>
        <w:t xml:space="preserve">may </w:t>
      </w:r>
      <w:r>
        <w:rPr>
          <w:rFonts w:ascii="Times New Roman;Times;serif" w:hAnsi="Times New Roman;Times;serif"/>
          <w:sz w:val="20"/>
        </w:rPr>
        <w:t xml:space="preserve">convert their </w:t>
      </w:r>
      <w:r>
        <w:rPr>
          <w:rStyle w:val="Emphasis"/>
          <w:rFonts w:ascii="Times New Roman;Times;serif" w:hAnsi="Times New Roman;Times;serif"/>
          <w:sz w:val="20"/>
        </w:rPr>
        <w:t>2030</w:t>
      </w:r>
      <w:r>
        <w:rPr>
          <w:rFonts w:ascii="Times New Roman;Times;serif" w:hAnsi="Times New Roman;Times;serif"/>
          <w:sz w:val="20"/>
        </w:rPr>
        <w:t xml:space="preserve"> Notes at any time at their election until the close of business on the </w:t>
      </w:r>
      <w:r>
        <w:rPr>
          <w:rStyle w:val="Emphasis"/>
          <w:rFonts w:ascii="Times New Roman;Times;serif" w:hAnsi="Times New Roman;Times;serif"/>
          <w:sz w:val="20"/>
        </w:rPr>
        <w:t>second</w:t>
      </w:r>
      <w:r>
        <w:rPr>
          <w:rFonts w:ascii="Times New Roman;Times;serif" w:hAnsi="Times New Roman;Times;serif"/>
          <w:sz w:val="20"/>
        </w:rPr>
        <w:t xml:space="preserve">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w:t>
      </w:r>
      <w:r>
        <w:rPr>
          <w:rStyle w:val="Emphasis"/>
          <w:rFonts w:ascii="Times New Roman;Times;serif" w:hAnsi="Times New Roman;Times;serif"/>
          <w:sz w:val="20"/>
        </w:rPr>
        <w:t>2030</w:t>
      </w:r>
      <w:r>
        <w:rPr>
          <w:rFonts w:ascii="Times New Roman;Times;serif" w:hAnsi="Times New Roman;Times;serif"/>
          <w:sz w:val="20"/>
        </w:rPr>
        <w:t xml:space="preserve"> Notes will be redeemable, in whole or in part (subject to certain limitations described in the Indenture), at the Company’s option at any time, and from time to time, on or after </w:t>
      </w:r>
      <w:r>
        <w:rPr>
          <w:rStyle w:val="Emphasis"/>
          <w:rFonts w:ascii="Times New Roman;Times;serif" w:hAnsi="Times New Roman;Times;serif"/>
          <w:sz w:val="20"/>
        </w:rPr>
        <w:t xml:space="preserve">January 15, 2027 </w:t>
      </w:r>
      <w:r>
        <w:rPr>
          <w:rFonts w:ascii="Times New Roman;Times;serif" w:hAnsi="Times New Roman;Times;serif"/>
          <w:sz w:val="20"/>
        </w:rPr>
        <w:t xml:space="preserve">and on or before the </w:t>
      </w:r>
      <w:r>
        <w:rPr>
          <w:rStyle w:val="Emphasis"/>
          <w:rFonts w:ascii="Times New Roman;Times;serif" w:hAnsi="Times New Roman;Times;serif"/>
          <w:sz w:val="20"/>
        </w:rPr>
        <w:t>40th</w:t>
      </w:r>
      <w:r>
        <w:rPr>
          <w:rFonts w:ascii="Times New Roman;Times;serif" w:hAnsi="Times New Roman;Times;serif"/>
          <w:sz w:val="20"/>
        </w:rPr>
        <w:t xml:space="preserve"> scheduled trading day immediately before the maturity date, at a cash redemption price equal to the principal amount of the </w:t>
      </w:r>
      <w:r>
        <w:rPr>
          <w:rStyle w:val="Emphasis"/>
          <w:rFonts w:ascii="Times New Roman;Times;serif" w:hAnsi="Times New Roman;Times;serif"/>
          <w:sz w:val="20"/>
        </w:rPr>
        <w:t>2030</w:t>
      </w:r>
      <w:r>
        <w:rPr>
          <w:rFonts w:ascii="Times New Roman;Times;serif" w:hAnsi="Times New Roman;Times;serif"/>
          <w:sz w:val="20"/>
        </w:rPr>
        <w:t xml:space="preserve"> Notes to be redeemed, plus accrued and unpaid interest, if any, to, but excluding, the redemption date, but only if the last reported sale price per share of the Common Stock exceeds 130% of the conversion price on (</w:t>
      </w:r>
      <w:r>
        <w:rPr>
          <w:rStyle w:val="Emphasis"/>
          <w:rFonts w:ascii="Times New Roman;Times;serif" w:hAnsi="Times New Roman;Times;serif"/>
          <w:sz w:val="20"/>
        </w:rPr>
        <w:t>1</w:t>
      </w:r>
      <w:r>
        <w:rPr>
          <w:rFonts w:ascii="Times New Roman;Times;serif" w:hAnsi="Times New Roman;Times;serif"/>
          <w:sz w:val="20"/>
        </w:rPr>
        <w:t xml:space="preserve">) each of at least 20 trading days, whether or </w:t>
      </w:r>
      <w:r>
        <w:rPr>
          <w:rStyle w:val="Emphasis"/>
          <w:rFonts w:ascii="Times New Roman;Times;serif" w:hAnsi="Times New Roman;Times;serif"/>
          <w:sz w:val="20"/>
        </w:rPr>
        <w:t>not</w:t>
      </w:r>
      <w:r>
        <w:rPr>
          <w:rFonts w:ascii="Times New Roman;Times;serif" w:hAnsi="Times New Roman;Times;serif"/>
          <w:sz w:val="20"/>
        </w:rPr>
        <w:t xml:space="preserve"> consecutive, during the 30 consecutive trading days ending on, and including, the trading day immediately before the date the Company sends the related redemption notice; and (</w:t>
      </w:r>
      <w:r>
        <w:rPr>
          <w:rStyle w:val="Emphasis"/>
          <w:rFonts w:ascii="Times New Roman;Times;serif" w:hAnsi="Times New Roman;Times;serif"/>
          <w:sz w:val="20"/>
        </w:rPr>
        <w:t>2</w:t>
      </w:r>
      <w:r>
        <w:rPr>
          <w:rFonts w:ascii="Times New Roman;Times;serif" w:hAnsi="Times New Roman;Times;serif"/>
          <w:sz w:val="20"/>
        </w:rPr>
        <w:t>) the trading day immediately before the date it sends such notice.</w:t>
      </w:r>
    </w:p>
    <w:p>
      <w:pPr>
        <w:pStyle w:val="TextBody"/>
        <w:bidi w:val="0"/>
        <w:spacing w:before="0" w:after="0"/>
        <w:ind w:left="0" w:right="0" w:firstLine="72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 xml:space="preserve">In addition, the </w:t>
      </w:r>
      <w:r>
        <w:rPr>
          <w:rStyle w:val="Emphasis"/>
          <w:rFonts w:ascii="Times New Roman;Times;serif" w:hAnsi="Times New Roman;Times;serif"/>
          <w:sz w:val="20"/>
        </w:rPr>
        <w:t>2030</w:t>
      </w:r>
      <w:r>
        <w:rPr>
          <w:rFonts w:ascii="Times New Roman;Times;serif" w:hAnsi="Times New Roman;Times;serif"/>
          <w:sz w:val="20"/>
        </w:rPr>
        <w:t xml:space="preserve"> Notes will be redeemable, in whole or in part, at the Company’s option at any time, and from time to time, on or before the </w:t>
      </w:r>
      <w:r>
        <w:rPr>
          <w:rStyle w:val="Emphasis"/>
          <w:rFonts w:ascii="Times New Roman;Times;serif" w:hAnsi="Times New Roman;Times;serif"/>
          <w:sz w:val="20"/>
        </w:rPr>
        <w:t>40th</w:t>
      </w:r>
      <w:r>
        <w:rPr>
          <w:rFonts w:ascii="Times New Roman;Times;serif" w:hAnsi="Times New Roman;Times;serif"/>
          <w:sz w:val="20"/>
        </w:rPr>
        <w:t xml:space="preserve"> scheduled trading day immediately before the maturity date, at a cash redemption price equal to the principal amount of the </w:t>
      </w:r>
      <w:r>
        <w:rPr>
          <w:rStyle w:val="Emphasis"/>
          <w:rFonts w:ascii="Times New Roman;Times;serif" w:hAnsi="Times New Roman;Times;serif"/>
          <w:sz w:val="20"/>
        </w:rPr>
        <w:t>2030</w:t>
      </w:r>
      <w:r>
        <w:rPr>
          <w:rFonts w:ascii="Times New Roman;Times;serif" w:hAnsi="Times New Roman;Times;serif"/>
          <w:sz w:val="20"/>
        </w:rPr>
        <w:t xml:space="preserve"> Notes to be redeemed, plus accrued and unpaid interest, if any, to, but excluding, the redemption date (subject to the right of a holder of </w:t>
      </w:r>
      <w:r>
        <w:rPr>
          <w:rStyle w:val="Emphasis"/>
          <w:rFonts w:ascii="Times New Roman;Times;serif" w:hAnsi="Times New Roman;Times;serif"/>
          <w:sz w:val="20"/>
        </w:rPr>
        <w:t>2030</w:t>
      </w:r>
      <w:r>
        <w:rPr>
          <w:rFonts w:ascii="Times New Roman;Times;serif" w:hAnsi="Times New Roman;Times;serif"/>
          <w:sz w:val="20"/>
        </w:rPr>
        <w:t xml:space="preserve">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Calling any </w:t>
      </w:r>
      <w:r>
        <w:rPr>
          <w:rStyle w:val="Emphasis"/>
          <w:rFonts w:ascii="Times New Roman;Times;serif" w:hAnsi="Times New Roman;Times;serif"/>
          <w:sz w:val="20"/>
        </w:rPr>
        <w:t>2030</w:t>
      </w:r>
      <w:r>
        <w:rPr>
          <w:rFonts w:ascii="Times New Roman;Times;serif" w:hAnsi="Times New Roman;Times;serif"/>
          <w:sz w:val="20"/>
        </w:rPr>
        <w:t xml:space="preserve"> Note for redemption will constitute a "Make-Whole Fundamental Change" (as defined in the Indenture) with respect to that </w:t>
      </w:r>
      <w:r>
        <w:rPr>
          <w:rStyle w:val="Emphasis"/>
          <w:rFonts w:ascii="Times New Roman;Times;serif" w:hAnsi="Times New Roman;Times;serif"/>
          <w:sz w:val="20"/>
        </w:rPr>
        <w:t>2030</w:t>
      </w:r>
      <w:r>
        <w:rPr>
          <w:rFonts w:ascii="Times New Roman;Times;serif" w:hAnsi="Times New Roman;Times;serif"/>
          <w:sz w:val="20"/>
        </w:rPr>
        <w:t xml:space="preserve"> Note, in which case the conversion rate applicable to the conversion of that </w:t>
      </w:r>
      <w:r>
        <w:rPr>
          <w:rStyle w:val="Emphasis"/>
          <w:rFonts w:ascii="Times New Roman;Times;serif" w:hAnsi="Times New Roman;Times;serif"/>
          <w:sz w:val="20"/>
        </w:rPr>
        <w:t>2030</w:t>
      </w:r>
      <w:r>
        <w:rPr>
          <w:rFonts w:ascii="Times New Roman;Times;serif" w:hAnsi="Times New Roman;Times;serif"/>
          <w:sz w:val="20"/>
        </w:rPr>
        <w:t xml:space="preserve"> Note will be increased in certain circumstances if i</w:t>
      </w:r>
      <w:r>
        <w:rPr>
          <w:rFonts w:ascii="Times New Roman;Times;serif" w:hAnsi="Times New Roman;Times;serif"/>
          <w:sz w:val="20"/>
          <w:shd w:fill="FFFFFF" w:val="clear"/>
        </w:rPr>
        <w:t>t i</w:t>
      </w:r>
      <w:r>
        <w:rPr>
          <w:rFonts w:ascii="Times New Roman;Times;serif" w:hAnsi="Times New Roman;Times;serif"/>
          <w:color w:val="000000"/>
          <w:sz w:val="20"/>
          <w:shd w:fill="FFFFFF" w:val="clear"/>
        </w:rPr>
        <w:t>s converted after it is called for redemption.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In addition, if the Specified Divestiture is completed, then unless the Company has previously elected to redeem all of the </w:t>
      </w:r>
      <w:r>
        <w:rPr>
          <w:rStyle w:val="Emphasis"/>
          <w:rFonts w:ascii="Times New Roman;Times;serif" w:hAnsi="Times New Roman;Times;serif"/>
          <w:sz w:val="20"/>
        </w:rPr>
        <w:t>2030</w:t>
      </w:r>
      <w:r>
        <w:rPr>
          <w:rFonts w:ascii="Times New Roman;Times;serif" w:hAnsi="Times New Roman;Times;serif"/>
          <w:sz w:val="20"/>
        </w:rPr>
        <w:t xml:space="preserve"> Notes, each holder of </w:t>
      </w:r>
      <w:r>
        <w:rPr>
          <w:rStyle w:val="Emphasis"/>
          <w:rFonts w:ascii="Times New Roman;Times;serif" w:hAnsi="Times New Roman;Times;serif"/>
          <w:sz w:val="20"/>
        </w:rPr>
        <w:t>2030</w:t>
      </w:r>
      <w:r>
        <w:rPr>
          <w:rFonts w:ascii="Times New Roman;Times;serif" w:hAnsi="Times New Roman;Times;serif"/>
          <w:sz w:val="20"/>
        </w:rPr>
        <w:t xml:space="preserve"> Notes will have the right to require the Company to repurchase its </w:t>
      </w:r>
      <w:r>
        <w:rPr>
          <w:rStyle w:val="Emphasis"/>
          <w:rFonts w:ascii="Times New Roman;Times;serif" w:hAnsi="Times New Roman;Times;serif"/>
          <w:sz w:val="20"/>
        </w:rPr>
        <w:t>2030</w:t>
      </w:r>
      <w:r>
        <w:rPr>
          <w:rFonts w:ascii="Times New Roman;Times;serif" w:hAnsi="Times New Roman;Times;serif"/>
          <w:sz w:val="20"/>
        </w:rPr>
        <w:t xml:space="preserve"> Notes for cash on a date of the Company’s choosing, which must be a business day that is </w:t>
      </w:r>
      <w:r>
        <w:rPr>
          <w:rStyle w:val="Emphasis"/>
          <w:rFonts w:ascii="Times New Roman;Times;serif" w:hAnsi="Times New Roman;Times;serif"/>
          <w:sz w:val="20"/>
        </w:rPr>
        <w:t>no</w:t>
      </w:r>
      <w:r>
        <w:rPr>
          <w:rFonts w:ascii="Times New Roman;Times;serif" w:hAnsi="Times New Roman;Times;serif"/>
          <w:sz w:val="20"/>
        </w:rPr>
        <w:t xml:space="preserve"> more than </w:t>
      </w:r>
      <w:r>
        <w:rPr>
          <w:rStyle w:val="Emphasis"/>
          <w:rFonts w:ascii="Times New Roman;Times;serif" w:hAnsi="Times New Roman;Times;serif"/>
          <w:sz w:val="20"/>
        </w:rPr>
        <w:t>35,</w:t>
      </w:r>
      <w:r>
        <w:rPr>
          <w:rFonts w:ascii="Times New Roman;Times;serif" w:hAnsi="Times New Roman;Times;serif"/>
          <w:sz w:val="20"/>
        </w:rPr>
        <w:t xml:space="preserve"> nor less than </w:t>
      </w:r>
      <w:r>
        <w:rPr>
          <w:rStyle w:val="Emphasis"/>
          <w:rFonts w:ascii="Times New Roman;Times;serif" w:hAnsi="Times New Roman;Times;serif"/>
          <w:sz w:val="20"/>
        </w:rPr>
        <w:t>20,</w:t>
      </w:r>
      <w:r>
        <w:rPr>
          <w:rFonts w:ascii="Times New Roman;Times;serif" w:hAnsi="Times New Roman;Times;serif"/>
          <w:sz w:val="20"/>
        </w:rPr>
        <w:t xml:space="preserve"> business days after the date the Company’s sends the related notice of Specified Divestiture. The repurchase price for a note tendered for such repurchase will be equal to the principal amount of the </w:t>
      </w:r>
      <w:r>
        <w:rPr>
          <w:rStyle w:val="Emphasis"/>
          <w:rFonts w:ascii="Times New Roman;Times;serif" w:hAnsi="Times New Roman;Times;serif"/>
          <w:sz w:val="20"/>
        </w:rPr>
        <w:t>2030</w:t>
      </w:r>
      <w:r>
        <w:rPr>
          <w:rFonts w:ascii="Times New Roman;Times;serif" w:hAnsi="Times New Roman;Times;serif"/>
          <w:sz w:val="20"/>
        </w:rPr>
        <w:t xml:space="preserve"> Notes to be repurchased, plus accrued and unpaid interest, if any, to, but excluding, the repurchase date (subject to the right of a holder of </w:t>
      </w:r>
      <w:r>
        <w:rPr>
          <w:rStyle w:val="Emphasis"/>
          <w:rFonts w:ascii="Times New Roman;Times;serif" w:hAnsi="Times New Roman;Times;serif"/>
          <w:sz w:val="20"/>
        </w:rPr>
        <w:t>2030</w:t>
      </w:r>
      <w:r>
        <w:rPr>
          <w:rFonts w:ascii="Times New Roman;Times;serif" w:hAnsi="Times New Roman;Times;serif"/>
          <w:sz w:val="20"/>
        </w:rPr>
        <w:t xml:space="preserve"> Notes as of the close of business on a record date to receive the related interest payment on the corresponding interest payment date).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Moreover, if the Company undergoes a fundamental change, as described in the Indenture, holders of the </w:t>
      </w:r>
      <w:r>
        <w:rPr>
          <w:rStyle w:val="Emphasis"/>
          <w:rFonts w:ascii="Times New Roman;Times;serif" w:hAnsi="Times New Roman;Times;serif"/>
          <w:sz w:val="20"/>
        </w:rPr>
        <w:t>2030</w:t>
      </w:r>
      <w:r>
        <w:rPr>
          <w:rFonts w:ascii="Times New Roman;Times;serif" w:hAnsi="Times New Roman;Times;serif"/>
          <w:sz w:val="20"/>
        </w:rPr>
        <w:t xml:space="preserve"> Notes </w:t>
      </w:r>
      <w:r>
        <w:rPr>
          <w:rStyle w:val="Emphasis"/>
          <w:rFonts w:ascii="Times New Roman;Times;serif" w:hAnsi="Times New Roman;Times;serif"/>
          <w:sz w:val="20"/>
        </w:rPr>
        <w:t xml:space="preserve">may </w:t>
      </w:r>
      <w:r>
        <w:rPr>
          <w:rFonts w:ascii="Times New Roman;Times;serif" w:hAnsi="Times New Roman;Times;serif"/>
          <w:sz w:val="20"/>
        </w:rPr>
        <w:t xml:space="preserve">require the Company to repurchase for cash all or part of their </w:t>
      </w:r>
      <w:r>
        <w:rPr>
          <w:rStyle w:val="Emphasis"/>
          <w:rFonts w:ascii="Times New Roman;Times;serif" w:hAnsi="Times New Roman;Times;serif"/>
          <w:sz w:val="20"/>
        </w:rPr>
        <w:t>2030</w:t>
      </w:r>
      <w:r>
        <w:rPr>
          <w:rFonts w:ascii="Times New Roman;Times;serif" w:hAnsi="Times New Roman;Times;serif"/>
          <w:sz w:val="20"/>
        </w:rPr>
        <w:t xml:space="preserve"> Notes at a repurchase price equal to 100% of the principal amount of the </w:t>
      </w:r>
      <w:r>
        <w:rPr>
          <w:rStyle w:val="Emphasis"/>
          <w:rFonts w:ascii="Times New Roman;Times;serif" w:hAnsi="Times New Roman;Times;serif"/>
          <w:sz w:val="20"/>
        </w:rPr>
        <w:t>2030</w:t>
      </w:r>
      <w:r>
        <w:rPr>
          <w:rFonts w:ascii="Times New Roman;Times;serif" w:hAnsi="Times New Roman;Times;serif"/>
          <w:sz w:val="20"/>
        </w:rPr>
        <w:t xml:space="preserve"> Notes to be repurchased, plus accrued and unpaid interest to, but excluding, the required repurchase date.</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Additionally, the </w:t>
      </w:r>
      <w:r>
        <w:rPr>
          <w:rStyle w:val="Emphasis"/>
          <w:rFonts w:ascii="Times New Roman;Times;serif" w:hAnsi="Times New Roman;Times;serif"/>
          <w:sz w:val="20"/>
        </w:rPr>
        <w:t>2030</w:t>
      </w:r>
      <w:r>
        <w:rPr>
          <w:rFonts w:ascii="Times New Roman;Times;serif" w:hAnsi="Times New Roman;Times;serif"/>
          <w:sz w:val="20"/>
        </w:rPr>
        <w:t xml:space="preserve"> Notes are subject to customary events of default. The </w:t>
      </w:r>
      <w:r>
        <w:rPr>
          <w:rStyle w:val="Emphasis"/>
          <w:rFonts w:ascii="Times New Roman;Times;serif" w:hAnsi="Times New Roman;Times;serif"/>
          <w:sz w:val="20"/>
        </w:rPr>
        <w:t>2030</w:t>
      </w:r>
      <w:r>
        <w:rPr>
          <w:rFonts w:ascii="Times New Roman;Times;serif" w:hAnsi="Times New Roman;Times;serif"/>
          <w:sz w:val="20"/>
        </w:rPr>
        <w:t xml:space="preserve"> Notes do </w:t>
      </w:r>
      <w:r>
        <w:rPr>
          <w:rStyle w:val="Emphasis"/>
          <w:rFonts w:ascii="Times New Roman;Times;serif" w:hAnsi="Times New Roman;Times;serif"/>
          <w:sz w:val="20"/>
        </w:rPr>
        <w:t>not</w:t>
      </w:r>
      <w:r>
        <w:rPr>
          <w:rFonts w:ascii="Times New Roman;Times;serif" w:hAnsi="Times New Roman;Times;serif"/>
          <w:sz w:val="20"/>
        </w:rPr>
        <w:t xml:space="preserve"> restrict the Company’s ability to incur debt or liens. </w:t>
      </w:r>
      <w:r>
        <w:rPr>
          <w:rStyle w:val="Emphasis"/>
          <w:rFonts w:ascii="Times New Roman;Times;serif" w:hAnsi="Times New Roman;Times;serif"/>
          <w:sz w:val="20"/>
        </w:rPr>
        <w:t>No</w:t>
      </w:r>
      <w:r>
        <w:rPr>
          <w:rFonts w:ascii="Times New Roman;Times;serif" w:hAnsi="Times New Roman;Times;serif"/>
          <w:sz w:val="20"/>
        </w:rPr>
        <w:t xml:space="preserve"> sinking fund is provided for the </w:t>
      </w:r>
      <w:r>
        <w:rPr>
          <w:rStyle w:val="Emphasis"/>
          <w:rFonts w:ascii="Times New Roman;Times;serif" w:hAnsi="Times New Roman;Times;serif"/>
          <w:sz w:val="20"/>
        </w:rPr>
        <w:t>2030</w:t>
      </w:r>
      <w:r>
        <w:rPr>
          <w:rFonts w:ascii="Times New Roman;Times;serif" w:hAnsi="Times New Roman;Times;serif"/>
          <w:sz w:val="20"/>
        </w:rPr>
        <w:t xml:space="preserve"> Notes. There are </w:t>
      </w:r>
      <w:r>
        <w:rPr>
          <w:rStyle w:val="Emphasis"/>
          <w:rFonts w:ascii="Times New Roman;Times;serif" w:hAnsi="Times New Roman;Times;serif"/>
          <w:sz w:val="20"/>
        </w:rPr>
        <w:t>no</w:t>
      </w:r>
      <w:r>
        <w:rPr>
          <w:rFonts w:ascii="Times New Roman;Times;serif" w:hAnsi="Times New Roman;Times;serif"/>
          <w:sz w:val="20"/>
        </w:rPr>
        <w:t xml:space="preserve"> guarantors of the </w:t>
      </w:r>
      <w:r>
        <w:rPr>
          <w:rStyle w:val="Emphasis"/>
          <w:rFonts w:ascii="Times New Roman;Times;serif" w:hAnsi="Times New Roman;Times;serif"/>
          <w:sz w:val="20"/>
        </w:rPr>
        <w:t>2030</w:t>
      </w:r>
      <w:r>
        <w:rPr>
          <w:rFonts w:ascii="Times New Roman;Times;serif" w:hAnsi="Times New Roman;Times;serif"/>
          <w:sz w:val="20"/>
        </w:rPr>
        <w:t xml:space="preserv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w:t>
      </w:r>
    </w:p>
    <w:p>
      <w:pPr>
        <w:pStyle w:val="TextBody"/>
        <w:bidi w:val="0"/>
        <w:spacing w:before="0" w:after="0"/>
        <w:ind w:left="0" w:right="0" w:firstLine="720"/>
        <w:jc w:val="both"/>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following table sets forth interest expense information related to the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xml:space="preserve"> Notes and the </w:t>
      </w:r>
      <w:r>
        <w:rPr>
          <w:rStyle w:val="Emphasis"/>
          <w:rFonts w:ascii="Times New Roman;Times;serif" w:hAnsi="Times New Roman;Times;serif"/>
          <w:sz w:val="20"/>
          <w:shd w:fill="FFFFFF" w:val="clear"/>
        </w:rPr>
        <w:t>2030</w:t>
      </w:r>
      <w:r>
        <w:rPr>
          <w:rFonts w:ascii="Times New Roman;Times;serif" w:hAnsi="Times New Roman;Times;serif"/>
          <w:sz w:val="20"/>
          <w:shd w:fill="FFFFFF" w:val="clear"/>
        </w:rPr>
        <w:t xml:space="preserve"> Notes for the periods indicated (in thousands):</w:t>
      </w:r>
    </w:p>
    <w:p>
      <w:pPr>
        <w:pStyle w:val="TextBody"/>
        <w:bidi w:val="0"/>
        <w:spacing w:before="0" w:after="0"/>
        <w:ind w:left="0" w:right="0" w:firstLine="360"/>
        <w:jc w:val="left"/>
        <w:rPr/>
      </w:pPr>
      <w:r>
        <w:rPr/>
        <w:t> </w:t>
      </w:r>
    </w:p>
    <w:tbl>
      <w:tblPr>
        <w:tblW w:w="5260" w:type="dxa"/>
        <w:jc w:val="left"/>
        <w:tblInd w:w="0" w:type="dxa"/>
        <w:tblLayout w:type="fixed"/>
        <w:tblCellMar>
          <w:top w:w="0" w:type="dxa"/>
          <w:left w:w="0" w:type="dxa"/>
          <w:bottom w:w="0" w:type="dxa"/>
          <w:right w:w="0" w:type="dxa"/>
        </w:tblCellMar>
      </w:tblPr>
      <w:tblGrid>
        <w:gridCol w:w="2900"/>
        <w:gridCol w:w="60"/>
        <w:gridCol w:w="180"/>
        <w:gridCol w:w="701"/>
        <w:gridCol w:w="267"/>
        <w:gridCol w:w="86"/>
        <w:gridCol w:w="180"/>
        <w:gridCol w:w="701"/>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26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w:t>
            </w:r>
          </w:p>
        </w:tc>
        <w:tc>
          <w:tcPr>
            <w:tcW w:w="26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26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w:t>
            </w:r>
          </w:p>
        </w:tc>
        <w:tc>
          <w:tcPr>
            <w:tcW w:w="26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5,688</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7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NOTE M—ACCRUED LIABILITIES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Accrued liabilities consisted of the following for the periods indicated (in thousands):</w:t>
      </w:r>
    </w:p>
    <w:p>
      <w:pPr>
        <w:pStyle w:val="TextBody"/>
        <w:bidi w:val="0"/>
        <w:spacing w:before="0" w:after="0"/>
        <w:ind w:left="0" w:right="0" w:firstLine="720"/>
        <w:jc w:val="left"/>
        <w:rPr/>
      </w:pPr>
      <w:r>
        <w:rPr/>
        <w:t> </w:t>
      </w:r>
    </w:p>
    <w:tbl>
      <w:tblPr>
        <w:tblW w:w="6478" w:type="dxa"/>
        <w:jc w:val="left"/>
        <w:tblInd w:w="0" w:type="dxa"/>
        <w:tblLayout w:type="fixed"/>
        <w:tblCellMar>
          <w:top w:w="0" w:type="dxa"/>
          <w:left w:w="0" w:type="dxa"/>
          <w:bottom w:w="0" w:type="dxa"/>
          <w:right w:w="0" w:type="dxa"/>
        </w:tblCellMar>
      </w:tblPr>
      <w:tblGrid>
        <w:gridCol w:w="3020"/>
        <w:gridCol w:w="60"/>
        <w:gridCol w:w="280"/>
        <w:gridCol w:w="1329"/>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payments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commission</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N—OTHER INCOME AND EXPENSE</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Other income and expense consisted of the following for the periods indicated (in thousands):</w:t>
      </w:r>
    </w:p>
    <w:p>
      <w:pPr>
        <w:pStyle w:val="TextBody"/>
        <w:bidi w:val="0"/>
        <w:spacing w:before="0" w:after="0"/>
        <w:ind w:left="0" w:right="0" w:firstLine="720"/>
        <w:jc w:val="left"/>
        <w:rPr>
          <w:shd w:fill="FFFFFF" w:val="clear"/>
        </w:rPr>
      </w:pPr>
      <w:r>
        <w:rPr>
          <w:shd w:fill="FFFFFF" w:val="clear"/>
        </w:rPr>
        <w:t>  </w:t>
      </w:r>
    </w:p>
    <w:tbl>
      <w:tblPr>
        <w:tblW w:w="5405" w:type="dxa"/>
        <w:jc w:val="left"/>
        <w:tblInd w:w="0" w:type="dxa"/>
        <w:tblLayout w:type="fixed"/>
        <w:tblCellMar>
          <w:top w:w="0" w:type="dxa"/>
          <w:left w:w="0" w:type="dxa"/>
          <w:bottom w:w="0" w:type="dxa"/>
          <w:right w:w="0" w:type="dxa"/>
        </w:tblCellMar>
      </w:tblPr>
      <w:tblGrid>
        <w:gridCol w:w="2825"/>
        <w:gridCol w:w="60"/>
        <w:gridCol w:w="125"/>
        <w:gridCol w:w="485"/>
        <w:gridCol w:w="80"/>
        <w:gridCol w:w="60"/>
        <w:gridCol w:w="125"/>
        <w:gridCol w:w="755"/>
        <w:gridCol w:w="80"/>
        <w:gridCol w:w="60"/>
        <w:gridCol w:w="125"/>
        <w:gridCol w:w="545"/>
        <w:gridCol w:w="8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transaction gain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(111,962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non-operating gain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NOTE O—INCOME TAXES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sources of the Company’s loss from operations before income taxes were as follows for the periods indicated (in thousands):</w:t>
      </w:r>
    </w:p>
    <w:p>
      <w:pPr>
        <w:pStyle w:val="TextBody"/>
        <w:bidi w:val="0"/>
        <w:spacing w:before="0" w:after="0"/>
        <w:ind w:left="0" w:right="0" w:firstLine="720"/>
        <w:jc w:val="left"/>
        <w:rPr>
          <w:shd w:fill="FFFFFF" w:val="clear"/>
        </w:rPr>
      </w:pPr>
      <w:r>
        <w:rPr>
          <w:shd w:fill="FFFFFF" w:val="clear"/>
        </w:rPr>
        <w:t>  </w:t>
      </w:r>
    </w:p>
    <w:tbl>
      <w:tblPr>
        <w:tblW w:w="5330" w:type="dxa"/>
        <w:jc w:val="left"/>
        <w:tblInd w:w="0" w:type="dxa"/>
        <w:tblLayout w:type="fixed"/>
        <w:tblCellMar>
          <w:top w:w="0" w:type="dxa"/>
          <w:left w:w="0" w:type="dxa"/>
          <w:bottom w:w="0" w:type="dxa"/>
          <w:right w:w="0" w:type="dxa"/>
        </w:tblCellMar>
      </w:tblPr>
      <w:tblGrid>
        <w:gridCol w:w="2480"/>
        <w:gridCol w:w="60"/>
        <w:gridCol w:w="125"/>
        <w:gridCol w:w="650"/>
        <w:gridCol w:w="80"/>
        <w:gridCol w:w="60"/>
        <w:gridCol w:w="125"/>
        <w:gridCol w:w="755"/>
        <w:gridCol w:w="80"/>
        <w:gridCol w:w="60"/>
        <w:gridCol w:w="125"/>
        <w:gridCol w:w="650"/>
        <w:gridCol w:w="80"/>
      </w:tblGrid>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(186,731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(56,039</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provision for income tax expense (benefit) for the years ended </w:t>
      </w:r>
      <w:r>
        <w:rPr>
          <w:rStyle w:val="Emphasis"/>
          <w:rFonts w:ascii="Times New Roman;Times;serif" w:hAnsi="Times New Roman;Times;serif"/>
          <w:sz w:val="20"/>
          <w:shd w:fill="FFFFFF" w:val="clear"/>
        </w:rPr>
        <w:t xml:space="preserve">December 31, </w:t>
      </w:r>
      <w:r>
        <w:rPr>
          <w:rFonts w:ascii="Times New Roman;Times;serif" w:hAnsi="Times New Roman;Times;serif"/>
          <w:sz w:val="20"/>
          <w:shd w:fill="FFFFFF" w:val="clear"/>
        </w:rPr>
        <w:t>was as follows (in thousands):</w:t>
      </w:r>
    </w:p>
    <w:p>
      <w:pPr>
        <w:pStyle w:val="TextBody"/>
        <w:bidi w:val="0"/>
        <w:spacing w:before="0" w:after="0"/>
        <w:ind w:left="0" w:right="0" w:firstLine="720"/>
        <w:jc w:val="left"/>
        <w:rPr>
          <w:shd w:fill="FFFFFF" w:val="clear"/>
        </w:rPr>
      </w:pPr>
      <w:r>
        <w:rPr>
          <w:shd w:fill="FFFFFF" w:val="clear"/>
        </w:rPr>
        <w:t>  </w:t>
      </w:r>
    </w:p>
    <w:tbl>
      <w:tblPr>
        <w:tblW w:w="4290" w:type="dxa"/>
        <w:jc w:val="left"/>
        <w:tblInd w:w="0" w:type="dxa"/>
        <w:tblLayout w:type="fixed"/>
        <w:tblCellMar>
          <w:top w:w="0" w:type="dxa"/>
          <w:left w:w="0" w:type="dxa"/>
          <w:bottom w:w="0" w:type="dxa"/>
          <w:right w:w="0" w:type="dxa"/>
        </w:tblCellMar>
      </w:tblPr>
      <w:tblGrid>
        <w:gridCol w:w="2360"/>
        <w:gridCol w:w="60"/>
        <w:gridCol w:w="125"/>
        <w:gridCol w:w="545"/>
        <w:gridCol w:w="80"/>
        <w:gridCol w:w="60"/>
        <w:gridCol w:w="142"/>
        <w:gridCol w:w="298"/>
        <w:gridCol w:w="60"/>
        <w:gridCol w:w="60"/>
        <w:gridCol w:w="142"/>
        <w:gridCol w:w="298"/>
        <w:gridCol w:w="60"/>
      </w:tblGrid>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Deferred income tax assets and liabilities result principally from net operating losses, different methods of recognizing depreciation, reserves for doubtful accounts and inventory, research and development credits and foreign tax credits. At </w:t>
      </w:r>
      <w:r>
        <w:rPr>
          <w:rStyle w:val="Emphasis"/>
          <w:rFonts w:ascii="Times New Roman;Times;serif" w:hAnsi="Times New Roman;Times;serif"/>
          <w:sz w:val="20"/>
          <w:shd w:fill="FFFFFF" w:val="clear"/>
        </w:rPr>
        <w:t>December 31,</w:t>
      </w:r>
      <w:r>
        <w:rPr>
          <w:rFonts w:ascii="Times New Roman;Times;serif" w:hAnsi="Times New Roman;Times;serif"/>
          <w:sz w:val="20"/>
          <w:shd w:fill="FFFFFF" w:val="clear"/>
        </w:rPr>
        <w:t xml:space="preserve"> the net deferred tax assets and liabilities are comprised of the following approximate amounts (in thousands):</w:t>
      </w:r>
    </w:p>
    <w:p>
      <w:pPr>
        <w:pStyle w:val="TextBody"/>
        <w:bidi w:val="0"/>
        <w:spacing w:before="0" w:after="0"/>
        <w:ind w:left="0" w:right="0" w:firstLine="720"/>
        <w:jc w:val="left"/>
        <w:rPr/>
      </w:pPr>
      <w:r>
        <w:rPr/>
        <w:t> </w:t>
      </w:r>
    </w:p>
    <w:tbl>
      <w:tblPr>
        <w:tblW w:w="5045" w:type="dxa"/>
        <w:jc w:val="left"/>
        <w:tblInd w:w="0" w:type="dxa"/>
        <w:tblLayout w:type="fixed"/>
        <w:tblCellMar>
          <w:top w:w="0" w:type="dxa"/>
          <w:left w:w="0" w:type="dxa"/>
          <w:bottom w:w="0" w:type="dxa"/>
          <w:right w:w="0" w:type="dxa"/>
        </w:tblCellMar>
      </w:tblPr>
      <w:tblGrid>
        <w:gridCol w:w="3125"/>
        <w:gridCol w:w="60"/>
        <w:gridCol w:w="125"/>
        <w:gridCol w:w="695"/>
        <w:gridCol w:w="80"/>
        <w:gridCol w:w="60"/>
        <w:gridCol w:w="125"/>
        <w:gridCol w:w="695"/>
        <w:gridCol w:w="8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NOL carryforward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59,788</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3,700</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and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12,508</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14,449</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ASC 842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1,515</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p>
        </w:tc>
        <w:tc>
          <w:tcPr>
            <w:tcW w:w="8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(95,753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(94,996</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8,576</w:t>
            </w:r>
          </w:p>
        </w:tc>
        <w:tc>
          <w:tcPr>
            <w:tcW w:w="8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ASC 842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The Company has a U.S. net operating loss carry forward of approximately $250.6 million, $33.6 million of which, if unused, expires between </w:t>
      </w:r>
      <w:r>
        <w:rPr>
          <w:rStyle w:val="Emphasis"/>
          <w:rFonts w:ascii="Times New Roman" w:hAnsi="Times New Roman"/>
          <w:caps w:val="false"/>
          <w:smallCaps w:val="false"/>
          <w:sz w:val="20"/>
          <w:shd w:fill="FFFFFF" w:val="clear"/>
        </w:rPr>
        <w:t>2026</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2032</w:t>
      </w:r>
      <w:r>
        <w:rPr>
          <w:rFonts w:ascii="Times New Roman" w:hAnsi="Times New Roman"/>
          <w:caps w:val="false"/>
          <w:smallCaps w:val="false"/>
          <w:sz w:val="20"/>
          <w:shd w:fill="FFFFFF" w:val="clear"/>
        </w:rPr>
        <w:t xml:space="preserve"> and $217.0 million of which, can be carried forward indefinitely. The Company has U.S. and state research and development tax credits of $14.9 million, which, if unused, expire between </w:t>
      </w:r>
      <w:r>
        <w:rPr>
          <w:rStyle w:val="Emphasis"/>
          <w:rFonts w:ascii="Times New Roman" w:hAnsi="Times New Roman"/>
          <w:caps w:val="false"/>
          <w:smallCaps w:val="false"/>
          <w:sz w:val="20"/>
          <w:shd w:fill="FFFFFF" w:val="clear"/>
        </w:rPr>
        <w:t>2028</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2044.</w:t>
      </w:r>
      <w:r>
        <w:rPr>
          <w:rFonts w:ascii="Times New Roman" w:hAnsi="Times New Roman"/>
          <w:caps w:val="false"/>
          <w:smallCaps w:val="false"/>
          <w:sz w:val="20"/>
          <w:shd w:fill="FFFFFF" w:val="clear"/>
        </w:rPr>
        <w:t xml:space="preserve"> In addition, the Company has foreign tax credits of $4.6 million, which, if unused, will expire in </w:t>
      </w:r>
      <w:r>
        <w:rPr>
          <w:rStyle w:val="Emphasis"/>
          <w:rFonts w:ascii="Times New Roman" w:hAnsi="Times New Roman"/>
          <w:caps w:val="false"/>
          <w:smallCaps w:val="false"/>
          <w:sz w:val="20"/>
          <w:shd w:fill="FFFFFF" w:val="clear"/>
        </w:rPr>
        <w:t>2028.</w:t>
      </w:r>
      <w:r>
        <w:rPr>
          <w:rFonts w:ascii="Times New Roman" w:hAnsi="Times New Roman"/>
          <w:caps w:val="false"/>
          <w:smallCaps w:val="false"/>
          <w:sz w:val="20"/>
          <w:shd w:fill="FFFFFF" w:val="clear"/>
        </w:rPr>
        <w:t xml:space="preserve"> Utilization of U.S. net operating losses and tax credit carry forwards are subject to an annual limitation due to the ownership change limitations set forth in Internal Revenue Code Section </w:t>
      </w:r>
      <w:r>
        <w:rPr>
          <w:rStyle w:val="Emphasis"/>
          <w:rFonts w:ascii="Times New Roman" w:hAnsi="Times New Roman"/>
          <w:caps w:val="false"/>
          <w:smallCaps w:val="false"/>
          <w:sz w:val="20"/>
          <w:shd w:fill="FFFFFF" w:val="clear"/>
        </w:rPr>
        <w:t>382.</w:t>
      </w:r>
      <w:r>
        <w:rPr>
          <w:rFonts w:ascii="Times New Roman" w:hAnsi="Times New Roman"/>
          <w:caps w:val="false"/>
          <w:smallCaps w:val="false"/>
          <w:sz w:val="20"/>
          <w:shd w:fill="FFFFFF" w:val="clear"/>
        </w:rPr>
        <w:t xml:space="preserve"> As of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the Company had Taiwan net operating loss carry forwards of approximately $86.2 million and China net operating loss carry forwards of approximately $40.4 million.  The carryforward period for the Taiwan net operating loss carry forwards is ten years, and the expiration period begins </w:t>
      </w:r>
      <w:r>
        <w:rPr>
          <w:rStyle w:val="Emphasis"/>
          <w:rFonts w:ascii="Times New Roman" w:hAnsi="Times New Roman"/>
          <w:caps w:val="false"/>
          <w:smallCaps w:val="false"/>
          <w:sz w:val="20"/>
          <w:shd w:fill="FFFFFF" w:val="clear"/>
        </w:rPr>
        <w:t>2028.</w:t>
      </w:r>
      <w:r>
        <w:rPr>
          <w:rFonts w:ascii="Times New Roman" w:hAnsi="Times New Roman"/>
          <w:caps w:val="false"/>
          <w:smallCaps w:val="false"/>
          <w:sz w:val="20"/>
          <w:shd w:fill="FFFFFF" w:val="clear"/>
        </w:rPr>
        <w:t xml:space="preserve">  The carryforward period for China net operating loss carry forwards is ten years, and the expiration period begins </w:t>
      </w:r>
      <w:r>
        <w:rPr>
          <w:rStyle w:val="Emphasis"/>
          <w:rFonts w:ascii="Times New Roman" w:hAnsi="Times New Roman"/>
          <w:caps w:val="false"/>
          <w:smallCaps w:val="false"/>
          <w:sz w:val="20"/>
          <w:shd w:fill="FFFFFF" w:val="clear"/>
        </w:rPr>
        <w:t>2029.</w:t>
      </w:r>
      <w:r>
        <w:rPr>
          <w:rFonts w:ascii="Times New Roman" w:hAnsi="Times New Roman"/>
          <w:caps w:val="false"/>
          <w:smallCaps w:val="false"/>
          <w:sz w:val="20"/>
        </w:rPr>
        <w:t xml:space="preserve"> </w:t>
      </w:r>
    </w:p>
    <w:p>
      <w:pPr>
        <w:pStyle w:val="TextBody"/>
        <w:bidi w:val="0"/>
        <w:spacing w:before="0" w:after="0"/>
        <w:ind w:left="16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-year period ended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Such objective evidence limits the ability to consider other subjective evidence, such as our projections for future growth.</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On the basis of this evaluation, as of </w:t>
      </w:r>
      <w:r>
        <w:rPr>
          <w:rStyle w:val="Emphasis"/>
          <w:rFonts w:ascii="Times New Roman" w:hAnsi="Times New Roman"/>
          <w:caps w:val="false"/>
          <w:smallCaps w:val="false"/>
          <w:sz w:val="20"/>
          <w:shd w:fill="FFFFFF" w:val="clear"/>
        </w:rPr>
        <w:t>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 xml:space="preserve">a valuation allowance of $95.8 million and $95.0 million, respectively, has been recorded to recognize only the portion of the deferred tax asset that is more likely than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to be realized. The amount of the deferred tax asset considered realizable, however, could be adjusted if estimates of future taxable income during the carryforward period are reduced or increased or if objective negative evidence in the form of cumulative losses is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longer present and additional weight is given to subjective evidence such as our projections for growth.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 shows the change in the deferred tax valuation allowance as follows:</w:t>
      </w:r>
    </w:p>
    <w:p>
      <w:pPr>
        <w:pStyle w:val="TextBody"/>
        <w:bidi w:val="0"/>
        <w:spacing w:before="0" w:after="0"/>
        <w:ind w:left="0" w:right="0" w:firstLine="720"/>
        <w:jc w:val="left"/>
        <w:rPr/>
      </w:pPr>
      <w:r>
        <w:rPr/>
        <w:t> </w:t>
      </w:r>
    </w:p>
    <w:tbl>
      <w:tblPr>
        <w:tblW w:w="6705" w:type="dxa"/>
        <w:jc w:val="left"/>
        <w:tblInd w:w="0" w:type="dxa"/>
        <w:tblLayout w:type="fixed"/>
        <w:tblCellMar>
          <w:top w:w="0" w:type="dxa"/>
          <w:left w:w="0" w:type="dxa"/>
          <w:bottom w:w="0" w:type="dxa"/>
          <w:right w:w="0" w:type="dxa"/>
        </w:tblCellMar>
      </w:tblPr>
      <w:tblGrid>
        <w:gridCol w:w="4160"/>
        <w:gridCol w:w="60"/>
        <w:gridCol w:w="125"/>
        <w:gridCol w:w="590"/>
        <w:gridCol w:w="80"/>
        <w:gridCol w:w="60"/>
        <w:gridCol w:w="125"/>
        <w:gridCol w:w="590"/>
        <w:gridCol w:w="60"/>
        <w:gridCol w:w="60"/>
        <w:gridCol w:w="125"/>
        <w:gridCol w:w="590"/>
        <w:gridCol w:w="8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69,680</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charged to expense/(income)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8,755</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charged to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adjustment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78,124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60" w:right="0" w:firstLine="720"/>
        <w:jc w:val="left"/>
        <w:rPr>
          <w:rFonts w:ascii="Times New Roman" w:hAnsi="Times New Roman"/>
          <w:caps w:val="false"/>
          <w:smallCaps w:val="false"/>
          <w:sz w:val="20"/>
        </w:rPr>
      </w:pPr>
      <w:r>
        <w:rPr>
          <w:rFonts w:ascii="Times New Roman" w:hAnsi="Times New Roman"/>
          <w:caps w:val="false"/>
          <w:smallCaps w:val="false"/>
          <w:sz w:val="20"/>
        </w:rPr>
        <w:t>The expense (benefit) for income taxes differs from the amount that would result by applying the applicable federal income tax rate to income before income taxes, as follows (in thousands):</w:t>
      </w:r>
    </w:p>
    <w:p>
      <w:pPr>
        <w:pStyle w:val="TextBody"/>
        <w:bidi w:val="0"/>
        <w:spacing w:before="0" w:after="0"/>
        <w:ind w:left="0" w:right="0" w:hanging="0"/>
        <w:jc w:val="left"/>
        <w:rPr/>
      </w:pPr>
      <w:r>
        <w:rPr/>
        <w:t> </w:t>
      </w:r>
    </w:p>
    <w:tbl>
      <w:tblPr>
        <w:tblW w:w="6825" w:type="dxa"/>
        <w:jc w:val="left"/>
        <w:tblInd w:w="0" w:type="dxa"/>
        <w:tblLayout w:type="fixed"/>
        <w:tblCellMar>
          <w:top w:w="0" w:type="dxa"/>
          <w:left w:w="0" w:type="dxa"/>
          <w:bottom w:w="0" w:type="dxa"/>
          <w:right w:w="0" w:type="dxa"/>
        </w:tblCellMar>
      </w:tblPr>
      <w:tblGrid>
        <w:gridCol w:w="4760"/>
        <w:gridCol w:w="60"/>
        <w:gridCol w:w="125"/>
        <w:gridCol w:w="650"/>
        <w:gridCol w:w="80"/>
        <w:gridCol w:w="60"/>
        <w:gridCol w:w="108"/>
        <w:gridCol w:w="797"/>
        <w:gridCol w:w="185"/>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Percentage</w:t>
            </w:r>
          </w:p>
        </w:tc>
        <w:tc>
          <w:tcPr>
            <w:tcW w:w="18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federal statutory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and local income tax, net of federal income tax effect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R&amp;D super deduction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Taiwan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Period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GILTI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Nontaxable or nondeductible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adjustments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tax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xml:space="preserve">   </w:t>
      </w:r>
    </w:p>
    <w:p>
      <w:pPr>
        <w:pStyle w:val="TextBody"/>
        <w:bidi w:val="0"/>
        <w:spacing w:before="0" w:after="0"/>
        <w:ind w:left="160" w:right="0" w:firstLine="540"/>
        <w:jc w:val="left"/>
        <w:rPr/>
      </w:pPr>
      <w:r>
        <w:rPr>
          <w:rFonts w:ascii="Times New Roman" w:hAnsi="Times New Roman"/>
          <w:caps w:val="false"/>
          <w:smallCaps w:val="false"/>
          <w:sz w:val="20"/>
        </w:rPr>
        <w:t xml:space="preserve">*State and Local taxes includes the effects of changes in valuation allowance.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individual state made up the majority of the tax effect in this category.</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firstLine="720"/>
        <w:jc w:val="left"/>
        <w:rPr/>
      </w:pPr>
      <w:r>
        <w:rPr>
          <w:rFonts w:ascii="Times New Roman" w:hAnsi="Times New Roman"/>
          <w:caps w:val="false"/>
          <w:smallCaps w:val="false"/>
          <w:sz w:val="20"/>
        </w:rPr>
        <w:t xml:space="preserve">As previously disclosed for the years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prior to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the effective income tax rate differs from the statutory federal income tax rate as follows (in thousands):</w:t>
      </w:r>
    </w:p>
    <w:p>
      <w:pPr>
        <w:pStyle w:val="TextBody"/>
        <w:bidi w:val="0"/>
        <w:spacing w:before="0" w:after="0"/>
        <w:ind w:left="0" w:right="0" w:firstLine="720"/>
        <w:jc w:val="left"/>
        <w:rPr>
          <w:color w:val="333333"/>
          <w:shd w:fill="FFFFFF" w:val="clear"/>
        </w:rPr>
      </w:pPr>
      <w:r>
        <w:rPr>
          <w:color w:val="333333"/>
          <w:shd w:fill="FFFFFF" w:val="clear"/>
        </w:rPr>
        <w:t xml:space="preserve">   </w:t>
      </w:r>
    </w:p>
    <w:tbl>
      <w:tblPr>
        <w:tblW w:w="4790" w:type="dxa"/>
        <w:jc w:val="left"/>
        <w:tblInd w:w="0" w:type="dxa"/>
        <w:tblLayout w:type="fixed"/>
        <w:tblCellMar>
          <w:top w:w="0" w:type="dxa"/>
          <w:left w:w="0" w:type="dxa"/>
          <w:bottom w:w="0" w:type="dxa"/>
          <w:right w:w="0" w:type="dxa"/>
        </w:tblCellMar>
      </w:tblPr>
      <w:tblGrid>
        <w:gridCol w:w="2960"/>
        <w:gridCol w:w="60"/>
        <w:gridCol w:w="125"/>
        <w:gridCol w:w="650"/>
        <w:gridCol w:w="80"/>
        <w:gridCol w:w="60"/>
        <w:gridCol w:w="125"/>
        <w:gridCol w:w="650"/>
        <w:gridCol w:w="8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taxes at statutory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Carryforward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Non-deductible/non-taxable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low-taxed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rate differences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permanent differences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8,755</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provision for income taxes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lower than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primarily due to the release of Valuation Allowance on the deferred tax assets of the Company’s wholly owned subsidiary, Global Technology, Inc. As of each reporting date, management considers new evidence, both positive and negative, that could affect its view of the future realization of deferred tax assets.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in part because in the current year we achieved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of cumulative pretax income in China, management determined that there is sufficient positive evidence to conclude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additional deferred taxes of $7.6 million are realizable. It therefore reduced the valuation allowance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shd w:fill="FFFFFF" w:val="clear"/>
        </w:rPr>
        <w:t xml:space="preserve">The Company's provision for income taxes in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was higher than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primarily due to state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Company’s wholly owned subsidiary, Prime World is a tax-exempt entity under the Income Tax Code of the 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shd w:fill="FFFFFF" w:val="clear"/>
        </w:rPr>
        <w:t xml:space="preserve">The Company’s wholly owned subsidiary, Global Technology, Inc., has enjoyed preferential tax concessions in China as a national high-tech enterprise. In </w:t>
      </w:r>
      <w:r>
        <w:rPr>
          <w:rStyle w:val="Emphasis"/>
          <w:rFonts w:ascii="Times New Roman" w:hAnsi="Times New Roman"/>
          <w:caps w:val="false"/>
          <w:smallCaps w:val="false"/>
          <w:sz w:val="20"/>
          <w:shd w:fill="FFFFFF" w:val="clear"/>
        </w:rPr>
        <w:t xml:space="preserve">March 2007, </w:t>
      </w:r>
      <w:r>
        <w:rPr>
          <w:rFonts w:ascii="Times New Roman" w:hAnsi="Times New Roman"/>
          <w:caps w:val="false"/>
          <w:smallCaps w:val="false"/>
          <w:sz w:val="20"/>
          <w:shd w:fill="FFFFFF" w:val="clear"/>
        </w:rPr>
        <w:t xml:space="preserve">China’s parliament enacted the PRC Enterprise Income Tax Law, or the EIT Law, under which, effective </w:t>
      </w:r>
      <w:r>
        <w:rPr>
          <w:rStyle w:val="Emphasis"/>
          <w:rFonts w:ascii="Times New Roman" w:hAnsi="Times New Roman"/>
          <w:caps w:val="false"/>
          <w:smallCaps w:val="false"/>
          <w:sz w:val="20"/>
          <w:shd w:fill="FFFFFF" w:val="clear"/>
        </w:rPr>
        <w:t>January 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2008,</w:t>
      </w:r>
      <w:r>
        <w:rPr>
          <w:rFonts w:ascii="Times New Roman" w:hAnsi="Times New Roman"/>
          <w:caps w:val="false"/>
          <w:smallCaps w:val="false"/>
          <w:sz w:val="20"/>
          <w:shd w:fill="FFFFFF" w:val="clear"/>
        </w:rPr>
        <w:t xml:space="preserve"> China adopted a uniform income tax rate of 25% for all enterprises including foreign invested enterprises. However, Global Technology, Inc. has been recognized as a National high-tech enterprise since </w:t>
      </w:r>
      <w:r>
        <w:rPr>
          <w:rStyle w:val="Emphasis"/>
          <w:rFonts w:ascii="Times New Roman" w:hAnsi="Times New Roman"/>
          <w:caps w:val="false"/>
          <w:smallCaps w:val="false"/>
          <w:sz w:val="20"/>
          <w:shd w:fill="FFFFFF" w:val="clear"/>
        </w:rPr>
        <w:t>2008</w:t>
      </w:r>
      <w:r>
        <w:rPr>
          <w:rFonts w:ascii="Times New Roman" w:hAnsi="Times New Roman"/>
          <w:caps w:val="false"/>
          <w:smallCaps w:val="false"/>
          <w:sz w:val="20"/>
          <w:shd w:fill="FFFFFF" w:val="clear"/>
        </w:rPr>
        <w:t xml:space="preserve"> and entitled to a 15% reduced tax rate.  In </w:t>
      </w:r>
      <w:r>
        <w:rPr>
          <w:rStyle w:val="Emphasis"/>
          <w:rFonts w:ascii="Times New Roman" w:hAnsi="Times New Roman"/>
          <w:caps w:val="false"/>
          <w:smallCaps w:val="false"/>
          <w:sz w:val="20"/>
          <w:shd w:fill="FFFFFF" w:val="clear"/>
        </w:rPr>
        <w:t xml:space="preserve">December 2023, </w:t>
      </w:r>
      <w:r>
        <w:rPr>
          <w:rFonts w:ascii="Times New Roman" w:hAnsi="Times New Roman"/>
          <w:caps w:val="false"/>
          <w:smallCaps w:val="false"/>
          <w:sz w:val="20"/>
          <w:shd w:fill="FFFFFF" w:val="clear"/>
        </w:rPr>
        <w:t xml:space="preserve">Global Technology, Inc. again renewed its National high-tech enterprise certificate and therefore extended its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-year tax preferential status</w:t>
      </w:r>
      <w:r>
        <w:rPr>
          <w:rFonts w:cs="Times New Roman"/>
          <w:caps w:val="false"/>
          <w:smallCaps w:val="false"/>
          <w:szCs w:val="20"/>
          <w:shd w:fill="FFFFFF" w:val="clear"/>
        </w:rPr>
        <w:t xml:space="preserve">﻿ </w:t>
      </w:r>
      <w:r>
        <w:rPr>
          <w:rFonts w:ascii="Times New Roman" w:hAnsi="Times New Roman"/>
          <w:caps w:val="false"/>
          <w:smallCaps w:val="false"/>
          <w:sz w:val="20"/>
          <w:shd w:fill="FFFFFF" w:val="clear"/>
        </w:rPr>
        <w:t xml:space="preserve">until </w:t>
      </w:r>
      <w:r>
        <w:rPr>
          <w:rStyle w:val="Emphasis"/>
          <w:rFonts w:ascii="Times New Roman" w:hAnsi="Times New Roman"/>
          <w:caps w:val="false"/>
          <w:smallCaps w:val="false"/>
          <w:sz w:val="20"/>
          <w:shd w:fill="FFFFFF" w:val="clear"/>
        </w:rPr>
        <w:t xml:space="preserve">December 2026. </w:t>
      </w:r>
      <w:r>
        <w:rPr>
          <w:rFonts w:ascii="Times New Roman" w:hAnsi="Times New Roman"/>
          <w:caps w:val="false"/>
          <w:smallCaps w:val="false"/>
          <w:sz w:val="20"/>
          <w:shd w:fill="FFFFFF" w:val="clear"/>
        </w:rPr>
        <w:t>This tax holiday reduced its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income tax provision by approximately $0.0 million, $0.0 million, and $0.0 million, respectively. This tax holiday reduced its fiscal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diluted earnings per share by approximately $0.00, $0.00, and $0.00 respectively. Effective </w:t>
      </w:r>
      <w:r>
        <w:rPr>
          <w:rStyle w:val="Emphasis"/>
          <w:rFonts w:ascii="Times New Roman" w:hAnsi="Times New Roman"/>
          <w:caps w:val="false"/>
          <w:smallCaps w:val="false"/>
          <w:sz w:val="20"/>
          <w:shd w:fill="FFFFFF" w:val="clear"/>
        </w:rPr>
        <w:t xml:space="preserve">January 1, 2016, </w:t>
      </w:r>
      <w:r>
        <w:rPr>
          <w:rFonts w:ascii="Times New Roman" w:hAnsi="Times New Roman"/>
          <w:caps w:val="false"/>
          <w:smallCaps w:val="false"/>
          <w:sz w:val="20"/>
          <w:shd w:fill="FFFFFF" w:val="clear"/>
        </w:rPr>
        <w:t>China expanded the scope of the National high-tech enterprise to include additional deductions for qualifying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shd w:fill="FFFFFF" w:val="clear"/>
        </w:rPr>
        <w:t xml:space="preserve">As of </w:t>
      </w:r>
      <w:r>
        <w:rPr>
          <w:rStyle w:val="Emphasis"/>
          <w:rFonts w:ascii="Times New Roman" w:hAnsi="Times New Roman"/>
          <w:caps w:val="false"/>
          <w:smallCaps w:val="false"/>
          <w:sz w:val="20"/>
          <w:shd w:fill="FFFFFF" w:val="clear"/>
        </w:rPr>
        <w:t>December 31, 2025, 2024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the total amount of unrecognized tax benefit was $0.2 million, $0.2 million, and $0.2 million, respectively. The following is a tabular reconciliation of the total amounts of unrecognized tax benefits (in thousands):</w:t>
      </w:r>
    </w:p>
    <w:p>
      <w:pPr>
        <w:pStyle w:val="TextBody"/>
        <w:bidi w:val="0"/>
        <w:spacing w:before="0" w:after="0"/>
        <w:ind w:left="0" w:right="0" w:firstLine="720"/>
        <w:jc w:val="left"/>
        <w:rPr>
          <w:shd w:fill="FFFFFF" w:val="clear"/>
        </w:rPr>
      </w:pPr>
      <w:r>
        <w:rPr>
          <w:shd w:fill="FFFFFF" w:val="clear"/>
        </w:rPr>
        <w:t>  </w:t>
      </w:r>
    </w:p>
    <w:tbl>
      <w:tblPr>
        <w:tblW w:w="5570" w:type="dxa"/>
        <w:jc w:val="left"/>
        <w:tblInd w:w="0" w:type="dxa"/>
        <w:tblLayout w:type="fixed"/>
        <w:tblCellMar>
          <w:top w:w="0" w:type="dxa"/>
          <w:left w:w="0" w:type="dxa"/>
          <w:bottom w:w="0" w:type="dxa"/>
          <w:right w:w="0" w:type="dxa"/>
        </w:tblCellMar>
      </w:tblPr>
      <w:tblGrid>
        <w:gridCol w:w="3830"/>
        <w:gridCol w:w="60"/>
        <w:gridCol w:w="125"/>
        <w:gridCol w:w="335"/>
        <w:gridCol w:w="60"/>
        <w:gridCol w:w="60"/>
        <w:gridCol w:w="125"/>
        <w:gridCol w:w="335"/>
        <w:gridCol w:w="60"/>
        <w:gridCol w:w="60"/>
        <w:gridCol w:w="125"/>
        <w:gridCol w:w="335"/>
        <w:gridCol w:w="60"/>
      </w:tblGrid>
      <w:tr>
        <w:trPr/>
        <w:tc>
          <w:tcPr>
            <w:tcW w:w="3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benefits —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increases — tax positions in prior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decreases — tax positions in prior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benefits —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The Company recognizes interest accrued related to unrecognized tax benefits and penalties as income tax expense. Related to the unrecognized tax benefits noted above, it has not accrued penalties or interest during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as a result of net operating losses. During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or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the Company also accrued no penalties or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The Company is subject to taxation in the United States and various states and foreign jurisdictions. The Company’s open tax years subject to examination in the U.S. federal and state jurisdictions are 2022 through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To the extent allowed by law, the taxing authorities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have the right to examine prior periods where net operating losses or tax credits were generated and carried forward, and make adjustments up to the amount of the net operating loss or tax credit carryforward. The Company is subject to examination for tax years 2020 forward for various foreign jurisdictions.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August 9, 2022, </w:t>
      </w:r>
      <w:r>
        <w:rPr>
          <w:rFonts w:ascii="Times New Roman" w:hAnsi="Times New Roman"/>
          <w:caps w:val="false"/>
          <w:smallCaps w:val="false"/>
          <w:sz w:val="20"/>
          <w:shd w:fill="FFFFFF" w:val="clear"/>
        </w:rPr>
        <w:t xml:space="preserve">the Creating Helpful Incentives to Produce Semiconductors and Science Act, (the "CHIPS Act") was signed into law. Among other things, the CHIPS Act provides for refundable tax credits and certain other financial incentives to further investments in domestic manufacturing. At least a portion of our current and future capital expenditures and research and development costs will qualify for this credit, which benefits us by allowing us to net the credit received against our costs. This credit is accounted for outside of ASC </w:t>
      </w:r>
      <w:r>
        <w:rPr>
          <w:rStyle w:val="Emphasis"/>
          <w:rFonts w:ascii="Times New Roman" w:hAnsi="Times New Roman"/>
          <w:caps w:val="false"/>
          <w:smallCaps w:val="false"/>
          <w:sz w:val="20"/>
          <w:shd w:fill="FFFFFF" w:val="clear"/>
        </w:rPr>
        <w:t>740</w:t>
      </w:r>
      <w:r>
        <w:rPr>
          <w:rFonts w:ascii="Times New Roman" w:hAnsi="Times New Roman"/>
          <w:caps w:val="false"/>
          <w:smallCaps w:val="false"/>
          <w:sz w:val="20"/>
          <w:shd w:fill="FFFFFF" w:val="clear"/>
        </w:rPr>
        <w:t xml:space="preserve"> as a reduction to the depreciable basis of the assets used in operations and will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have an impact on our effective tax rate.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legislation commonly referred to as the One Big Beautiful Bill Act (the “OBBBA”) was signed into law. Among other things, the OBBBA suspends the requirement to capitalize and amortize domestic research and development (R&amp;D) expenditures for amounts paid or incurred in taxable years beginning after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before </w:t>
      </w:r>
      <w:r>
        <w:rPr>
          <w:rStyle w:val="Emphasis"/>
          <w:rFonts w:ascii="Times New Roman" w:hAnsi="Times New Roman"/>
          <w:caps w:val="false"/>
          <w:smallCaps w:val="false"/>
          <w:sz w:val="20"/>
        </w:rPr>
        <w:t xml:space="preserve">January 1, 2030. </w:t>
      </w:r>
      <w:r>
        <w:rPr>
          <w:rFonts w:ascii="Times New Roman" w:hAnsi="Times New Roman"/>
          <w:caps w:val="false"/>
          <w:smallCaps w:val="false"/>
          <w:sz w:val="20"/>
        </w:rPr>
        <w:t xml:space="preserve">The OBBBA also permits taxpayers to elect to accelerate deductions for the remaining unamortized domestic R&amp;D expenditures paid or incurred between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over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-year period. The Company elected to accelerated deductions with respect to unamortized domestic R&amp;D expenditures capitalized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 a deduction in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In addition, the OBBBA preserves a significant portion of the Inflation Reduction Act (IRA) clean energy tax credit framework but introduces certain limitations and additional diligence obligations for developers, investors, lenders, and credit purchasers, including a phaseout of the Clean Electricity Tax Credits and placed-in-service deadlines for certain wind and solar projects (Internal Revenue Code Sections </w:t>
      </w:r>
      <w:r>
        <w:rPr>
          <w:rStyle w:val="Emphasis"/>
          <w:rFonts w:ascii="Times New Roman" w:hAnsi="Times New Roman"/>
          <w:caps w:val="false"/>
          <w:smallCaps w:val="false"/>
          <w:sz w:val="20"/>
        </w:rPr>
        <w:t>45Y</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48E</w:t>
      </w:r>
      <w:r>
        <w:rPr>
          <w:rFonts w:ascii="Times New Roman" w:hAnsi="Times New Roman"/>
          <w:caps w:val="false"/>
          <w:smallCaps w:val="false"/>
          <w:sz w:val="20"/>
        </w:rPr>
        <w:t xml:space="preserve">). Based on the Company’s business profile and the limited applicability of these provisions to the Company,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expect these changes to have a material impact on our income tax provision or ETR. The OBBBA permanently extends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bonus depreciation for qualifying property placed in service after </w:t>
      </w:r>
      <w:r>
        <w:rPr>
          <w:rStyle w:val="Emphasis"/>
          <w:rFonts w:ascii="Times New Roman" w:hAnsi="Times New Roman"/>
          <w:caps w:val="false"/>
          <w:smallCaps w:val="false"/>
          <w:sz w:val="20"/>
        </w:rPr>
        <w:t xml:space="preserve">January 19, 2025. </w:t>
      </w: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elect bonus depreciation and, as a result, does not expect this provision to have a material impact on the Company’s income tax provision or effective tax rate. For tax years beginning after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OBBBA permanently restores the EBITDA-based calculation of adjusted taxable income (ATI) for purposes of the Section </w:t>
      </w:r>
      <w:r>
        <w:rPr>
          <w:rStyle w:val="Emphasis"/>
          <w:rFonts w:ascii="Times New Roman" w:hAnsi="Times New Roman"/>
          <w:caps w:val="false"/>
          <w:smallCaps w:val="false"/>
          <w:sz w:val="20"/>
        </w:rPr>
        <w:t>163</w:t>
      </w:r>
      <w:r>
        <w:rPr>
          <w:rFonts w:ascii="Times New Roman" w:hAnsi="Times New Roman"/>
          <w:caps w:val="false"/>
          <w:smallCaps w:val="false"/>
          <w:sz w:val="20"/>
        </w:rPr>
        <w:t xml:space="preserve">(j) business interest expense limitation (i.e., allowing addbacks for depreciation, amortization, and depletion in computing ATI). This change generally increases the amount of business interest expense that can be deducted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reduce the amount of interest subject to carryforward.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Company expects any earnings of foreign subsidiaries to be indefinitely invested outside the United States.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however,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accumulated undistributed earnings generated by foreign subsidiaries and has estimated that its tax basis in foreign subsidiaries exceeds its book basis. The Company has concluded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tax asset (DTA) should be recorded because at the present time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that the temporary book-tax basis difference that would create this DTA will reverse in the foreseeable future.</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NOTE P—SHARE-BASED COMPENSATION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Equity Plans</w:t>
      </w:r>
      <w:r>
        <w:rPr>
          <w:rFonts w:ascii="Times New Roman;Times;serif" w:hAnsi="Times New Roman;Times;serif"/>
          <w:sz w:val="20"/>
          <w:shd w:fill="FFFFFF" w:val="clear"/>
        </w:rPr>
        <w:t> </w:t>
      </w:r>
    </w:p>
    <w:p>
      <w:pPr>
        <w:pStyle w:val="TextBody"/>
        <w:bidi w:val="0"/>
        <w:spacing w:before="0" w:after="0"/>
        <w:ind w:left="0" w:right="0" w:hanging="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board of directors and stockholders approved the following equity plans:</w:t>
      </w:r>
    </w:p>
    <w:p>
      <w:pPr>
        <w:pStyle w:val="TextBody"/>
        <w:bidi w:val="0"/>
        <w:spacing w:before="0" w:after="0"/>
        <w:ind w:left="0" w:right="0" w:firstLine="720"/>
        <w:jc w:val="both"/>
        <w:rPr>
          <w:shd w:fill="FFFFFF" w:val="clear"/>
        </w:rPr>
      </w:pPr>
      <w:r>
        <w:rPr>
          <w:shd w:fill="FFFFFF" w:val="clear"/>
        </w:rPr>
        <w:t>  </w:t>
      </w:r>
    </w:p>
    <w:tbl>
      <w:tblPr>
        <w:tblW w:w="5750" w:type="dxa"/>
        <w:jc w:val="left"/>
        <w:tblInd w:w="0" w:type="dxa"/>
        <w:tblLayout w:type="fixed"/>
        <w:tblCellMar>
          <w:top w:w="0" w:type="dxa"/>
          <w:left w:w="0" w:type="dxa"/>
          <w:bottom w:w="0" w:type="dxa"/>
          <w:right w:w="0" w:type="dxa"/>
        </w:tblCellMar>
      </w:tblPr>
      <w:tblGrid>
        <w:gridCol w:w="60"/>
        <w:gridCol w:w="75"/>
        <w:gridCol w:w="5615"/>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5615" w:type="dxa"/>
            <w:tcBorders/>
            <w:vAlign w:val="center"/>
          </w:tcPr>
          <w:p>
            <w:pPr>
              <w:pStyle w:val="TableContents"/>
              <w:bidi w:val="0"/>
              <w:spacing w:before="0" w:after="0"/>
              <w:ind w:left="0" w:right="0" w:hanging="0"/>
              <w:jc w:val="both"/>
              <w:rPr/>
            </w:pPr>
            <w:r>
              <w:rPr>
                <w:rFonts w:ascii="Times New Roman;Times;serif" w:hAnsi="Times New Roman;Times;serif"/>
                <w:sz w:val="20"/>
                <w:shd w:fill="FFFFFF" w:val="clear"/>
              </w:rPr>
              <w:t xml:space="preserve">the Amended and Restated </w:t>
            </w:r>
            <w:r>
              <w:rPr>
                <w:rStyle w:val="Emphasis"/>
                <w:rFonts w:ascii="Times New Roman;Times;serif" w:hAnsi="Times New Roman;Times;serif"/>
                <w:sz w:val="20"/>
                <w:shd w:fill="FFFFFF" w:val="clear"/>
              </w:rPr>
              <w:t>2021</w:t>
            </w:r>
            <w:r>
              <w:rPr>
                <w:rFonts w:ascii="Times New Roman;Times;serif" w:hAnsi="Times New Roman;Times;serif"/>
                <w:sz w:val="20"/>
                <w:shd w:fill="FFFFFF" w:val="clear"/>
              </w:rPr>
              <w:t xml:space="preserve"> Equity Incentive Plan ("</w:t>
            </w:r>
            <w:r>
              <w:rPr>
                <w:rStyle w:val="Emphasis"/>
                <w:rFonts w:ascii="Times New Roman;Times;serif" w:hAnsi="Times New Roman;Times;serif"/>
                <w:sz w:val="20"/>
                <w:shd w:fill="FFFFFF" w:val="clear"/>
              </w:rPr>
              <w:t>2021</w:t>
            </w:r>
            <w:r>
              <w:rPr>
                <w:rFonts w:ascii="Times New Roman;Times;serif" w:hAnsi="Times New Roman;Times;serif"/>
                <w:sz w:val="20"/>
                <w:shd w:fill="FFFFFF" w:val="clear"/>
              </w:rPr>
              <w:t xml:space="preserve"> Plan")</w:t>
            </w:r>
          </w:p>
        </w:tc>
      </w:tr>
    </w:tbl>
    <w:tbl>
      <w:tblPr>
        <w:tblW w:w="3965" w:type="dxa"/>
        <w:jc w:val="left"/>
        <w:tblInd w:w="0" w:type="dxa"/>
        <w:tblLayout w:type="fixed"/>
        <w:tblCellMar>
          <w:top w:w="0" w:type="dxa"/>
          <w:left w:w="0" w:type="dxa"/>
          <w:bottom w:w="0" w:type="dxa"/>
          <w:right w:w="0" w:type="dxa"/>
        </w:tblCellMar>
      </w:tblPr>
      <w:tblGrid>
        <w:gridCol w:w="60"/>
        <w:gridCol w:w="75"/>
        <w:gridCol w:w="3830"/>
      </w:tblGrid>
      <w:tr>
        <w:trPr/>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shd w:fill="FFFFFF" w:val="clear"/>
              </w:rPr>
            </w:pPr>
            <w:r>
              <w:rPr>
                <w:shd w:fill="FFFFFF" w:val="clear"/>
              </w:rPr>
              <w:noBreakHyphen/>
            </w:r>
          </w:p>
        </w:tc>
        <w:tc>
          <w:tcPr>
            <w:tcW w:w="3830" w:type="dxa"/>
            <w:tcBorders/>
            <w:vAlign w:val="center"/>
          </w:tcPr>
          <w:p>
            <w:pPr>
              <w:pStyle w:val="TableContents"/>
              <w:bidi w:val="0"/>
              <w:spacing w:before="0" w:after="0"/>
              <w:ind w:left="0" w:right="0" w:hanging="0"/>
              <w:jc w:val="both"/>
              <w:rPr/>
            </w:pPr>
            <w:r>
              <w:rPr>
                <w:rFonts w:ascii="Times New Roman;Times;serif" w:hAnsi="Times New Roman;Times;serif"/>
                <w:sz w:val="20"/>
                <w:shd w:fill="FFFFFF" w:val="clear"/>
              </w:rPr>
              <w:t xml:space="preserve">the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Inducement Plan ("Inducement Plan")</w:t>
            </w:r>
          </w:p>
        </w:tc>
      </w:tr>
    </w:tbl>
    <w:p>
      <w:pPr>
        <w:pStyle w:val="TextBody"/>
        <w:bidi w:val="0"/>
        <w:spacing w:before="0" w:after="0"/>
        <w:ind w:left="1440" w:right="0" w:hanging="0"/>
        <w:jc w:val="both"/>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has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be granted from these plans. </w:t>
      </w:r>
    </w:p>
    <w:p>
      <w:pPr>
        <w:pStyle w:val="TextBody"/>
        <w:bidi w:val="0"/>
        <w:spacing w:before="0" w:after="0"/>
        <w:ind w:left="72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shd w:fill="FFFFFF" w:val="clear"/>
        </w:rPr>
        <w:t>  </w:t>
      </w: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Stock Options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rPr>
        <w:t xml:space="preserve">In the years ended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Company granted no stock options under its equity plans.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there was no unrecognized stock-based compensation expense related to stock options. In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the intrinsic value of stock options was $0, $0, and $0.2 million, respectively.</w:t>
      </w:r>
    </w:p>
    <w:p>
      <w:pPr>
        <w:pStyle w:val="TextBody"/>
        <w:bidi w:val="0"/>
        <w:spacing w:before="0" w:after="0"/>
        <w:ind w:left="72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Performance Based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Starting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certain senior executives were granted performance stock units ("PSUs") under our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appliable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performance period. The Company recognized stock-based compensation expense for the PSUs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of $4.4 million, $3.0 million and $1.7 million, respectively.</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 xml:space="preserve">the Compensation Committee certified the Company exceeded the maximum performance level for each of the performance targets set for the PSUs granted </w:t>
      </w:r>
      <w:r>
        <w:rPr>
          <w:rStyle w:val="Emphasis"/>
          <w:rFonts w:ascii="Times New Roman" w:hAnsi="Times New Roman"/>
          <w:caps w:val="false"/>
          <w:smallCaps w:val="false"/>
          <w:sz w:val="20"/>
        </w:rPr>
        <w:t>June, 2022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PSUs"). Therefore, applicable employees were entitled to payment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PSUs at 200% of the target shares granted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t>
      </w:r>
      <w:r>
        <w:rPr>
          <w:rFonts w:ascii="Times New Roman" w:hAnsi="Times New Roman"/>
          <w:caps w:val="false"/>
          <w:smallCaps w:val="false"/>
          <w:sz w:val="20"/>
          <w:shd w:fill="FFFFFF" w:val="clear"/>
        </w:rPr>
        <w:t>The following is a summary of PSU activity (in thousands, except per share data):</w:t>
      </w:r>
    </w:p>
    <w:p>
      <w:pPr>
        <w:pStyle w:val="TextBody"/>
        <w:bidi w:val="0"/>
        <w:spacing w:before="0" w:after="0"/>
        <w:ind w:left="0" w:right="0" w:hanging="0"/>
        <w:jc w:val="left"/>
        <w:rPr/>
      </w:pPr>
      <w:r>
        <w:rPr/>
        <w:t> </w:t>
      </w:r>
    </w:p>
    <w:tbl>
      <w:tblPr>
        <w:tblW w:w="7332" w:type="dxa"/>
        <w:jc w:val="left"/>
        <w:tblInd w:w="0" w:type="dxa"/>
        <w:tblLayout w:type="fixed"/>
        <w:tblCellMar>
          <w:top w:w="0" w:type="dxa"/>
          <w:left w:w="0" w:type="dxa"/>
          <w:bottom w:w="0" w:type="dxa"/>
          <w:right w:w="0" w:type="dxa"/>
        </w:tblCellMar>
      </w:tblPr>
      <w:tblGrid>
        <w:gridCol w:w="2690"/>
        <w:gridCol w:w="60"/>
        <w:gridCol w:w="96"/>
        <w:gridCol w:w="793"/>
        <w:gridCol w:w="80"/>
        <w:gridCol w:w="60"/>
        <w:gridCol w:w="134"/>
        <w:gridCol w:w="1100"/>
        <w:gridCol w:w="60"/>
        <w:gridCol w:w="60"/>
        <w:gridCol w:w="231"/>
        <w:gridCol w:w="898"/>
        <w:gridCol w:w="60"/>
        <w:gridCol w:w="60"/>
        <w:gridCol w:w="155"/>
        <w:gridCol w:w="735"/>
        <w:gridCol w:w="6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53,347</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8,851</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14,431</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December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41,442</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 xml:space="preserve">December 31, 2025, </w:t>
      </w:r>
      <w:r>
        <w:rPr>
          <w:rFonts w:ascii="Times New Roman;Times;serif" w:hAnsi="Times New Roman;Times;serif"/>
          <w:sz w:val="20"/>
        </w:rPr>
        <w:t>there was $5.1 million of unrecognized stock-based expense related to outstanding PSUs. This expense is expected to be recognized over 1.7 years. </w:t>
      </w:r>
      <w:r>
        <w:rPr>
          <w:rFonts w:ascii="Times New Roman;Times;serif" w:hAnsi="Times New Roman;Times;serif"/>
          <w:sz w:val="20"/>
          <w:shd w:fill="FFFFFF" w:val="clear"/>
        </w:rPr>
        <w:t xml:space="preserve">For the years ended </w:t>
      </w:r>
      <w:r>
        <w:rPr>
          <w:rStyle w:val="Emphasis"/>
          <w:rFonts w:ascii="Times New Roman;Times;serif" w:hAnsi="Times New Roman;Times;serif"/>
          <w:sz w:val="20"/>
          <w:shd w:fill="FFFFFF" w:val="clear"/>
        </w:rPr>
        <w:t>December 31, 2025, 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the weighted-average grant value for PSUs was $6.94, $16.40 and $8.89 per share, respectively. The intrinsic values of PSUs exercised were $14.4 million, $2.9 million and $3.6 million for the years ended </w:t>
      </w:r>
      <w:r>
        <w:rPr>
          <w:rStyle w:val="Emphasis"/>
          <w:rFonts w:ascii="Times New Roman;Times;serif" w:hAnsi="Times New Roman;Times;serif"/>
          <w:sz w:val="20"/>
          <w:shd w:fill="FFFFFF" w:val="clear"/>
        </w:rPr>
        <w:t>December 31, 2025, 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respectively. The total fair value of shares vested for PSUs during years ended </w:t>
      </w:r>
      <w:r>
        <w:rPr>
          <w:rStyle w:val="Emphasis"/>
          <w:rFonts w:ascii="Times New Roman;Times;serif" w:hAnsi="Times New Roman;Times;serif"/>
          <w:sz w:val="20"/>
          <w:shd w:fill="FFFFFF" w:val="clear"/>
        </w:rPr>
        <w:t>December 31, 2025, 2024</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were $4.5 million, $4.0 million and $0 million, respectively</w:t>
      </w:r>
    </w:p>
    <w:p>
      <w:pPr>
        <w:pStyle w:val="TextBody"/>
        <w:bidi w:val="0"/>
        <w:spacing w:before="0" w:after="0"/>
        <w:ind w:left="0" w:right="0" w:firstLine="72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Restricted stock units are issued to employees through a vesting plan and distribution schedule after employee remains with the Company for a particular length of time. The following is a total summary of RSU activity (in thousands, except per share data):</w:t>
      </w:r>
    </w:p>
    <w:p>
      <w:pPr>
        <w:pStyle w:val="TextBody"/>
        <w:bidi w:val="0"/>
        <w:spacing w:before="0" w:after="0"/>
        <w:ind w:left="720" w:right="0" w:hanging="0"/>
        <w:jc w:val="left"/>
        <w:rPr>
          <w:shd w:fill="FFFFFF" w:val="clear"/>
        </w:rPr>
      </w:pPr>
      <w:r>
        <w:rPr>
          <w:shd w:fill="FFFFFF" w:val="clear"/>
        </w:rPr>
        <w:t>  </w:t>
      </w:r>
    </w:p>
    <w:tbl>
      <w:tblPr>
        <w:tblW w:w="7332" w:type="dxa"/>
        <w:jc w:val="left"/>
        <w:tblInd w:w="0" w:type="dxa"/>
        <w:tblLayout w:type="fixed"/>
        <w:tblCellMar>
          <w:top w:w="0" w:type="dxa"/>
          <w:left w:w="0" w:type="dxa"/>
          <w:bottom w:w="0" w:type="dxa"/>
          <w:right w:w="0" w:type="dxa"/>
        </w:tblCellMar>
      </w:tblPr>
      <w:tblGrid>
        <w:gridCol w:w="2690"/>
        <w:gridCol w:w="60"/>
        <w:gridCol w:w="87"/>
        <w:gridCol w:w="802"/>
        <w:gridCol w:w="80"/>
        <w:gridCol w:w="60"/>
        <w:gridCol w:w="253"/>
        <w:gridCol w:w="981"/>
        <w:gridCol w:w="60"/>
        <w:gridCol w:w="60"/>
        <w:gridCol w:w="231"/>
        <w:gridCol w:w="898"/>
        <w:gridCol w:w="60"/>
        <w:gridCol w:w="60"/>
        <w:gridCol w:w="155"/>
        <w:gridCol w:w="735"/>
        <w:gridCol w:w="6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82,243</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6,332</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30,400</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December 31, 2025</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50,964</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50,964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As of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there was $10.6 million of unrecognized compensation expense related to these RSUs. This expense is expected to be recognized over 2.2 years.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the weighted-average grant value for RSUs are $12.74, $10.73 and $6.15 per share, respectively. The intrinsic values of RSUs exercised are $30.4 million, $19.0 million and $7.8 million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The total fair value of shares vested for RSUs during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are $7.2 million, $8.1 million and $8.6 million, respectively.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Share-Based Compensation</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recognizes compensation expense on a straight-line basis over the applicable vesting term of the award and expense is adjusted as forfeitures occur.</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w:t>
      </w:r>
      <w:r>
        <w:rPr>
          <w:rFonts w:ascii="Times New Roman;Times;serif" w:hAnsi="Times New Roman;Times;serif"/>
          <w:sz w:val="20"/>
          <w:shd w:fill="FFFFFF" w:val="clear"/>
        </w:rPr>
        <w:t xml:space="preserve"> Company issues RSUs as share-based compensation to employees. The Company estimates the fair value of RSUs at the fair market value on the grant date.</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Employee share-based compensation expenses recognized for the years ended </w:t>
      </w:r>
      <w:r>
        <w:rPr>
          <w:rStyle w:val="Emphasis"/>
          <w:rFonts w:ascii="Times New Roman;Times;serif" w:hAnsi="Times New Roman;Times;serif"/>
          <w:sz w:val="20"/>
          <w:shd w:fill="FFFFFF" w:val="clear"/>
        </w:rPr>
        <w:t>December 31,</w:t>
      </w:r>
      <w:r>
        <w:rPr>
          <w:rFonts w:ascii="Times New Roman;Times;serif" w:hAnsi="Times New Roman;Times;serif"/>
          <w:sz w:val="20"/>
          <w:shd w:fill="FFFFFF" w:val="clear"/>
        </w:rPr>
        <w:t xml:space="preserve"> were as follows (in thousands):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Share-Based compensation - by expense type:</w:t>
      </w:r>
    </w:p>
    <w:p>
      <w:pPr>
        <w:pStyle w:val="TextBody"/>
        <w:bidi w:val="0"/>
        <w:spacing w:before="0" w:after="0"/>
        <w:ind w:left="0" w:right="0" w:hanging="0"/>
        <w:jc w:val="left"/>
        <w:rPr>
          <w:shd w:fill="FFFFFF" w:val="clear"/>
        </w:rPr>
      </w:pPr>
      <w:r>
        <w:rPr>
          <w:shd w:fill="FFFFFF" w:val="clear"/>
        </w:rPr>
        <w:t>  </w:t>
      </w:r>
    </w:p>
    <w:tbl>
      <w:tblPr>
        <w:tblW w:w="5840" w:type="dxa"/>
        <w:jc w:val="left"/>
        <w:tblInd w:w="0" w:type="dxa"/>
        <w:tblLayout w:type="fixed"/>
        <w:tblCellMar>
          <w:top w:w="0" w:type="dxa"/>
          <w:left w:w="0" w:type="dxa"/>
          <w:bottom w:w="0" w:type="dxa"/>
          <w:right w:w="0" w:type="dxa"/>
        </w:tblCellMar>
      </w:tblPr>
      <w:tblGrid>
        <w:gridCol w:w="3335"/>
        <w:gridCol w:w="60"/>
        <w:gridCol w:w="125"/>
        <w:gridCol w:w="590"/>
        <w:gridCol w:w="60"/>
        <w:gridCol w:w="60"/>
        <w:gridCol w:w="125"/>
        <w:gridCol w:w="590"/>
        <w:gridCol w:w="60"/>
        <w:gridCol w:w="60"/>
        <w:gridCol w:w="125"/>
        <w:gridCol w:w="590"/>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NOTE Q—STOCKHOLDERS’ EQUITY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Common Stock</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Restated Certificate of Incorporation authorizes the issuance of up to 120,000,000 shares of common stock, all of which have been designated voting common stock.</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Preferred Stock</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Company’s Restated Certificate of Incorporation authorizes the issuance of up to 5,000,000 shares of preferred stock.</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Public Offerings of Common Stock</w:t>
      </w:r>
      <w:r>
        <w:rPr>
          <w:rFonts w:ascii="Times New Roman;Times;serif" w:hAnsi="Times New Roman;Times;serif"/>
          <w:sz w:val="20"/>
          <w:shd w:fill="FFFFFF" w:val="clear"/>
        </w:rPr>
        <w:t> </w:t>
      </w:r>
    </w:p>
    <w:p>
      <w:pPr>
        <w:pStyle w:val="TextBody"/>
        <w:bidi w:val="0"/>
        <w:spacing w:before="0" w:after="0"/>
        <w:ind w:left="0" w:right="0" w:firstLine="360"/>
        <w:jc w:val="both"/>
        <w:rPr>
          <w:shd w:fill="FFFFFF" w:val="clear"/>
        </w:rPr>
      </w:pPr>
      <w:r>
        <w:rPr>
          <w:shd w:fill="FFFFFF" w:val="clear"/>
        </w:rPr>
        <w:t>   </w:t>
      </w:r>
    </w:p>
    <w:p>
      <w:pPr>
        <w:pStyle w:val="TextBody"/>
        <w:bidi w:val="0"/>
        <w:spacing w:before="0" w:after="0"/>
        <w:ind w:left="0" w:right="0" w:firstLine="720"/>
        <w:jc w:val="left"/>
        <w:rPr/>
      </w:pPr>
      <w:r>
        <w:rPr>
          <w:rFonts w:ascii="Times New Roman" w:hAnsi="Times New Roman"/>
          <w:sz w:val="20"/>
        </w:rPr>
        <w:t xml:space="preserve">On </w:t>
      </w:r>
      <w:r>
        <w:rPr>
          <w:rStyle w:val="Emphasis"/>
          <w:rFonts w:ascii="Times New Roman" w:hAnsi="Times New Roman"/>
          <w:sz w:val="20"/>
        </w:rPr>
        <w:t xml:space="preserve">December 18, 2024, </w:t>
      </w:r>
      <w:r>
        <w:rPr>
          <w:rFonts w:ascii="Times New Roman" w:hAnsi="Times New Roman"/>
          <w:sz w:val="20"/>
        </w:rPr>
        <w:t xml:space="preserve">the Company filed an automatic shelf registration statement on Form S- </w:t>
      </w:r>
      <w:r>
        <w:rPr>
          <w:rStyle w:val="Emphasis"/>
          <w:rFonts w:ascii="Times New Roman" w:hAnsi="Times New Roman"/>
          <w:sz w:val="20"/>
        </w:rPr>
        <w:t>3ASR</w:t>
      </w:r>
      <w:r>
        <w:rPr>
          <w:rFonts w:ascii="Times New Roman" w:hAnsi="Times New Roman"/>
          <w:sz w:val="20"/>
        </w:rPr>
        <w:t xml:space="preserve"> (Registration File </w:t>
      </w:r>
      <w:r>
        <w:rPr>
          <w:rStyle w:val="Emphasis"/>
          <w:rFonts w:ascii="Times New Roman" w:hAnsi="Times New Roman"/>
          <w:sz w:val="20"/>
        </w:rPr>
        <w:t>No.</w:t>
      </w:r>
      <w:r>
        <w:rPr>
          <w:rFonts w:ascii="Times New Roman" w:hAnsi="Times New Roman"/>
          <w:sz w:val="20"/>
        </w:rPr>
        <w:t xml:space="preserve"> </w:t>
      </w:r>
      <w:r>
        <w:rPr>
          <w:rStyle w:val="Emphasis"/>
          <w:rFonts w:ascii="Times New Roman" w:hAnsi="Times New Roman"/>
          <w:sz w:val="20"/>
        </w:rPr>
        <w:t>333</w:t>
      </w:r>
      <w:r>
        <w:rPr>
          <w:rFonts w:ascii="Times New Roman" w:hAnsi="Times New Roman"/>
          <w:sz w:val="20"/>
        </w:rPr>
        <w:t xml:space="preserve">- </w:t>
      </w:r>
      <w:r>
        <w:rPr>
          <w:rStyle w:val="Emphasis"/>
          <w:rFonts w:ascii="Times New Roman" w:hAnsi="Times New Roman"/>
          <w:sz w:val="20"/>
        </w:rPr>
        <w:t>283905</w:t>
      </w:r>
      <w:r>
        <w:rPr>
          <w:rFonts w:ascii="Times New Roman" w:hAnsi="Times New Roman"/>
          <w:sz w:val="20"/>
        </w:rPr>
        <w:t xml:space="preserve">) with the Securities and Exchange Commission, which became effective immediately upon filing. </w:t>
      </w:r>
    </w:p>
    <w:p>
      <w:pPr>
        <w:pStyle w:val="TextBody"/>
        <w:bidi w:val="0"/>
        <w:ind w:left="0" w:right="0" w:firstLine="720"/>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2025, </w:t>
      </w:r>
      <w:r>
        <w:rPr>
          <w:rFonts w:ascii="Times New Roman" w:hAnsi="Times New Roman"/>
          <w:caps w:val="false"/>
          <w:smallCaps w:val="false"/>
          <w:sz w:val="20"/>
        </w:rPr>
        <w:t xml:space="preserve">the Company entered into an Equity Distribution Agreement with Raymond James &amp; Associates ("Raymond James") pursuant to which the Company could issue and sell shares of the Company’s common stock, having an aggregate offering price of up to $100 million (the "First ATM Offering"), from time to time through Raymond James. On </w:t>
      </w:r>
      <w:r>
        <w:rPr>
          <w:rStyle w:val="Emphasis"/>
          <w:rFonts w:ascii="Times New Roman" w:hAnsi="Times New Roman"/>
          <w:caps w:val="false"/>
          <w:smallCaps w:val="false"/>
          <w:sz w:val="20"/>
        </w:rPr>
        <w:t xml:space="preserve">April 8, 2025, </w:t>
      </w:r>
      <w:r>
        <w:rPr>
          <w:rFonts w:ascii="Times New Roman" w:hAnsi="Times New Roman"/>
          <w:caps w:val="false"/>
          <w:smallCaps w:val="false"/>
          <w:sz w:val="20"/>
        </w:rPr>
        <w:t>the Company completed the First ATM Offering and sold approximately 5.7 million shares at a weighted average price of $17.71 per share, providing proceeds of approximately $98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28, 2025, </w:t>
      </w:r>
      <w:r>
        <w:rPr>
          <w:rFonts w:ascii="Times New Roman" w:hAnsi="Times New Roman"/>
          <w:caps w:val="false"/>
          <w:smallCaps w:val="false"/>
          <w:sz w:val="20"/>
        </w:rPr>
        <w:t xml:space="preserve">the Company entered into an Equity Distribution Agreement with Raymond James and Needham &amp; Company, LLC (collectively, the "Sales Agents" and each, a "Sales Agent") pursuant to which the Company could issue and sell shares of the Company’s common stock having an aggregate offering price of up to $100 million (the "Second ATM Offering"), from time to time through the Sales Agents. On </w:t>
      </w:r>
      <w:r>
        <w:rPr>
          <w:rStyle w:val="Emphasis"/>
          <w:rFonts w:ascii="Times New Roman" w:hAnsi="Times New Roman"/>
          <w:caps w:val="false"/>
          <w:smallCaps w:val="false"/>
          <w:sz w:val="20"/>
        </w:rPr>
        <w:t xml:space="preserve">June 18, 2025, </w:t>
      </w:r>
      <w:r>
        <w:rPr>
          <w:rFonts w:ascii="Times New Roman" w:hAnsi="Times New Roman"/>
          <w:caps w:val="false"/>
          <w:smallCaps w:val="false"/>
          <w:sz w:val="20"/>
        </w:rPr>
        <w:t>the Company completed the Second ATM Offering and sold approximately 5.7 million shares at a weighted average price of $17.46 per share, providing proceeds of approximately $98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27, 2025, </w:t>
      </w:r>
      <w:r>
        <w:rPr>
          <w:rFonts w:ascii="Times New Roman" w:hAnsi="Times New Roman"/>
          <w:caps w:val="false"/>
          <w:smallCaps w:val="false"/>
          <w:sz w:val="20"/>
        </w:rPr>
        <w:t xml:space="preserve">the Company entered into an Equity Distribution Agreement with the Sales Agents pursuant to which the Company could issue and sell shares of the Company’s common stock having an aggregate offering price of up to $150 million (the "Third ATM Offering"), from time to time through the Sales Agents. On </w:t>
      </w:r>
      <w:r>
        <w:rPr>
          <w:rStyle w:val="Emphasis"/>
          <w:rFonts w:ascii="Times New Roman" w:hAnsi="Times New Roman"/>
          <w:caps w:val="false"/>
          <w:smallCaps w:val="false"/>
          <w:sz w:val="20"/>
        </w:rPr>
        <w:t xml:space="preserve">September 22, 2025, </w:t>
      </w:r>
      <w:r>
        <w:rPr>
          <w:rFonts w:ascii="Times New Roman" w:hAnsi="Times New Roman"/>
          <w:caps w:val="false"/>
          <w:smallCaps w:val="false"/>
          <w:sz w:val="20"/>
        </w:rPr>
        <w:t>the Company completed the Third ATM Offering and sold approximately 5.7 million shares at a weighted average price of $26.41 per share, providing proceeds of approximately $147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7, 2025, </w:t>
      </w:r>
      <w:r>
        <w:rPr>
          <w:rFonts w:ascii="Times New Roman" w:hAnsi="Times New Roman"/>
          <w:caps w:val="false"/>
          <w:smallCaps w:val="false"/>
          <w:sz w:val="20"/>
        </w:rPr>
        <w:t xml:space="preserve">the Company entered into another Equity Distribution Agreement (the "Agreement") with the Sales Agents pursuant to which the Company could issue and sell shares of the Company's common stock, par value $0.001 per share (the "Shares") having an aggregate offering price of up to $180 million (the "Fourth ATM Offering"), from time to time through the Sales Agents. Upon delivery of a placement notice and subject to the terms and conditions of the Agreement, sales of the Shares were made through the Sales Agents in transactions that are deemed to be “at the market” offerings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Agents. In the placement notice, the Company would designate the maximum number of Shares to be sold through the Sales Agents, the time period during which sales were requested to be made, the minimum price for the Shares to be sold, and any limitation on the number of Shares that could be sold in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day. Subject to the terms and conditions of the Agreement, the Sales Agents would use its commercially reasonable efforts to sell Shares on the Company’s behalf up to the designated amount specified in the placement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Agreement provided that each of the Sales Agents would be entitled to compensation of up to 2% of the gross sales price of the Shares sold through such Sales Agent from time to time. The Company also agreed to reimburse the Sales Agents for certain specified expenses in connection with the registration of Shares under state blue sky laws and any filing with, and clearance of the offering by, the Financial Industry Regulatory Authority Inc.,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$10,000 in the aggregate, and any associated application fees incurred. The Company agreed to indemnify the Sales Agents against certain liabilities, including liabilities under the Securities Act, or to contribute to payments that the Sales Agents could be required to make because of any of those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23, 2025, </w:t>
      </w:r>
      <w:r>
        <w:rPr>
          <w:rFonts w:ascii="Times New Roman" w:hAnsi="Times New Roman"/>
          <w:caps w:val="false"/>
          <w:smallCaps w:val="false"/>
          <w:sz w:val="20"/>
        </w:rPr>
        <w:t>the Company completed the Fourth ATM Offering and sold approximately 6.698 million shares at a weighted average price of $26.87 per share, providing proceeds of $176.4 million, net of expenses and underwriting discounts and commissions.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pPr>
      <w:r>
        <w:rPr>
          <w:rFonts w:ascii="Times New Roman" w:hAnsi="Times New Roman"/>
          <w:sz w:val="20"/>
        </w:rPr>
        <w:t xml:space="preserve">F- </w:t>
      </w:r>
      <w:r>
        <w:rPr>
          <w:rStyle w:val="Emphasis"/>
          <w:rFonts w:ascii="Times New Roman" w:hAnsi="Times New Roman"/>
          <w:sz w:val="20"/>
        </w:rPr>
        <w:t>32</w:t>
      </w:r>
      <w:r>
        <w:rPr>
          <w:rFonts w:ascii="Times New Roman" w:hAnsi="Times New Roman"/>
          <w:sz w:val="20"/>
        </w:rPr>
        <w:t xml:space="preserve"> </w:t>
      </w:r>
    </w:p>
    <w:p>
      <w:pPr>
        <w:pStyle w:val="HorizontalLine"/>
        <w:bidi w:val="0"/>
        <w:ind w:left="0" w:right="0" w:firstLine="720"/>
        <w:jc w:val="left"/>
        <w:rPr/>
      </w:pPr>
      <w:r>
        <w:rPr/>
      </w:r>
    </w:p>
    <w:p>
      <w:pPr>
        <w:pStyle w:val="TextBody"/>
        <w:bidi w:val="0"/>
        <w:ind w:left="0" w:right="0" w:firstLine="720"/>
        <w:jc w:val="left"/>
        <w:rPr/>
      </w:pPr>
      <w:hyperlink w:anchor="toc">
        <w:r>
          <w:rPr>
            <w:rStyle w:val="InternetLink"/>
            <w:rFonts w:ascii="Times New Roman;Times;serif" w:hAnsi="Times New Roman;Times;serif"/>
            <w:sz w:val="20"/>
          </w:rPr>
          <w:t>Table of Contents</w:t>
        </w:r>
      </w:hyperlink>
      <w:r>
        <w:rPr>
          <w:rFonts w:ascii="Times New Roman" w:hAnsi="Times New Roman"/>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details of the shares of common stock sold through the First ATM Offering, the Second ATM Offering, the Third ATM Offering and the Fourth ATM Offering through </w:t>
      </w:r>
      <w:r>
        <w:rPr>
          <w:rStyle w:val="Emphasis"/>
          <w:rFonts w:ascii="Times New Roman;Times;serif" w:hAnsi="Times New Roman;Times;serif"/>
          <w:sz w:val="20"/>
        </w:rPr>
        <w:t xml:space="preserve">December 31, 2025 </w:t>
      </w:r>
      <w:r>
        <w:rPr>
          <w:rFonts w:ascii="Times New Roman;Times;serif" w:hAnsi="Times New Roman;Times;serif"/>
          <w:sz w:val="20"/>
        </w:rPr>
        <w:t>are as follows (in thousands, except shares and weighted average per share price):</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2940"/>
        <w:gridCol w:w="602"/>
        <w:gridCol w:w="60"/>
        <w:gridCol w:w="361"/>
        <w:gridCol w:w="1403"/>
        <w:gridCol w:w="60"/>
        <w:gridCol w:w="60"/>
        <w:gridCol w:w="84"/>
        <w:gridCol w:w="1338"/>
        <w:gridCol w:w="60"/>
        <w:gridCol w:w="60"/>
        <w:gridCol w:w="144"/>
        <w:gridCol w:w="803"/>
        <w:gridCol w:w="60"/>
        <w:gridCol w:w="60"/>
        <w:gridCol w:w="357"/>
        <w:gridCol w:w="1688"/>
        <w:gridCol w:w="65"/>
      </w:tblGrid>
      <w:tr>
        <w:trPr/>
        <w:tc>
          <w:tcPr>
            <w:tcW w:w="29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Distribution Agent</w:t>
            </w:r>
          </w:p>
        </w:tc>
        <w:tc>
          <w:tcPr>
            <w:tcW w:w="60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Month</w:t>
            </w:r>
          </w:p>
        </w:tc>
        <w:tc>
          <w:tcPr>
            <w:tcW w:w="60" w:type="dxa"/>
            <w:tcBorders/>
            <w:shd w:fill="FFFFFF" w:val="clear"/>
            <w:vAlign w:val="center"/>
          </w:tcPr>
          <w:p>
            <w:pPr>
              <w:pStyle w:val="TableContents"/>
              <w:bidi w:val="0"/>
              <w:spacing w:before="0" w:after="283"/>
              <w:ind w:left="0" w:right="0" w:hanging="0"/>
              <w:jc w:val="left"/>
              <w:rPr/>
            </w:pPr>
            <w:r>
              <w:rPr/>
              <w:t> </w:t>
            </w:r>
          </w:p>
        </w:tc>
        <w:tc>
          <w:tcPr>
            <w:tcW w:w="17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Per Share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 Sold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Proceeds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Compensation to Distribution Agent</w:t>
            </w:r>
          </w:p>
        </w:tc>
        <w:tc>
          <w:tcPr>
            <w:tcW w:w="65" w:type="dxa"/>
            <w:tcBorders/>
            <w:shd w:fill="FFFFFF" w:val="clear"/>
            <w:vAlign w:val="center"/>
          </w:tcPr>
          <w:p>
            <w:pPr>
              <w:pStyle w:val="TableContents"/>
              <w:bidi w:val="0"/>
              <w:spacing w:before="0" w:after="283"/>
              <w:jc w:val="left"/>
              <w:rPr/>
            </w:pPr>
            <w:r>
              <w:rPr/>
              <w:t> </w:t>
            </w:r>
          </w:p>
        </w:tc>
      </w:tr>
      <w:tr>
        <w:trPr/>
        <w:tc>
          <w:tcPr>
            <w:tcW w:w="29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Inc.</w:t>
            </w:r>
          </w:p>
        </w:tc>
        <w:tc>
          <w:tcPr>
            <w:tcW w:w="602"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Mar-25</w:t>
            </w:r>
          </w:p>
        </w:tc>
        <w:tc>
          <w:tcPr>
            <w:tcW w:w="60" w:type="dxa"/>
            <w:tcBorders/>
            <w:shd w:fill="CCEEFF" w:val="clear"/>
            <w:vAlign w:val="center"/>
          </w:tcPr>
          <w:p>
            <w:pPr>
              <w:pStyle w:val="TableContents"/>
              <w:bidi w:val="0"/>
              <w:spacing w:before="0" w:after="283"/>
              <w:ind w:left="0" w:right="0" w:hanging="0"/>
              <w:jc w:val="left"/>
              <w:rPr/>
            </w:pPr>
            <w:r>
              <w:rPr/>
              <w:t> </w:t>
            </w:r>
          </w:p>
        </w:tc>
        <w:tc>
          <w:tcPr>
            <w:tcW w:w="36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3,535,650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w:t>
            </w:r>
          </w:p>
        </w:tc>
        <w:tc>
          <w:tcPr>
            <w:tcW w:w="65" w:type="dxa"/>
            <w:tcBorders/>
            <w:shd w:fill="CCEEFF" w:val="clear"/>
            <w:vAlign w:val="center"/>
          </w:tcPr>
          <w:p>
            <w:pPr>
              <w:pStyle w:val="TableContents"/>
              <w:bidi w:val="0"/>
              <w:spacing w:before="0" w:after="283"/>
              <w:jc w:val="left"/>
              <w:rPr/>
            </w:pPr>
            <w:r>
              <w:rPr/>
              <w:t> </w:t>
            </w:r>
          </w:p>
        </w:tc>
      </w:tr>
      <w:tr>
        <w:trPr/>
        <w:tc>
          <w:tcPr>
            <w:tcW w:w="2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Inc.</w:t>
            </w:r>
          </w:p>
        </w:tc>
        <w:tc>
          <w:tcPr>
            <w:tcW w:w="602"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Apr-25</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2,110,057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w:t>
            </w:r>
          </w:p>
        </w:tc>
        <w:tc>
          <w:tcPr>
            <w:tcW w:w="65" w:type="dxa"/>
            <w:tcBorders/>
            <w:shd w:fill="FFFFFF" w:val="clear"/>
            <w:vAlign w:val="center"/>
          </w:tcPr>
          <w:p>
            <w:pPr>
              <w:pStyle w:val="TableContents"/>
              <w:bidi w:val="0"/>
              <w:spacing w:before="0" w:after="283"/>
              <w:jc w:val="left"/>
              <w:rPr/>
            </w:pPr>
            <w:r>
              <w:rPr/>
              <w:t> </w:t>
            </w:r>
          </w:p>
        </w:tc>
      </w:tr>
      <w:tr>
        <w:trPr/>
        <w:tc>
          <w:tcPr>
            <w:tcW w:w="29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2"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Jun-25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5,725,948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w:t>
            </w:r>
          </w:p>
        </w:tc>
        <w:tc>
          <w:tcPr>
            <w:tcW w:w="65" w:type="dxa"/>
            <w:tcBorders/>
            <w:shd w:fill="CCEEFF" w:val="clear"/>
            <w:vAlign w:val="center"/>
          </w:tcPr>
          <w:p>
            <w:pPr>
              <w:pStyle w:val="TableContents"/>
              <w:bidi w:val="0"/>
              <w:spacing w:before="0" w:after="283"/>
              <w:jc w:val="left"/>
              <w:rPr/>
            </w:pPr>
            <w:r>
              <w:rPr/>
              <w:t> </w:t>
            </w:r>
          </w:p>
        </w:tc>
      </w:tr>
      <w:tr>
        <w:trPr/>
        <w:tc>
          <w:tcPr>
            <w:tcW w:w="2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2"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caps w:val="false"/>
                <w:smallCaps w:val="false"/>
                <w:sz w:val="20"/>
              </w:rPr>
              <w:t>Sep-25</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13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5,680,235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shd w:fill="FFFFFF" w:val="clear"/>
            <w:vAlign w:val="center"/>
          </w:tcPr>
          <w:p>
            <w:pPr>
              <w:pStyle w:val="TableContents"/>
              <w:bidi w:val="0"/>
              <w:spacing w:before="0" w:after="283"/>
              <w:ind w:left="0" w:right="0" w:hanging="0"/>
              <w:jc w:val="left"/>
              <w:rPr/>
            </w:pPr>
            <w:r>
              <w:rPr/>
              <w:t> </w:t>
            </w:r>
          </w:p>
        </w:tc>
        <w:tc>
          <w:tcPr>
            <w:tcW w:w="1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3,000</w:t>
            </w:r>
          </w:p>
        </w:tc>
        <w:tc>
          <w:tcPr>
            <w:tcW w:w="65" w:type="dxa"/>
            <w:tcBorders/>
            <w:shd w:fill="FFFFFF" w:val="clear"/>
            <w:vAlign w:val="center"/>
          </w:tcPr>
          <w:p>
            <w:pPr>
              <w:pStyle w:val="TableContents"/>
              <w:bidi w:val="0"/>
              <w:spacing w:before="0" w:after="283"/>
              <w:jc w:val="left"/>
              <w:rPr/>
            </w:pPr>
            <w:r>
              <w:rPr/>
              <w:t> </w:t>
            </w:r>
          </w:p>
        </w:tc>
      </w:tr>
      <w:tr>
        <w:trPr/>
        <w:tc>
          <w:tcPr>
            <w:tcW w:w="29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2"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Nov-25</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3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2,778,564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ind w:left="0" w:right="0" w:hanging="0"/>
              <w:jc w:val="left"/>
              <w:rPr/>
            </w:pPr>
            <w:r>
              <w:rPr/>
              <w:t> </w:t>
            </w:r>
          </w:p>
        </w:tc>
        <w:tc>
          <w:tcPr>
            <w:tcW w:w="1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1,287</w:t>
            </w:r>
          </w:p>
        </w:tc>
        <w:tc>
          <w:tcPr>
            <w:tcW w:w="65" w:type="dxa"/>
            <w:tcBorders/>
            <w:shd w:fill="CCEEFF" w:val="clear"/>
            <w:vAlign w:val="center"/>
          </w:tcPr>
          <w:p>
            <w:pPr>
              <w:pStyle w:val="TableContents"/>
              <w:bidi w:val="0"/>
              <w:spacing w:before="0" w:after="283"/>
              <w:jc w:val="left"/>
              <w:rPr/>
            </w:pPr>
            <w:r>
              <w:rPr/>
              <w:t> </w:t>
            </w:r>
          </w:p>
        </w:tc>
      </w:tr>
      <w:tr>
        <w:trPr/>
        <w:tc>
          <w:tcPr>
            <w:tcW w:w="29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James &amp; Associates and Needham &amp; Company, LLC</w:t>
            </w:r>
          </w:p>
        </w:tc>
        <w:tc>
          <w:tcPr>
            <w:tcW w:w="602"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Dec-25</w:t>
            </w:r>
          </w:p>
        </w:tc>
        <w:tc>
          <w:tcPr>
            <w:tcW w:w="60"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2,313</w:t>
            </w:r>
          </w:p>
        </w:tc>
        <w:tc>
          <w:tcPr>
            <w:tcW w:w="65" w:type="dxa"/>
            <w:tcBorders/>
            <w:shd w:fill="FFFFFF" w:val="clear"/>
            <w:vAlign w:val="center"/>
          </w:tcPr>
          <w:p>
            <w:pPr>
              <w:pStyle w:val="TableContents"/>
              <w:bidi w:val="0"/>
              <w:spacing w:before="0" w:after="283"/>
              <w:jc w:val="left"/>
              <w:rPr/>
            </w:pPr>
            <w:r>
              <w:rPr/>
              <w:t> </w:t>
            </w:r>
          </w:p>
        </w:tc>
      </w:tr>
      <w:tr>
        <w:trPr/>
        <w:tc>
          <w:tcPr>
            <w:tcW w:w="3542"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361"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23,749,971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60" w:right="0" w:hanging="180"/>
        <w:jc w:val="both"/>
        <w:rPr>
          <w:rFonts w:ascii="Times New Roman" w:hAnsi="Times New Roman"/>
          <w:i/>
          <w:caps w:val="false"/>
          <w:smallCaps w:val="false"/>
          <w:sz w:val="20"/>
        </w:rPr>
      </w:pPr>
      <w:r>
        <w:rPr>
          <w:rFonts w:ascii="Times New Roman" w:hAnsi="Times New Roman"/>
          <w:i/>
          <w:caps w:val="false"/>
          <w:smallCaps w:val="false"/>
          <w:sz w:val="20"/>
        </w:rPr>
        <w:t>Registered Direct Offering</w:t>
      </w:r>
    </w:p>
    <w:p>
      <w:pPr>
        <w:pStyle w:val="TextBody"/>
        <w:bidi w:val="0"/>
        <w:spacing w:before="0" w:after="0"/>
        <w:ind w:left="160" w:right="0" w:hanging="18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23, 2024, </w:t>
      </w:r>
      <w:r>
        <w:rPr>
          <w:rFonts w:ascii="Times New Roman" w:hAnsi="Times New Roman"/>
          <w:caps w:val="false"/>
          <w:smallCaps w:val="false"/>
          <w:sz w:val="20"/>
        </w:rPr>
        <w:t xml:space="preserve">the Company issued an aggregate of 1,036,458 shares of the Company’s common stock, par value $0.001 per share, at a purchase price of $33.97 per share, in a registered direct offering (the "Registered Direct Offering"). The Registered Direct Offering was made pursuant to the Automatic Shelf Registration Statement. The Registered Direct Offering closed on </w:t>
      </w:r>
      <w:r>
        <w:rPr>
          <w:rStyle w:val="Emphasis"/>
          <w:rFonts w:ascii="Times New Roman" w:hAnsi="Times New Roman"/>
          <w:caps w:val="false"/>
          <w:smallCaps w:val="false"/>
          <w:sz w:val="20"/>
        </w:rPr>
        <w:t>December 23, 2024.</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Raymond James and Associates, Inc. acted as the sole placement agent (the "Placement Agent") for the Company in connection with the Registered Direct Offering. Pursuant to that certain Placement Agency Agreement, dated as of </w:t>
      </w:r>
      <w:r>
        <w:rPr>
          <w:rStyle w:val="Emphasis"/>
          <w:rFonts w:ascii="Times New Roman" w:hAnsi="Times New Roman"/>
          <w:caps w:val="false"/>
          <w:smallCaps w:val="false"/>
          <w:sz w:val="20"/>
        </w:rPr>
        <w:t xml:space="preserve">December 18, 2024, </w:t>
      </w:r>
      <w:r>
        <w:rPr>
          <w:rFonts w:ascii="Times New Roman" w:hAnsi="Times New Roman"/>
          <w:caps w:val="false"/>
          <w:smallCaps w:val="false"/>
          <w:sz w:val="20"/>
        </w:rPr>
        <w:t>between the Company and the Placement Agent, the Placement Agent is entitled to a fee equal to an aggregate of 3% of the aggregate principal amount of the Registered Direct Offering.</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The Registered Direct Offering generated proceeds of approximately $33.7 million, after deducting placement agent fees and other estimated offering expenses payable by us. The Company intends to use the net proceeds from the Registered Direct Offering for general corporate purposes,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among other things, capital expenditures and working capital.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use such proceeds to fund acquisitions of businesses, technologies or product lines that complement its current business; however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present plans, agreements or commitments with respect to any potential acquisition.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R—SEGMENT AND GEOGRAPHIC INFORMATION</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individual financial or operating goals for each location, nor for any other subset of the Company's operations. As such, the Company has determined it operates as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reportable segment. </w:t>
      </w:r>
    </w:p>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CODM uses net income or loss to allocate resources and assess performance. The CODM regularly reviews the consolidated net income or loss to make strategic decisions, such as capital expenditure plan, production plan and manpower allocation. </w:t>
      </w:r>
    </w:p>
    <w:p>
      <w:pPr>
        <w:pStyle w:val="TextBody"/>
        <w:bidi w:val="0"/>
        <w:spacing w:before="0" w:after="0"/>
        <w:ind w:left="0" w:right="0" w:firstLine="720"/>
        <w:jc w:val="left"/>
        <w:rPr/>
      </w:pPr>
      <w:r>
        <w:rPr/>
        <w:t> </w:t>
      </w:r>
    </w:p>
    <w:tbl>
      <w:tblPr>
        <w:tblW w:w="5975" w:type="dxa"/>
        <w:jc w:val="left"/>
        <w:tblInd w:w="0" w:type="dxa"/>
        <w:tblLayout w:type="fixed"/>
        <w:tblCellMar>
          <w:top w:w="0" w:type="dxa"/>
          <w:left w:w="0" w:type="dxa"/>
          <w:bottom w:w="0" w:type="dxa"/>
          <w:right w:w="0" w:type="dxa"/>
        </w:tblCellMar>
      </w:tblPr>
      <w:tblGrid>
        <w:gridCol w:w="2915"/>
        <w:gridCol w:w="60"/>
        <w:gridCol w:w="125"/>
        <w:gridCol w:w="755"/>
        <w:gridCol w:w="80"/>
        <w:gridCol w:w="60"/>
        <w:gridCol w:w="125"/>
        <w:gridCol w:w="755"/>
        <w:gridCol w:w="80"/>
        <w:gridCol w:w="60"/>
        <w:gridCol w:w="125"/>
        <w:gridCol w:w="755"/>
        <w:gridCol w:w="8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217,646</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general and admin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(186,733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We exclude share-based compensation and related expense, certain legal expenses associated with litigation and other </w:t>
      </w:r>
      <w:r>
        <w:rPr>
          <w:rStyle w:val="Emphasis"/>
          <w:rFonts w:ascii="Times New Roman;Times;serif" w:hAnsi="Times New Roman;Times;serif"/>
          <w:sz w:val="20"/>
        </w:rPr>
        <w:t>one</w:t>
      </w:r>
      <w:r>
        <w:rPr>
          <w:rFonts w:ascii="Times New Roman;Times;serif" w:hAnsi="Times New Roman;Times;serif"/>
          <w:sz w:val="20"/>
        </w:rPr>
        <w:t>-time expenses from adjusted research and development, adjusted sales and marketing and adjusted general and administrative expenses.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Other segment items include share-based compensation expense, interest expense, interest income, certain legal expenses associated with litigation and other </w:t>
      </w:r>
      <w:r>
        <w:rPr>
          <w:rStyle w:val="Emphasis"/>
          <w:rFonts w:ascii="Times New Roman;Times;serif" w:hAnsi="Times New Roman;Times;serif"/>
          <w:sz w:val="20"/>
        </w:rPr>
        <w:t>one</w:t>
      </w:r>
      <w:r>
        <w:rPr>
          <w:rFonts w:ascii="Times New Roman;Times;serif" w:hAnsi="Times New Roman;Times;serif"/>
          <w:sz w:val="20"/>
        </w:rPr>
        <w:t>-time items.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  </w:t>
      </w:r>
    </w:p>
    <w:p>
      <w:pPr>
        <w:pStyle w:val="TextBody"/>
        <w:bidi w:val="0"/>
        <w:spacing w:before="0" w:after="0"/>
        <w:ind w:left="0" w:right="0" w:firstLine="720"/>
        <w:jc w:val="left"/>
        <w:rPr/>
      </w:pPr>
      <w:r>
        <w:rPr/>
        <w:t> </w:t>
      </w:r>
    </w:p>
    <w:tbl>
      <w:tblPr>
        <w:tblW w:w="3920" w:type="dxa"/>
        <w:jc w:val="left"/>
        <w:tblInd w:w="0" w:type="dxa"/>
        <w:tblLayout w:type="fixed"/>
        <w:tblCellMar>
          <w:top w:w="0" w:type="dxa"/>
          <w:left w:w="0" w:type="dxa"/>
          <w:bottom w:w="0" w:type="dxa"/>
          <w:right w:w="0" w:type="dxa"/>
        </w:tblCellMar>
      </w:tblPr>
      <w:tblGrid>
        <w:gridCol w:w="1100"/>
        <w:gridCol w:w="60"/>
        <w:gridCol w:w="125"/>
        <w:gridCol w:w="695"/>
        <w:gridCol w:w="60"/>
        <w:gridCol w:w="60"/>
        <w:gridCol w:w="125"/>
        <w:gridCol w:w="695"/>
        <w:gridCol w:w="60"/>
        <w:gridCol w:w="60"/>
        <w:gridCol w:w="125"/>
        <w:gridCol w:w="695"/>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30,798</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Taiwan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143,528</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325" w:type="dxa"/>
        <w:jc w:val="left"/>
        <w:tblInd w:w="0" w:type="dxa"/>
        <w:tblLayout w:type="fixed"/>
        <w:tblCellMar>
          <w:top w:w="0" w:type="dxa"/>
          <w:left w:w="0" w:type="dxa"/>
          <w:bottom w:w="0" w:type="dxa"/>
          <w:right w:w="0" w:type="dxa"/>
        </w:tblCellMar>
      </w:tblPr>
      <w:tblGrid>
        <w:gridCol w:w="1505"/>
        <w:gridCol w:w="60"/>
        <w:gridCol w:w="125"/>
        <w:gridCol w:w="695"/>
        <w:gridCol w:w="60"/>
        <w:gridCol w:w="60"/>
        <w:gridCol w:w="125"/>
        <w:gridCol w:w="695"/>
        <w:gridCol w:w="60"/>
        <w:gridCol w:w="60"/>
        <w:gridCol w:w="125"/>
        <w:gridCol w:w="695"/>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 of December 31,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Long-lived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Taiwan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47,668</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91,050</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 xml:space="preserve">The Company serves </w:t>
      </w:r>
      <w:r>
        <w:rPr>
          <w:rStyle w:val="Emphasis"/>
          <w:rFonts w:ascii="Times New Roman;Times;serif" w:hAnsi="Times New Roman;Times;serif"/>
          <w:sz w:val="20"/>
        </w:rPr>
        <w:t>four</w:t>
      </w:r>
      <w:r>
        <w:rPr>
          <w:rFonts w:ascii="Times New Roman;Times;serif" w:hAnsi="Times New Roman;Times;serif"/>
          <w:sz w:val="20"/>
        </w:rPr>
        <w:t xml:space="preserve"> primary markets, the internet data center, CATV, telecom and FTTH markets. Of the Company’s total revenues in </w:t>
      </w:r>
      <w:r>
        <w:rPr>
          <w:rStyle w:val="Emphasis"/>
          <w:rFonts w:ascii="Times New Roman;Times;serif" w:hAnsi="Times New Roman;Times;serif"/>
          <w:sz w:val="20"/>
        </w:rPr>
        <w:t>2025,</w:t>
      </w:r>
      <w:r>
        <w:rPr>
          <w:rFonts w:ascii="Times New Roman;Times;serif" w:hAnsi="Times New Roman;Times;serif"/>
          <w:sz w:val="20"/>
        </w:rPr>
        <w:t> the Company earned $245.1 million, or 53.8%, from the CATV market, $195.7 million, or 42.9%, from the internet data center market, $13.7 million, or 3.0%, from the telecom market and $1.2 million, or 0.3%, from the FTTH and other markets. Of the Company’s total revenues in </w:t>
      </w:r>
      <w:r>
        <w:rPr>
          <w:rStyle w:val="Emphasis"/>
          <w:rFonts w:ascii="Times New Roman;Times;serif" w:hAnsi="Times New Roman;Times;serif"/>
          <w:sz w:val="20"/>
        </w:rPr>
        <w:t>2024,</w:t>
      </w:r>
      <w:r>
        <w:rPr>
          <w:rFonts w:ascii="Times New Roman;Times;serif" w:hAnsi="Times New Roman;Times;serif"/>
          <w:sz w:val="20"/>
        </w:rPr>
        <w:t xml:space="preserve"> the Company earned $148.5 million, or 59.5%, from the internet data center market, $87.7 million, or 35.2%, from the CATV market, $11.0 million, or 4.4%, from the telecom market and $2.1 million, or 0.9%, from the FTTH and other markets. Of the Company’s total revenues in </w:t>
      </w:r>
      <w:r>
        <w:rPr>
          <w:rStyle w:val="Emphasis"/>
          <w:rFonts w:ascii="Times New Roman;Times;serif" w:hAnsi="Times New Roman;Times;serif"/>
          <w:sz w:val="20"/>
        </w:rPr>
        <w:t>2023,</w:t>
      </w:r>
      <w:r>
        <w:rPr>
          <w:rFonts w:ascii="Times New Roman;Times;serif" w:hAnsi="Times New Roman;Times;serif"/>
          <w:sz w:val="20"/>
        </w:rPr>
        <w:t> the Company earned $141.2 million, or 64.9%, from the internet data center market, $59.9 million, or 27.5%, from the CATV market, $13.8 million, or 6.4%, from the telecom market and $0.1 million, or 0.0%, from the FTTH market.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S—EMPLOYEE BENEFIT PLANS</w:t>
      </w:r>
    </w:p>
    <w:p>
      <w:pPr>
        <w:pStyle w:val="TextBody"/>
        <w:bidi w:val="0"/>
        <w:spacing w:before="0" w:after="0"/>
        <w:ind w:left="0" w:right="0" w:hanging="0"/>
        <w:jc w:val="left"/>
        <w:rPr>
          <w:shd w:fill="FFFFFF" w:val="clear"/>
        </w:rPr>
      </w:pPr>
      <w:r>
        <w:rPr>
          <w:shd w:fill="FFFFFF" w:val="clear"/>
        </w:rPr>
        <w:t xml:space="preserve">     </w:t>
      </w:r>
    </w:p>
    <w:p>
      <w:pPr>
        <w:pStyle w:val="TextBody"/>
        <w:bidi w:val="0"/>
        <w:spacing w:before="0" w:after="0"/>
        <w:ind w:left="0" w:right="0" w:firstLine="720"/>
        <w:jc w:val="left"/>
        <w:rPr/>
      </w:pPr>
      <w:r>
        <w:rPr>
          <w:rFonts w:ascii="Times New Roman;Times;serif" w:hAnsi="Times New Roman;Times;serif"/>
          <w:sz w:val="20"/>
          <w:shd w:fill="FFFFFF" w:val="clear"/>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$2.5 million, $</w:t>
      </w:r>
      <w:r>
        <w:rPr>
          <w:rFonts w:ascii="Times New Roman;Times;serif" w:hAnsi="Times New Roman;Times;serif"/>
          <w:color w:val="000000"/>
          <w:sz w:val="20"/>
          <w:shd w:fill="FFFFFF" w:val="clear"/>
        </w:rPr>
        <w:t>1.7</w:t>
      </w:r>
      <w:r>
        <w:rPr>
          <w:rFonts w:ascii="Times New Roman;Times;serif" w:hAnsi="Times New Roman;Times;serif"/>
          <w:color w:val="FFFF00"/>
          <w:sz w:val="20"/>
          <w:shd w:fill="FFFFFF" w:val="clear"/>
        </w:rPr>
        <w:t> </w:t>
      </w:r>
      <w:r>
        <w:rPr>
          <w:rFonts w:ascii="Times New Roman;Times;serif" w:hAnsi="Times New Roman;Times;serif"/>
          <w:sz w:val="20"/>
          <w:shd w:fill="FFFFFF" w:val="clear"/>
        </w:rPr>
        <w:t xml:space="preserve">million and $1.7 million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Employees of Prime World’s Taiwan branch participate in a pension program under the Taiwan Labor Pension Act. Pension expense for the Prime World’s Taiwan branch was $</w:t>
      </w:r>
      <w:r>
        <w:rPr>
          <w:rFonts w:ascii="Times New Roman;Times;serif" w:hAnsi="Times New Roman;Times;serif"/>
          <w:color w:val="000000"/>
          <w:sz w:val="20"/>
          <w:shd w:fill="FFFFFF" w:val="clear"/>
        </w:rPr>
        <w:t>0.7</w:t>
      </w:r>
      <w:r>
        <w:rPr>
          <w:rFonts w:ascii="Times New Roman;Times;serif" w:hAnsi="Times New Roman;Times;serif"/>
          <w:sz w:val="20"/>
          <w:shd w:fill="FFFFFF" w:val="clear"/>
        </w:rPr>
        <w:t xml:space="preserve"> million, $0.5 million, and $0.5 million for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shd w:fill="FFFFFF" w:val="clear"/>
        </w:rPr>
        <w:t>, respectively. </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T—COMMITMENTS AND CONTINGENCIES</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Employment Agreements and Consultancy Agreements</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employment and indemnification agreements with our CEO. The agreement provides that if his employment is terminated as a result of a change of control of the Company, or if his employment is terminated for certain other reasons set forth in the agreements, the Company will be required to pay a severance payment in an amount equal to his annual base salary, and other additional compensation due under the terms of the agreements.</w:t>
      </w:r>
    </w:p>
    <w:p>
      <w:pPr>
        <w:pStyle w:val="TextBody"/>
        <w:bidi w:val="0"/>
        <w:spacing w:before="0" w:after="0"/>
        <w:ind w:left="0" w:right="0" w:firstLine="720"/>
        <w:jc w:val="both"/>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The Company has also entered into employment and indemnification agreements with </w:t>
      </w:r>
      <w:r>
        <w:rPr>
          <w:rStyle w:val="Emphasis"/>
          <w:rFonts w:ascii="Times New Roman;Times;serif" w:hAnsi="Times New Roman;Times;serif"/>
          <w:sz w:val="20"/>
          <w:shd w:fill="FFFFFF" w:val="clear"/>
        </w:rPr>
        <w:t>four</w:t>
      </w:r>
      <w:r>
        <w:rPr>
          <w:rFonts w:ascii="Times New Roman;Times;serif" w:hAnsi="Times New Roman;Times;serif"/>
          <w:sz w:val="20"/>
          <w:shd w:fill="FFFFFF" w:val="clear"/>
        </w:rPr>
        <w:t xml:space="preserve"> other named executive officers. These agreements provide that if their employment is terminated as a result of a change of control of the Company, the Company will be required to pay a severance payment in an amount equal to their annual base salary and other additional compensation due under the terms of the agreements.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Contingencies</w:t>
      </w:r>
      <w:r>
        <w:rPr>
          <w:rFonts w:ascii="Times New Roman;Times;serif" w:hAnsi="Times New Roman;Times;serif"/>
          <w:sz w:val="20"/>
          <w:shd w:fill="FFFFFF" w:val="clear"/>
        </w:rPr>
        <w:t>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firstLine="720"/>
        <w:jc w:val="left"/>
        <w:rPr/>
      </w:pPr>
      <w:r>
        <w:rPr>
          <w:rFonts w:ascii="Times New Roman;Times;serif" w:hAnsi="Times New Roman;Times;serif"/>
          <w:sz w:val="20"/>
          <w:shd w:fill="FFFFFF" w:val="clear"/>
        </w:rPr>
        <w:t xml:space="preserve">From time to time, the Company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 xml:space="preserve">be subject to legal proceedings and litigation arising in the ordinary course of business, including, but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pStyle w:val="TextBody"/>
        <w:bidi w:val="0"/>
        <w:spacing w:before="0" w:after="0"/>
        <w:ind w:left="0" w:right="0" w:firstLine="720"/>
        <w:jc w:val="left"/>
        <w:rPr/>
      </w:pPr>
      <w:r>
        <w:rPr/>
        <w:t> </w:t>
      </w:r>
    </w:p>
    <w:p>
      <w:pPr>
        <w:pStyle w:val="TextBody"/>
        <w:bidi w:val="0"/>
        <w:spacing w:before="0" w:after="0"/>
        <w:jc w:val="center"/>
        <w:rPr/>
      </w:pPr>
      <w:r>
        <w:rPr>
          <w:rFonts w:ascii="Times New Roman" w:hAnsi="Times New Roman"/>
          <w:sz w:val="20"/>
        </w:rPr>
        <w:t xml:space="preserve">F- </w:t>
      </w: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Arbitration filed by Yuhan Optoelectronic Technology (Shanghai) Co., Ltd.</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Company delivered notice of termination with respect to that certain Agreement for the Sale and Purchase of a New Company to be Established in Hong Kong Special Administrative Region of the People’s Republic of China (the "Purchase Agreement"), dated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 xml:space="preserve">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 xml:space="preserve">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remain subject to regulatory approvals.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the Company filed its response, generally denying the Purchaser’s allegations and asserting counterclaims for recovery of a break-up fee. This matter was settled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with the Company paying only its own legal fees and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shd w:fill="FFFFFF" w:val="clear"/>
        </w:rPr>
        <w:t>Other Contingencies</w:t>
      </w:r>
      <w:r>
        <w:rPr>
          <w:rFonts w:ascii="Times New Roman;Times;serif" w:hAnsi="Times New Roman;Times;serif"/>
          <w:sz w:val="20"/>
          <w:shd w:fill="FFFFFF" w:val="clear"/>
        </w:rPr>
        <w:t> </w:t>
      </w:r>
    </w:p>
    <w:p>
      <w:pPr>
        <w:pStyle w:val="TextBody"/>
        <w:bidi w:val="0"/>
        <w:spacing w:before="0" w:after="0"/>
        <w:ind w:left="0" w:right="0" w:hanging="0"/>
        <w:jc w:val="both"/>
        <w:rPr/>
      </w:pPr>
      <w:r>
        <w:rPr/>
        <w:t> </w:t>
      </w:r>
    </w:p>
    <w:p>
      <w:pPr>
        <w:pStyle w:val="TextBody"/>
        <w:bidi w:val="0"/>
        <w:spacing w:before="0" w:after="0"/>
        <w:ind w:left="0" w:right="0" w:firstLine="720"/>
        <w:jc w:val="left"/>
        <w:rPr/>
      </w:pPr>
      <w:r>
        <w:rPr>
          <w:rFonts w:ascii="Times New Roman;Times;serif" w:hAnsi="Times New Roman;Times;serif"/>
          <w:sz w:val="20"/>
        </w:rPr>
        <w:t>On  </w:t>
      </w:r>
      <w:r>
        <w:rPr>
          <w:rStyle w:val="Emphasis"/>
          <w:rFonts w:ascii="Times New Roman;Times;serif" w:hAnsi="Times New Roman;Times;serif"/>
          <w:sz w:val="20"/>
        </w:rPr>
        <w:t xml:space="preserve"> August 9, 2021, </w:t>
      </w:r>
      <w:r>
        <w:rPr>
          <w:rFonts w:ascii="Times New Roman;Times;serif" w:hAnsi="Times New Roman;Times;serif"/>
          <w:sz w:val="20"/>
        </w:rPr>
        <w:t>the Company received a Taxes Notification of Audit Result ("Notice") from the Texas Comptroller’s Office (the "Comptroller"), for fiscal years between </w:t>
      </w:r>
      <w:r>
        <w:rPr>
          <w:rStyle w:val="Emphasis"/>
          <w:rFonts w:ascii="Times New Roman;Times;serif" w:hAnsi="Times New Roman;Times;serif"/>
          <w:sz w:val="20"/>
        </w:rPr>
        <w:t>2016</w:t>
      </w:r>
      <w:r>
        <w:rPr>
          <w:rFonts w:ascii="Times New Roman;Times;serif" w:hAnsi="Times New Roman;Times;serif"/>
          <w:sz w:val="20"/>
        </w:rPr>
        <w:t> and </w:t>
      </w:r>
      <w:r>
        <w:rPr>
          <w:rStyle w:val="Emphasis"/>
          <w:rFonts w:ascii="Times New Roman;Times;serif" w:hAnsi="Times New Roman;Times;serif"/>
          <w:sz w:val="20"/>
        </w:rPr>
        <w:t>2019,</w:t>
      </w:r>
      <w:r>
        <w:rPr>
          <w:rFonts w:ascii="Times New Roman;Times;serif" w:hAnsi="Times New Roman;Times;serif"/>
          <w:sz w:val="20"/>
        </w:rPr>
        <w:t> informing the Company that the Comptroller believes the Company did </w:t>
      </w:r>
      <w:r>
        <w:rPr>
          <w:rStyle w:val="Emphasis"/>
          <w:rFonts w:ascii="Times New Roman;Times;serif" w:hAnsi="Times New Roman;Times;serif"/>
          <w:sz w:val="20"/>
        </w:rPr>
        <w:t>not</w:t>
      </w:r>
      <w:r>
        <w:rPr>
          <w:rFonts w:ascii="Times New Roman;Times;serif" w:hAnsi="Times New Roman;Times;serif"/>
          <w:sz w:val="20"/>
        </w:rPr>
        <w:t>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Times;serif" w:hAnsi="Times New Roman;Times;serif"/>
          <w:sz w:val="20"/>
        </w:rPr>
        <w:t xml:space="preserve"> May 2021, </w:t>
      </w:r>
      <w:r>
        <w:rPr>
          <w:rFonts w:ascii="Times New Roman;Times;serif" w:hAnsi="Times New Roman;Times;serif"/>
          <w:sz w:val="20"/>
        </w:rPr>
        <w:t>but challenged the remaining tax assessments and vigorously defended its position. The Comptroller’s office exhausted its redetermination period and therefore moved AOI’s case to the hearing process. </w:t>
      </w:r>
      <w:r>
        <w:rPr>
          <w:rStyle w:val="Emphasis"/>
          <w:rFonts w:ascii="Times New Roman;Times;serif" w:hAnsi="Times New Roman;Times;serif"/>
          <w:sz w:val="20"/>
        </w:rPr>
        <w:t>No</w:t>
      </w:r>
      <w:r>
        <w:rPr>
          <w:rFonts w:ascii="Times New Roman;Times;serif" w:hAnsi="Times New Roman;Times;serif"/>
          <w:sz w:val="20"/>
        </w:rPr>
        <w:t> hearing date has yet been scheduled, and as a result the Company is </w:t>
      </w:r>
      <w:r>
        <w:rPr>
          <w:rStyle w:val="Emphasis"/>
          <w:rFonts w:ascii="Times New Roman;Times;serif" w:hAnsi="Times New Roman;Times;serif"/>
          <w:sz w:val="20"/>
        </w:rPr>
        <w:t>not</w:t>
      </w:r>
      <w:r>
        <w:rPr>
          <w:rFonts w:ascii="Times New Roman;Times;serif" w:hAnsi="Times New Roman;Times;serif"/>
          <w:sz w:val="20"/>
        </w:rPr>
        <w:t> able to determine the outcome of this sales tax dispute or the likelihood or amount of the Company’s loss, if any, arising from this matter.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NOTE U—SUBSEQUENT EVENTS</w:t>
      </w:r>
    </w:p>
    <w:p>
      <w:pPr>
        <w:pStyle w:val="TextBody"/>
        <w:bidi w:val="0"/>
        <w:spacing w:before="0" w:after="0"/>
        <w:ind w:left="0" w:right="0" w:hanging="0"/>
        <w:jc w:val="left"/>
        <w:rPr>
          <w:shd w:fill="FFFFFF" w:val="clear"/>
        </w:rPr>
      </w:pPr>
      <w:r>
        <w:rPr>
          <w:shd w:fill="FFFFFF" w:val="clear"/>
        </w:rPr>
        <w:t xml:space="preserve">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13, 2026, </w:t>
      </w:r>
      <w:r>
        <w:rPr>
          <w:rFonts w:ascii="Times New Roman" w:hAnsi="Times New Roman"/>
          <w:caps w:val="false"/>
          <w:smallCaps w:val="false"/>
          <w:sz w:val="20"/>
        </w:rPr>
        <w:t xml:space="preserve">the Compensation Committee of the Board of Directors of the Company approved an amendment to each of the Employment Agreements, dated as of </w:t>
      </w:r>
      <w:r>
        <w:rPr>
          <w:rStyle w:val="Emphasis"/>
          <w:rFonts w:ascii="Times New Roman" w:hAnsi="Times New Roman"/>
          <w:caps w:val="false"/>
          <w:smallCaps w:val="false"/>
          <w:sz w:val="20"/>
        </w:rPr>
        <w:t xml:space="preserve">August 5, 2016, </w:t>
      </w:r>
      <w:r>
        <w:rPr>
          <w:rFonts w:ascii="Times New Roman" w:hAnsi="Times New Roman"/>
          <w:caps w:val="false"/>
          <w:smallCaps w:val="false"/>
          <w:sz w:val="20"/>
        </w:rPr>
        <w:t>by and between the Company and (i) Stefan J. Murry, Chief Financial Officer and Chief Strategy Officer, (ii) Hung-Lun (Fred) Chang, Senior Vice President and North America General Manager, (iii) Shu-Hua (Joshua) Yeh, Senior Vice President and Asia General Manager, and (iv) David C. Kuo, Senior Vice President, Chief Legal Officer, Chief Compliance Officer and Corporate Secretary to provide for enhanced severance payments and benefits.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2026, </w:t>
      </w:r>
      <w:r>
        <w:rPr>
          <w:rFonts w:ascii="Times New Roman" w:hAnsi="Times New Roman"/>
          <w:caps w:val="false"/>
          <w:smallCaps w:val="false"/>
          <w:sz w:val="20"/>
        </w:rPr>
        <w:t xml:space="preserve">the Company entered into a Lease Agreement with Blue Ridge Commerce Center West LLC to lease approximately </w:t>
      </w:r>
      <w:r>
        <w:rPr>
          <w:rStyle w:val="Emphasis"/>
          <w:rFonts w:ascii="Times New Roman" w:hAnsi="Times New Roman"/>
          <w:caps w:val="false"/>
          <w:smallCaps w:val="false"/>
          <w:sz w:val="20"/>
        </w:rPr>
        <w:t>153,928</w:t>
      </w:r>
      <w:r>
        <w:rPr>
          <w:rFonts w:ascii="Times New Roman" w:hAnsi="Times New Roman"/>
          <w:caps w:val="false"/>
          <w:smallCaps w:val="false"/>
          <w:sz w:val="20"/>
        </w:rPr>
        <w:t xml:space="preserve"> rentable square feet of space in Building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located at </w:t>
      </w:r>
      <w:r>
        <w:rPr>
          <w:rStyle w:val="Emphasis"/>
          <w:rFonts w:ascii="Times New Roman" w:hAnsi="Times New Roman"/>
          <w:caps w:val="false"/>
          <w:smallCaps w:val="false"/>
          <w:sz w:val="20"/>
        </w:rPr>
        <w:t>16851</w:t>
      </w:r>
      <w:r>
        <w:rPr>
          <w:rFonts w:ascii="Times New Roman" w:hAnsi="Times New Roman"/>
          <w:caps w:val="false"/>
          <w:smallCaps w:val="false"/>
          <w:sz w:val="20"/>
        </w:rPr>
        <w:t xml:space="preserve"> Blue Ridge Commerce Dr., Houston, Texas </w:t>
      </w:r>
      <w:r>
        <w:rPr>
          <w:rStyle w:val="Emphasis"/>
          <w:rFonts w:ascii="Times New Roman" w:hAnsi="Times New Roman"/>
          <w:caps w:val="false"/>
          <w:smallCaps w:val="false"/>
          <w:sz w:val="20"/>
        </w:rPr>
        <w:t>77489.</w:t>
      </w:r>
      <w:r>
        <w:rPr>
          <w:rFonts w:ascii="Times New Roman" w:hAnsi="Times New Roman"/>
          <w:caps w:val="false"/>
          <w:smallCaps w:val="false"/>
          <w:sz w:val="20"/>
        </w:rPr>
        <w:t xml:space="preserve"> The premises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for office, warehouse, and light manufacturing and assembly.</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F-36 </w:t>
      </w:r>
    </w:p>
    <w:p>
      <w:pPr>
        <w:pStyle w:val="TextBody"/>
        <w:bidi w:val="0"/>
        <w:spacing w:before="0" w:after="0"/>
        <w:ind w:left="0" w:right="0" w:hanging="0"/>
        <w:jc w:val="left"/>
        <w:rPr>
          <w:caps w:val="false"/>
          <w:smallCaps w:val="false"/>
        </w:rPr>
      </w:pPr>
      <w:bookmarkStart w:id="38" w:name="ex_921421.htm"/>
      <w:bookmarkStart w:id="39" w:name="ksex_921421"/>
      <w:bookmarkEnd w:id="38"/>
      <w:bookmarkEnd w:id="39"/>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 THE COMPANY</w:t>
      </w:r>
      <w:r>
        <w:rPr>
          <w:rFonts w:ascii="Times New Roman" w:hAnsi="Times New Roman"/>
          <w:caps w:val="false"/>
          <w:smallCaps w:val="false"/>
          <w:sz w:val="20"/>
        </w:rPr>
        <w:t>’</w:t>
      </w:r>
      <w:r>
        <w:rPr>
          <w:rFonts w:ascii="Times New Roman" w:hAnsi="Times New Roman"/>
          <w:b/>
          <w:caps w:val="false"/>
          <w:smallCaps w:val="false"/>
          <w:sz w:val="20"/>
        </w:rPr>
        <w:t>S COMMON STOCK REGISTERED UNDER SECTION 12 OF THE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description of the Company’s Common Stock is based upon the Company’s Restated Certificate of Incorporation (“Restated Certificate of Incorporation”), the Company’s Amended and Restated Bylaws (“Bylaws”), as further amended by Amendment No. 1, and applicable provisions of law. We have summarized certain portions of the Restated Certificate of Incorporation and Bylaws below. The summary is not complete and is subject to, and is qualified in its entirety by express reference to, the provisions of our Restated Certificate of Incorporation and Bylaws, each of which is filed as an exhibit to the Annual Report on Form 10</w:t>
        <w:noBreakHyphen/>
        <w:t>K of which this Exhibit 4.6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Capital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authorized capital shares consist of 120,000,000 shares of Common Stock, $0.001 par value per share (“Common Stock”), and 5,000,000 shares of preferred stock, $0.001 par value per share (“Preferred Stock”). The outstanding shares of our Common Stock are fully paid and nonassessable. No shares of Preferred Stock have been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Holders of our common stock are entitled to one vote for each share of Common Stock held of record for the election of directors and on all matters submitted to a vote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Holders of our Common Stock are also entitled to receive dividends ratably, if any, as may be declared by our board of directors out of legally available funds, subject to any preferential dividend rights of any Preferred Stock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Common Stock is traded on The Nasdaq Global Market under the trading symbol “AAOI.”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Provisions of Our Restated Certificate of Incorporation and Bylaws and Delaware Anti-Takeover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Restated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Board composition and filling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accordance with our Restated Certificate of Incorporation, our board of directors is divided into three classes serving staggered three-year terms, with one class being elected each year. Our Restated Certificate of Incorporation also provides that directors may be removed only for cause and then only by the affirmative vote of the holders of 66 2/3%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 written consent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Restated Certificate of Incorporation provides that all stockholder actions are required to be taken by a vote of the stockholders at an annual or special meeting, and that stockholders may not take any action by written consent in lieu of a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Advance notice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our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Amendment to bylaws and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required by the Delaware General Corporation Law (the "DGCL"), any amendment of our Restated Certificate of Incorporation must first be approved by a majority of our board of directors and, if required by law or our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Restated Certificate of Incorporation must be approved by not less than 66 2/3% of the outstanding shares entitled to vote on the amendment, and not less than 66 2/3% of the outstanding shares of each class entitled to vote thereon as a class. Our bylaws may be amended by the affirmative vote of a majority vote of the directors then in office, subject to any limitations set forth in the bylaws; and may also be amended by the affirmative vote of at least 66 2/3%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Blank check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Choice of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DGCL or the Company's Restated Certificate of Incorporation or Bylaws, or (iv) any action asserting a claim against the Company governed by the internal affairs doctrine. The forum selection provision in our Restated Certificate of Incorporation does not apply to suits arising under the Securities Exchange Act of 1934 but does apply to other state and federal law claims including actions arising under the Securities Act of 1933 (although our stockholders will not be deemed to have waived our compliance with the federal securities laws and the rules and regulations thereunder). With respect to suits arising under the Securities Act of 1933, the enforceability of forum selection provisions has been challenged in legal proceedings, and it is possible that, in connection with any applicable action brought against the Company, a court could find the choice of forum provisions contained in the Restated Certificate of Incorporation to be inapplicable or unenforceable in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effects of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are subject to the provisions of Section 203 of the DGCL,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before the stockholder became interested, the board of directors approved either the business combination or the transaction which resulted in the stockholder becoming an interested stockholder;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0" w:name="ex_865092.htm"/>
      <w:bookmarkStart w:id="41" w:name="ksex_865092"/>
      <w:bookmarkEnd w:id="40"/>
      <w:bookmarkEnd w:id="41"/>
      <w:r>
        <w:rPr>
          <w:rFonts w:ascii="Times New Roman;Times;serif" w:hAnsi="Times New Roman;Times;serif"/>
          <w:b/>
          <w:sz w:val="20"/>
        </w:rPr>
        <w:t>Exhibit 23.1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issued our reports dated February 26, 2026, with respect to the consolidated financial statements and internal control over financial reporting included in the Annual Report of Applied Optoelectronics, Inc. on Form 10-K for the year ended December 31, 2025. We consent to the incorporation by reference of said reports in the Registration Statements of Applied Optoelectronics Inc. on Form S-3ASR (File No. 333-283905) and on Forms S-8 (File No. 333-192407, File No. 333-217871, File No. 333-223347, File No. 333-230243, File No. 333-236831, File No. 333-253534, File No. 333-257009, File No. 333-253534, File No. 333-223347, File No. 333-230243, File No. 333-236831, File No. 333-217871, File No. 333-265711, File No. 333-272928, File No. 333-273664, and File No. 333-286464).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Houston, Texas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26, 2026</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2" w:name="ex_865093.htm"/>
      <w:bookmarkStart w:id="43" w:name="ksex_865093"/>
      <w:bookmarkEnd w:id="42"/>
      <w:bookmarkEnd w:id="43"/>
      <w:r>
        <w:rPr>
          <w:rFonts w:ascii="Times New Roman;Times;serif" w:hAnsi="Times New Roman;Times;serif"/>
          <w:b/>
          <w:sz w:val="20"/>
        </w:rPr>
        <w:t>Exhibit 31.1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1. I have reviewed this Annual Report on Form 10-K of Applied Optoelectronics, Inc.;</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62"/>
        <w:jc w:val="left"/>
        <w:rPr/>
      </w:pPr>
      <w:r>
        <w:rPr/>
        <w:t> </w:t>
      </w:r>
    </w:p>
    <w:p>
      <w:pPr>
        <w:pStyle w:val="TextBody"/>
        <w:bidi w:val="0"/>
        <w:spacing w:before="0" w:after="0"/>
        <w:ind w:left="462" w:right="0" w:hanging="12"/>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62" w:right="0" w:hanging="12"/>
        <w:jc w:val="left"/>
        <w:rPr/>
      </w:pPr>
      <w:r>
        <w:rPr/>
        <w:t> </w:t>
      </w:r>
    </w:p>
    <w:p>
      <w:pPr>
        <w:pStyle w:val="TextBody"/>
        <w:bidi w:val="0"/>
        <w:spacing w:before="0" w:after="0"/>
        <w:ind w:left="462" w:right="0" w:hanging="12"/>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62" w:right="0" w:hanging="12"/>
        <w:jc w:val="left"/>
        <w:rPr/>
      </w:pPr>
      <w:r>
        <w:rPr/>
        <w:t> </w:t>
      </w:r>
    </w:p>
    <w:p>
      <w:pPr>
        <w:pStyle w:val="TextBody"/>
        <w:bidi w:val="0"/>
        <w:spacing w:before="0" w:after="0"/>
        <w:ind w:left="462" w:right="0" w:hanging="12"/>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62" w:right="0" w:hanging="12"/>
        <w:jc w:val="left"/>
        <w:rPr/>
      </w:pPr>
      <w:r>
        <w:rPr/>
        <w:t> </w:t>
      </w:r>
    </w:p>
    <w:p>
      <w:pPr>
        <w:pStyle w:val="TextBody"/>
        <w:bidi w:val="0"/>
        <w:spacing w:before="0" w:after="0"/>
        <w:ind w:left="462" w:right="0" w:hanging="12"/>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462" w:right="0" w:hanging="1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62"/>
        <w:jc w:val="left"/>
        <w:rPr/>
      </w:pPr>
      <w:r>
        <w:rPr/>
        <w:t> </w:t>
      </w:r>
    </w:p>
    <w:p>
      <w:pPr>
        <w:pStyle w:val="TextBody"/>
        <w:bidi w:val="0"/>
        <w:spacing w:before="0" w:after="0"/>
        <w:ind w:left="45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50" w:right="0" w:hanging="0"/>
        <w:jc w:val="left"/>
        <w:rPr/>
      </w:pPr>
      <w:r>
        <w:rPr/>
        <w:t> </w:t>
      </w:r>
    </w:p>
    <w:p>
      <w:pPr>
        <w:pStyle w:val="TextBody"/>
        <w:bidi w:val="0"/>
        <w:spacing w:before="0" w:after="0"/>
        <w:ind w:left="45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45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26, </w:t>
      </w:r>
      <w:bookmarkStart w:id="44" w:name="led103583F20210131610580738720"/>
      <w:bookmarkEnd w:id="44"/>
      <w:r>
        <w:rPr>
          <w:rFonts w:ascii="Times New Roman;Times;serif" w:hAnsi="Times New Roman;Times;serif"/>
          <w:sz w:val="20"/>
        </w:rPr>
        <w:t>2026</w:t>
      </w:r>
    </w:p>
    <w:p>
      <w:pPr>
        <w:pStyle w:val="TextBody"/>
        <w:bidi w:val="0"/>
        <w:spacing w:before="0" w:after="0"/>
        <w:ind w:left="0" w:right="0" w:hanging="0"/>
        <w:jc w:val="left"/>
        <w:rPr/>
      </w:pPr>
      <w:r>
        <w:rPr/>
        <w:t> </w:t>
      </w:r>
    </w:p>
    <w:tbl>
      <w:tblPr>
        <w:tblW w:w="3125" w:type="dxa"/>
        <w:jc w:val="left"/>
        <w:tblInd w:w="0" w:type="dxa"/>
        <w:tblLayout w:type="fixed"/>
        <w:tblCellMar>
          <w:top w:w="0" w:type="dxa"/>
          <w:left w:w="0" w:type="dxa"/>
          <w:bottom w:w="0" w:type="dxa"/>
          <w:right w:w="0" w:type="dxa"/>
        </w:tblCellMar>
      </w:tblPr>
      <w:tblGrid>
        <w:gridCol w:w="3065"/>
        <w:gridCol w:w="6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Chih-Hsiang (Thompson) Lin</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Chih-Hsiang (Thompson) Lin</w:t>
            </w:r>
          </w:p>
        </w:tc>
        <w:tc>
          <w:tcPr>
            <w:tcW w:w="6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5" w:name="ex_865094.htm"/>
      <w:bookmarkStart w:id="46" w:name="ksex_865094"/>
      <w:bookmarkEnd w:id="45"/>
      <w:bookmarkEnd w:id="46"/>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1. I have reviewed this Annual Report on Form 10-K of Applied Optoelectronics, Inc.;</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62"/>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540" w:right="0" w:hanging="0"/>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62"/>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February 26, </w:t>
      </w:r>
      <w:bookmarkStart w:id="47" w:name="led103583F20210131610580816911"/>
      <w:bookmarkEnd w:id="47"/>
      <w:r>
        <w:rPr>
          <w:rFonts w:ascii="Times New Roman;Times;serif" w:hAnsi="Times New Roman;Times;serif"/>
          <w:sz w:val="20"/>
        </w:rPr>
        <w:t>2026</w:t>
      </w:r>
    </w:p>
    <w:p>
      <w:pPr>
        <w:pStyle w:val="TextBody"/>
        <w:bidi w:val="0"/>
        <w:spacing w:before="0" w:after="0"/>
        <w:ind w:left="0" w:right="0" w:hanging="0"/>
        <w:jc w:val="left"/>
        <w:rPr/>
      </w:pPr>
      <w:r>
        <w:rPr/>
        <w:t> </w:t>
      </w:r>
    </w:p>
    <w:tbl>
      <w:tblPr>
        <w:tblW w:w="1940" w:type="dxa"/>
        <w:jc w:val="left"/>
        <w:tblInd w:w="0" w:type="dxa"/>
        <w:tblLayout w:type="fixed"/>
        <w:tblCellMar>
          <w:top w:w="0" w:type="dxa"/>
          <w:left w:w="0" w:type="dxa"/>
          <w:bottom w:w="28" w:type="dxa"/>
          <w:right w:w="0" w:type="dxa"/>
        </w:tblCellMar>
      </w:tblPr>
      <w:tblGrid>
        <w:gridCol w:w="1880"/>
        <w:gridCol w:w="6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0"/>
              <w:ind w:left="144" w:right="0" w:hanging="144"/>
              <w:jc w:val="left"/>
              <w:rPr>
                <w:rFonts w:ascii="Times New Roman;Times;serif" w:hAnsi="Times New Roman;Times;serif"/>
                <w:smallCaps/>
                <w:sz w:val="20"/>
              </w:rPr>
            </w:pPr>
            <w:r>
              <w:rPr>
                <w:rFonts w:ascii="Times New Roman;Times;serif" w:hAnsi="Times New Roman;Times;serif"/>
                <w:smallCaps/>
                <w:sz w:val="20"/>
              </w:rPr>
              <w:t>Stefan J. Murry</w:t>
            </w:r>
          </w:p>
        </w:tc>
        <w:tc>
          <w:tcPr>
            <w:tcW w:w="60"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8" w:name="ex_865095.htm"/>
      <w:bookmarkStart w:id="49" w:name="ksex_865095"/>
      <w:bookmarkEnd w:id="48"/>
      <w:bookmarkEnd w:id="49"/>
      <w:r>
        <w:rPr>
          <w:rFonts w:ascii="Times New Roman;Times;serif" w:hAnsi="Times New Roman;Times;serif"/>
          <w:b/>
          <w:sz w:val="20"/>
        </w:rPr>
        <w:t>Exhibit 32.1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 xml:space="preserve">1. The Company’s Annual Report on Form 10-K for the period ended </w:t>
      </w:r>
      <w:bookmarkStart w:id="50" w:name="led103583F20210131610580858236"/>
      <w:bookmarkEnd w:id="50"/>
      <w:r>
        <w:rPr>
          <w:rFonts w:ascii="Times New Roman;Times;serif" w:hAnsi="Times New Roman;Times;serif"/>
          <w:sz w:val="20"/>
        </w:rPr>
        <w:t>December 31, 2025, to which this Certification is attached as Exhibit 32.1 (the “Annual Report”) fully complies with the requirements of Section 13(a) or Section 15(d) of the Exchange Act; and</w:t>
      </w:r>
    </w:p>
    <w:p>
      <w:pPr>
        <w:pStyle w:val="TextBody"/>
        <w:bidi w:val="0"/>
        <w:spacing w:before="0" w:after="0"/>
        <w:ind w:left="0" w:right="0" w:firstLine="462"/>
        <w:jc w:val="left"/>
        <w:rPr/>
      </w:pPr>
      <w:r>
        <w:rPr/>
        <w:t> </w:t>
      </w:r>
    </w:p>
    <w:p>
      <w:pPr>
        <w:pStyle w:val="TextBody"/>
        <w:bidi w:val="0"/>
        <w:spacing w:before="0" w:after="0"/>
        <w:ind w:left="0" w:right="0" w:firstLine="462"/>
        <w:jc w:val="left"/>
        <w:rPr>
          <w:rFonts w:ascii="Times New Roman;Times;serif" w:hAnsi="Times New Roman;Times;serif"/>
          <w:sz w:val="20"/>
        </w:rPr>
      </w:pPr>
      <w:r>
        <w:rPr>
          <w:rFonts w:ascii="Times New Roman;Times;serif" w:hAnsi="Times New Roman;Times;serif"/>
          <w:sz w:val="20"/>
        </w:rPr>
        <w:t>2. The information contained in the Annual Report fairly presents, in all material respects, the financial condition and results of operations of the Company.</w:t>
      </w:r>
    </w:p>
    <w:p>
      <w:pPr>
        <w:pStyle w:val="TextBody"/>
        <w:bidi w:val="0"/>
        <w:spacing w:before="0" w:after="0"/>
        <w:ind w:left="0" w:right="0" w:firstLine="462"/>
        <w:jc w:val="left"/>
        <w:rPr/>
      </w:pPr>
      <w:r>
        <w:rPr/>
        <w:t> </w:t>
      </w:r>
    </w:p>
    <w:p>
      <w:pPr>
        <w:pStyle w:val="TextBody"/>
        <w:bidi w:val="0"/>
        <w:spacing w:before="0" w:after="0"/>
        <w:ind w:left="0" w:right="0" w:hanging="0"/>
        <w:jc w:val="left"/>
        <w:rPr/>
      </w:pPr>
      <w:r>
        <w:rPr>
          <w:rFonts w:ascii="Times New Roman;Times;serif" w:hAnsi="Times New Roman;Times;serif"/>
          <w:sz w:val="20"/>
        </w:rPr>
        <w:t>In Witness Whereof, the undersigned have set their hands hereto as of the 26</w:t>
      </w:r>
      <w:r>
        <w:rPr>
          <w:rFonts w:cs="Times New Roman;Times;serif"/>
          <w:szCs w:val="20"/>
        </w:rPr>
        <w:t>﻿</w:t>
      </w:r>
      <w:r>
        <w:rPr>
          <w:rFonts w:ascii="Times New Roman;Times;serif" w:hAnsi="Times New Roman;Times;serif"/>
          <w:sz w:val="20"/>
        </w:rPr>
        <w:t xml:space="preserve">th day of February, </w:t>
      </w:r>
      <w:bookmarkStart w:id="51" w:name="led103583F20210131610580876901"/>
      <w:bookmarkEnd w:id="51"/>
      <w:r>
        <w:rPr>
          <w:rFonts w:ascii="Times New Roman;Times;serif" w:hAnsi="Times New Roman;Times;serif"/>
          <w:sz w:val="20"/>
        </w:rPr>
        <w:t>2026.</w:t>
      </w:r>
    </w:p>
    <w:p>
      <w:pPr>
        <w:pStyle w:val="TextBody"/>
        <w:bidi w:val="0"/>
        <w:spacing w:before="0" w:after="0"/>
        <w:ind w:left="0" w:right="0" w:hanging="0"/>
        <w:jc w:val="left"/>
        <w:rPr/>
      </w:pPr>
      <w:r>
        <w:rPr/>
        <w:t> </w:t>
      </w:r>
    </w:p>
    <w:tbl>
      <w:tblPr>
        <w:tblW w:w="5260" w:type="dxa"/>
        <w:jc w:val="left"/>
        <w:tblInd w:w="0" w:type="dxa"/>
        <w:tblLayout w:type="fixed"/>
        <w:tblCellMar>
          <w:top w:w="0" w:type="dxa"/>
          <w:left w:w="0" w:type="dxa"/>
          <w:bottom w:w="28" w:type="dxa"/>
          <w:right w:w="0" w:type="dxa"/>
        </w:tblCellMar>
      </w:tblPr>
      <w:tblGrid>
        <w:gridCol w:w="3080"/>
        <w:gridCol w:w="300"/>
        <w:gridCol w:w="188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300" w:type="dxa"/>
            <w:tcBorders/>
            <w:tcMar>
              <w:bottom w:w="0" w:type="dxa"/>
            </w:tcMar>
            <w:vAlign w:val="center"/>
          </w:tcPr>
          <w:p>
            <w:pPr>
              <w:pStyle w:val="TableContents"/>
              <w:bidi w:val="0"/>
              <w:spacing w:before="0" w:after="0"/>
              <w:ind w:left="0" w:right="0" w:hanging="0"/>
              <w:jc w:val="left"/>
              <w:rPr/>
            </w:pPr>
            <w:r>
              <w:rPr/>
              <w:t>     </w:t>
            </w:r>
          </w:p>
        </w:tc>
        <w:tc>
          <w:tcPr>
            <w:tcW w:w="18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144" w:right="0" w:hanging="144"/>
              <w:jc w:val="left"/>
              <w:rPr>
                <w:rFonts w:ascii="Times New Roman;Times;serif" w:hAnsi="Times New Roman;Times;serif"/>
                <w:smallCaps/>
                <w:sz w:val="20"/>
              </w:rPr>
            </w:pPr>
            <w:r>
              <w:rPr>
                <w:rFonts w:ascii="Times New Roman;Times;serif" w:hAnsi="Times New Roman;Times;serif"/>
                <w:smallCaps/>
                <w:sz w:val="20"/>
              </w:rPr>
              <w:t>Chih-Hsiang (Thompson) Lin</w:t>
            </w:r>
          </w:p>
        </w:tc>
        <w:tc>
          <w:tcPr>
            <w:tcW w:w="300" w:type="dxa"/>
            <w:tcBorders/>
            <w:tcMar>
              <w:bottom w:w="0" w:type="dxa"/>
            </w:tcMar>
            <w:vAlign w:val="center"/>
          </w:tcPr>
          <w:p>
            <w:pPr>
              <w:pStyle w:val="TableContents"/>
              <w:bidi w:val="0"/>
              <w:spacing w:before="0" w:after="0"/>
              <w:ind w:left="0" w:right="0" w:hanging="0"/>
              <w:jc w:val="left"/>
              <w:rPr/>
            </w:pPr>
            <w:r>
              <w:rPr/>
              <w:t> </w:t>
            </w:r>
          </w:p>
        </w:tc>
        <w:tc>
          <w:tcPr>
            <w:tcW w:w="1880" w:type="dxa"/>
            <w:tcBorders/>
            <w:tcMar>
              <w:bottom w:w="0" w:type="dxa"/>
            </w:tcMar>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3080" w:type="dxa"/>
            <w:tcBorders/>
            <w:tcMar>
              <w:bottom w:w="0" w:type="dxa"/>
            </w:tcMar>
            <w:vAlign w:val="center"/>
          </w:tcPr>
          <w:p>
            <w:pPr>
              <w:pStyle w:val="TableContents"/>
              <w:bidi w:val="0"/>
              <w:spacing w:before="0" w:after="0"/>
              <w:ind w:left="144" w:right="0" w:hanging="144"/>
              <w:jc w:val="left"/>
              <w:rPr>
                <w:rFonts w:ascii="Times New Roman;Times;serif" w:hAnsi="Times New Roman;Times;serif"/>
                <w:sz w:val="20"/>
              </w:rPr>
            </w:pPr>
            <w:r>
              <w:rPr>
                <w:rFonts w:ascii="Times New Roman;Times;serif" w:hAnsi="Times New Roman;Times;serif"/>
                <w:sz w:val="20"/>
              </w:rPr>
              <w:t>President and Chief Executive Officer</w:t>
            </w:r>
          </w:p>
        </w:tc>
        <w:tc>
          <w:tcPr>
            <w:tcW w:w="300" w:type="dxa"/>
            <w:tcBorders/>
            <w:tcMar>
              <w:bottom w:w="0" w:type="dxa"/>
            </w:tcMar>
            <w:vAlign w:val="center"/>
          </w:tcPr>
          <w:p>
            <w:pPr>
              <w:pStyle w:val="TableContents"/>
              <w:bidi w:val="0"/>
              <w:spacing w:before="0" w:after="0"/>
              <w:ind w:left="0" w:right="0" w:hanging="0"/>
              <w:jc w:val="left"/>
              <w:rPr/>
            </w:pPr>
            <w:r>
              <w:rPr/>
              <w:t> </w:t>
            </w:r>
          </w:p>
        </w:tc>
        <w:tc>
          <w:tcPr>
            <w:tcW w:w="18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58114/000168316825004444/aaoi_ex0302.htm" TargetMode="External"/><Relationship Id="rId4" Type="http://schemas.openxmlformats.org/officeDocument/2006/relationships/hyperlink" Target="http://www.sec.gov/Archives/edgar/data/1158114/000101968713004306/aaoi_10q-ex0302.htm" TargetMode="External"/><Relationship Id="rId5" Type="http://schemas.openxmlformats.org/officeDocument/2006/relationships/hyperlink" Target="http://www.sec.gov/Archives/edgar/data/1158114/000110465925030932/tm2511114d1_ex3-1.htm" TargetMode="External"/><Relationship Id="rId6" Type="http://schemas.openxmlformats.org/officeDocument/2006/relationships/hyperlink" Target="http://www.sec.gov/Archives/edgar/data/1158114/000110465916157015/a16-21428_1ex4d1.htm" TargetMode="External"/><Relationship Id="rId7" Type="http://schemas.openxmlformats.org/officeDocument/2006/relationships/hyperlink" Target="http://www.sec.gov/Archives/edgar/data/1158114/000110465924131385/tm2431223d10_ex4-1.htm" TargetMode="External"/><Relationship Id="rId8" Type="http://schemas.openxmlformats.org/officeDocument/2006/relationships/hyperlink" Target="http://www.sec.gov/Archives/edgar/data/1158114/000110465924131385/tm2431223d10_ex4-1.htm" TargetMode="External"/><Relationship Id="rId9" Type="http://schemas.openxmlformats.org/officeDocument/2006/relationships/hyperlink" Target="http://www.sec.gov/Archives/edgar/data/1158114/000110465923123656/tm2331117d2_ex4-3.htm" TargetMode="External"/><Relationship Id="rId10" Type="http://schemas.openxmlformats.org/officeDocument/2006/relationships/hyperlink" Target="http://www.sec.gov/Archives/edgar/data/1158114/000168316825001580/appliedopto_ex0401.htm" TargetMode="External"/><Relationship Id="rId11" Type="http://schemas.openxmlformats.org/officeDocument/2006/relationships/hyperlink" Target="http://www.sec.gov/Archives/edgar/data/1158114/000104746913008409/a2216044zex-10_1.htm" TargetMode="External"/><Relationship Id="rId12" Type="http://schemas.openxmlformats.org/officeDocument/2006/relationships/hyperlink" Target="http://www.sec.gov/Archives/edgar/data/1158114/000110465925033793/tm2511856d1_ex99-1.htm" TargetMode="External"/><Relationship Id="rId13" Type="http://schemas.openxmlformats.org/officeDocument/2006/relationships/hyperlink" Target="http://www.sec.gov/Archives/edgar/data/1158114/000143774921018786/ex_270779.htm" TargetMode="External"/><Relationship Id="rId14" Type="http://schemas.openxmlformats.org/officeDocument/2006/relationships/hyperlink" Target="http://www.sec.gov/Archives/edgar/data/1158114/000143774921018786/ex_270780.htm" TargetMode="External"/><Relationship Id="rId15" Type="http://schemas.openxmlformats.org/officeDocument/2006/relationships/hyperlink" Target="http://www.sec.gov/Archives/edgar/data/1158114/000143774923031255/ex_589589.htm" TargetMode="External"/><Relationship Id="rId16" Type="http://schemas.openxmlformats.org/officeDocument/2006/relationships/hyperlink" Target="http://www.sec.gov/Archives/edgar/data/1158114/000104746913008409/a2216044zex-10_121.htm" TargetMode="External"/><Relationship Id="rId17" Type="http://schemas.openxmlformats.org/officeDocument/2006/relationships/hyperlink" Target="http://www.sec.gov/Archives/edgar/data/1158114/000101968716007125/applied_ex1020.htm" TargetMode="External"/><Relationship Id="rId18" Type="http://schemas.openxmlformats.org/officeDocument/2006/relationships/hyperlink" Target="http://www.sec.gov/Archives/edgar/data/1158114/000101968716007125/applied_ex1021.htm" TargetMode="External"/><Relationship Id="rId19" Type="http://schemas.openxmlformats.org/officeDocument/2006/relationships/hyperlink" Target="http://www.sec.gov/Archives/edgar/data/1158114/000101968716007125/applied_ex1022.htm" TargetMode="External"/><Relationship Id="rId20" Type="http://schemas.openxmlformats.org/officeDocument/2006/relationships/hyperlink" Target="http://www.sec.gov/Archives/edgar/data/1158114/000155837018001271/aaoi-20171231ex1098811b1.htm" TargetMode="External"/><Relationship Id="rId21" Type="http://schemas.openxmlformats.org/officeDocument/2006/relationships/hyperlink" Target="http://www.sec.gov/Archives/edgar/data/1158114/000155837018001271/aaoi-20171231ex10309e615.htm" TargetMode="External"/><Relationship Id="rId22" Type="http://schemas.openxmlformats.org/officeDocument/2006/relationships/hyperlink" Target="http://www.sec.gov/Archives/edgar/data/1158114/000168316823002885/aaoi_ex1001.htm" TargetMode="External"/><Relationship Id="rId23" Type="http://schemas.openxmlformats.org/officeDocument/2006/relationships/hyperlink" Target="http://www.sec.gov/Archives/edgar/data/1158114/000168316823002885/aaoi_ex1001.htm" TargetMode="External"/><Relationship Id="rId24" Type="http://schemas.openxmlformats.org/officeDocument/2006/relationships/hyperlink" Target="http://www.sec.gov/Archives/edgar/data/1158114/000168316823004319/aaoi_ex1001.htm" TargetMode="External"/><Relationship Id="rId25" Type="http://schemas.openxmlformats.org/officeDocument/2006/relationships/hyperlink" Target="http://www.sec.gov/Archives/edgar/data/1158114/000168316823004319/aaoi_ex1001.htm" TargetMode="External"/><Relationship Id="rId26" Type="http://schemas.openxmlformats.org/officeDocument/2006/relationships/hyperlink" Target="http://www.sec.gov/Archives/edgar/data/1158114/000168316824007049/appliedopto_ex1001.htm" TargetMode="External"/><Relationship Id="rId27" Type="http://schemas.openxmlformats.org/officeDocument/2006/relationships/hyperlink" Target="http://www.sec.gov/Archives/edgar/data/1158114/000110465924130522/tm2431223d4_ex10-1.htm" TargetMode="External"/><Relationship Id="rId28" Type="http://schemas.openxmlformats.org/officeDocument/2006/relationships/hyperlink" Target="http://www.sec.gov/Archives/edgar/data/1158114/000168316825001580/appliedopto_ex1001.htm" TargetMode="External"/><Relationship Id="rId29" Type="http://schemas.openxmlformats.org/officeDocument/2006/relationships/hyperlink" Target="http://www.sec.gov/Archives/edgar/data/1158114/000168316825002374/aaoi_ex1001.htm" TargetMode="External"/><Relationship Id="rId30" Type="http://schemas.openxmlformats.org/officeDocument/2006/relationships/hyperlink" Target="http://www.sec.gov/Archives/edgar/data/1158114/000168316825004402/appliedopto_ex1001.htm" TargetMode="External"/><Relationship Id="rId31" Type="http://schemas.openxmlformats.org/officeDocument/2006/relationships/hyperlink" Target="http://www.sec.gov/Archives/edgar/data/1158114/000168316825004603/aaoi_ex1001.htm" TargetMode="External"/><Relationship Id="rId32" Type="http://schemas.openxmlformats.org/officeDocument/2006/relationships/hyperlink" Target="http://www.sec.gov/Archives/edgar/data/1158114/000168316825004861/aaoi_ex1001.htm" TargetMode="External"/><Relationship Id="rId33" Type="http://schemas.openxmlformats.org/officeDocument/2006/relationships/hyperlink" Target="http://www.sec.gov/Archives/edgar/data/1158114/000168316825004861/aaoi_ex1002.htm" TargetMode="External"/><Relationship Id="rId34" Type="http://schemas.openxmlformats.org/officeDocument/2006/relationships/hyperlink" Target="http://www.sec.gov/Archives/edgar/data/1158114/000168316825005322/aaoi_ex1001.htm" TargetMode="External"/><Relationship Id="rId35" Type="http://schemas.openxmlformats.org/officeDocument/2006/relationships/hyperlink" Target="http://www.sec.gov/Archives/edgar/data/1158114/000168316825005626/aaoi_ex1001.htm" TargetMode="External"/><Relationship Id="rId36" Type="http://schemas.openxmlformats.org/officeDocument/2006/relationships/hyperlink" Target="http://www.sec.gov/Archives/edgar/data/1158114/000168316825005626/aaoi_ex1002.htm" TargetMode="External"/><Relationship Id="rId37" Type="http://schemas.openxmlformats.org/officeDocument/2006/relationships/hyperlink" Target="http://www.sec.gov/Archives/edgar/data/1158114/000168316825005710/aaoi_ex1001.htm" TargetMode="External"/><Relationship Id="rId38" Type="http://schemas.openxmlformats.org/officeDocument/2006/relationships/hyperlink" Target="http://www.sec.gov/Archives/edgar/data/1158114/000168316825005710/aaoi_ex1002.htm" TargetMode="External"/><Relationship Id="rId39" Type="http://schemas.openxmlformats.org/officeDocument/2006/relationships/hyperlink" Target="http://www.sec.gov/Archives/edgar/data/1158114/000168316825006467/aaoi_ex1001.htm" TargetMode="External"/><Relationship Id="rId40" Type="http://schemas.openxmlformats.org/officeDocument/2006/relationships/hyperlink" Target="http://www.sec.gov/Archives/edgar/data/1158114/000168316825006678/aaoi_ex1001.htm" TargetMode="External"/><Relationship Id="rId41" Type="http://schemas.openxmlformats.org/officeDocument/2006/relationships/hyperlink" Target="http://www.sec.gov/Archives/edgar/data/1158114/000168316825007212/aaoi_ex1001.htm" TargetMode="External"/><Relationship Id="rId42" Type="http://schemas.openxmlformats.org/officeDocument/2006/relationships/hyperlink" Target="http://www.sec.gov/Archives/edgar/data/1158114/000168316825007913/aaoi_ex1001.htm" TargetMode="External"/><Relationship Id="rId43" Type="http://schemas.openxmlformats.org/officeDocument/2006/relationships/hyperlink" Target="http://www.sec.gov/Archives/edgar/data/1158114/000168316825008857/aaoi_ex1001.htm" TargetMode="External"/><Relationship Id="rId44" Type="http://schemas.openxmlformats.org/officeDocument/2006/relationships/hyperlink" Target="http://www.sec.gov/Archives/edgar/data/1158114/000168316825008857/aaoi_ex1002.htm" TargetMode="External"/><Relationship Id="rId45" Type="http://schemas.openxmlformats.org/officeDocument/2006/relationships/hyperlink" Target="http://www.sec.gov/Archives/edgar/data/1158114/000168316825008857/aaoi_ex1003.htm" TargetMode="External"/><Relationship Id="rId46" Type="http://schemas.openxmlformats.org/officeDocument/2006/relationships/hyperlink" Target="http://www.sec.gov/Archives/edgar/data/1158114/000168316825008857/aaoi_ex1004.htm" TargetMode="External"/><Relationship Id="rId47" Type="http://schemas.openxmlformats.org/officeDocument/2006/relationships/hyperlink" Target="http://www.sec.gov/Archives/edgar/data/1158114/000143774925005575/ex_776806.htm" TargetMode="External"/><Relationship Id="rId48" Type="http://schemas.openxmlformats.org/officeDocument/2006/relationships/hyperlink" Target="http://www.sec.gov/Archives/edgar/data/1158114/000104746913008409/a2216044zex-21_1.htm" TargetMode="External"/><Relationship Id="rId49" Type="http://schemas.openxmlformats.org/officeDocument/2006/relationships/hyperlink" Target="http://www.sec.gov/Archives/edgar/data/1158114/000143774924005367/ex_625810.htm"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59242</Words>
  <Characters>326644</Characters>
  <CharactersWithSpaces>390416</CharactersWithSpaces>
  <Paragraphs>11698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